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Khanna Vision Institute</w:t>
        <w:br/>
        <w:t>Post-Booking Automation Workflow - Requirements for Bitrix</w:t>
      </w:r>
    </w:p>
    <w:p>
      <w:pPr>
        <w:jc w:val="center"/>
      </w:pPr>
      <w:r>
        <w:rPr>
          <w:color w:val="666666"/>
          <w:sz w:val="20"/>
        </w:rPr>
        <w:t>Prepared for the Bitrix implementation team  |  July 2026  |  khannainstitute.com</w:t>
      </w:r>
    </w:p>
    <w:p/>
    <w:p>
      <w:r>
        <w:rPr>
          <w:b w:val="0"/>
        </w:rPr>
        <w:t>This document describes the automation our website runs today after a patient books a consultation, and what we need Bitrix to rebuild through its own automation. It goes together with our earlier migration brief, which covers CRM fields and data flows. You do not need our source code; the flows below are enough to design the Bitrix side.</w:t>
      </w:r>
    </w:p>
    <w:p>
      <w:pPr>
        <w:pStyle w:val="Heading1"/>
      </w:pPr>
      <w:r>
        <w:rPr>
          <w:color w:val="1F3B5C"/>
        </w:rPr>
        <w:t>1. Background</w:t>
      </w:r>
    </w:p>
    <w:p>
      <w:r>
        <w:rPr>
          <w:b w:val="0"/>
        </w:rPr>
        <w:t>Our Node.js website server currently does everything itself. When a visitor books a consultation, the server creates a CRM lead, books the appointment, sends confirmation emails, and then runs a multi-day follow-up campaign over SMS (Twilio), email (our SMTP), and outbound AI phone calls (Vapi, with Twilio Voice as backup).</w:t>
      </w:r>
    </w:p>
    <w:p>
      <w:r>
        <w:rPr>
          <w:b w:val="0"/>
        </w:rPr>
        <w:t>We have three follow-up campaigns: PIE, SMILE and Pterygium. Only PIE is live today. It starts automatically when someone books a PIE consultation. SMILE and Pterygium are fully built and tested internally but are not yet connected to a public form. We want all three available in Bitrix.</w:t>
      </w:r>
    </w:p>
    <w:p>
      <w:pPr>
        <w:pStyle w:val="Heading1"/>
      </w:pPr>
      <w:r>
        <w:rPr>
          <w:color w:val="1F3B5C"/>
        </w:rPr>
        <w:t>2. What happens today when a lead comes in</w:t>
      </w:r>
    </w:p>
    <w:tbl>
      <w:tblPr>
        <w:tblStyle w:val="TableGrid"/>
        <w:tblW w:type="auto" w:w="0"/>
        <w:tblLook w:firstColumn="1" w:firstRow="1" w:lastColumn="0" w:lastRow="0" w:noHBand="0" w:noVBand="1" w:val="04A0"/>
      </w:tblPr>
      <w:tblGrid>
        <w:gridCol w:w="2160"/>
        <w:gridCol w:w="2160"/>
        <w:gridCol w:w="2160"/>
        <w:gridCol w:w="2160"/>
      </w:tblGrid>
      <w:tr>
        <w:tc>
          <w:tcPr>
            <w:tcW w:type="dxa" w:w="3744"/>
          </w:tcPr>
          <w:p>
            <w:pPr>
              <w:spacing w:after="40"/>
            </w:pPr>
            <w:r>
              <w:rPr>
                <w:sz w:val="20"/>
              </w:rPr>
            </w:r>
            <w:r>
              <w:rPr>
                <w:b/>
                <w:sz w:val="20"/>
              </w:rPr>
              <w:t>Entry point</w:t>
            </w:r>
          </w:p>
        </w:tc>
        <w:tc>
          <w:tcPr>
            <w:tcW w:type="dxa" w:w="2016"/>
          </w:tcPr>
          <w:p>
            <w:pPr>
              <w:spacing w:after="40"/>
            </w:pPr>
            <w:r>
              <w:rPr>
                <w:sz w:val="20"/>
              </w:rPr>
            </w:r>
            <w:r>
              <w:rPr>
                <w:b/>
                <w:sz w:val="20"/>
              </w:rPr>
              <w:t>CRM lead</w:t>
            </w:r>
          </w:p>
        </w:tc>
        <w:tc>
          <w:tcPr>
            <w:tcW w:type="dxa" w:w="1584"/>
          </w:tcPr>
          <w:p>
            <w:pPr>
              <w:spacing w:after="40"/>
            </w:pPr>
            <w:r>
              <w:rPr>
                <w:sz w:val="20"/>
              </w:rPr>
            </w:r>
            <w:r>
              <w:rPr>
                <w:b/>
                <w:sz w:val="20"/>
              </w:rPr>
              <w:t>Appointment</w:t>
            </w:r>
          </w:p>
        </w:tc>
        <w:tc>
          <w:tcPr>
            <w:tcW w:type="dxa" w:w="3456"/>
          </w:tcPr>
          <w:p>
            <w:pPr>
              <w:spacing w:after="40"/>
            </w:pPr>
            <w:r>
              <w:rPr>
                <w:sz w:val="20"/>
              </w:rPr>
            </w:r>
            <w:r>
              <w:rPr>
                <w:b/>
                <w:sz w:val="20"/>
              </w:rPr>
              <w:t>Follow-up campaign</w:t>
            </w:r>
          </w:p>
        </w:tc>
      </w:tr>
      <w:tr>
        <w:tc>
          <w:tcPr>
            <w:tcW w:type="dxa" w:w="3744"/>
          </w:tcPr>
          <w:p>
            <w:pPr>
              <w:spacing w:after="40"/>
            </w:pPr>
            <w:r>
              <w:rPr>
                <w:sz w:val="20"/>
              </w:rPr>
              <w:t>Main booking form (schedule-consultation page)</w:t>
            </w:r>
          </w:p>
        </w:tc>
        <w:tc>
          <w:tcPr>
            <w:tcW w:type="dxa" w:w="2016"/>
          </w:tcPr>
          <w:p>
            <w:pPr>
              <w:spacing w:after="40"/>
            </w:pPr>
            <w:r>
              <w:rPr>
                <w:sz w:val="20"/>
              </w:rPr>
              <w:t>Yes</w:t>
            </w:r>
          </w:p>
        </w:tc>
        <w:tc>
          <w:tcPr>
            <w:tcW w:type="dxa" w:w="1584"/>
          </w:tcPr>
          <w:p>
            <w:pPr>
              <w:spacing w:after="40"/>
            </w:pPr>
            <w:r>
              <w:rPr>
                <w:sz w:val="20"/>
              </w:rPr>
              <w:t>Yes</w:t>
            </w:r>
          </w:p>
        </w:tc>
        <w:tc>
          <w:tcPr>
            <w:tcW w:type="dxa" w:w="3456"/>
          </w:tcPr>
          <w:p>
            <w:pPr>
              <w:spacing w:after="40"/>
            </w:pPr>
            <w:r>
              <w:rPr>
                <w:sz w:val="20"/>
              </w:rPr>
              <w:t>PIE campaign, if the lead is a PIE lead</w:t>
            </w:r>
          </w:p>
        </w:tc>
      </w:tr>
      <w:tr>
        <w:tc>
          <w:tcPr>
            <w:tcW w:type="dxa" w:w="3744"/>
          </w:tcPr>
          <w:p>
            <w:pPr>
              <w:spacing w:after="40"/>
            </w:pPr>
            <w:r>
              <w:rPr>
                <w:sz w:val="20"/>
              </w:rPr>
              <w:t>AI chat and voice booking on the website</w:t>
            </w:r>
          </w:p>
        </w:tc>
        <w:tc>
          <w:tcPr>
            <w:tcW w:type="dxa" w:w="2016"/>
          </w:tcPr>
          <w:p>
            <w:pPr>
              <w:spacing w:after="40"/>
            </w:pPr>
            <w:r>
              <w:rPr>
                <w:sz w:val="20"/>
              </w:rPr>
              <w:t>Yes</w:t>
            </w:r>
          </w:p>
        </w:tc>
        <w:tc>
          <w:tcPr>
            <w:tcW w:type="dxa" w:w="1584"/>
          </w:tcPr>
          <w:p>
            <w:pPr>
              <w:spacing w:after="40"/>
            </w:pPr>
            <w:r>
              <w:rPr>
                <w:sz w:val="20"/>
              </w:rPr>
              <w:t>Yes</w:t>
            </w:r>
          </w:p>
        </w:tc>
        <w:tc>
          <w:tcPr>
            <w:tcW w:type="dxa" w:w="3456"/>
          </w:tcPr>
          <w:p>
            <w:pPr>
              <w:spacing w:after="40"/>
            </w:pPr>
            <w:r>
              <w:rPr>
                <w:sz w:val="20"/>
              </w:rPr>
              <w:t>Same as above</w:t>
            </w:r>
          </w:p>
        </w:tc>
      </w:tr>
      <w:tr>
        <w:tc>
          <w:tcPr>
            <w:tcW w:type="dxa" w:w="3744"/>
          </w:tcPr>
          <w:p>
            <w:pPr>
              <w:spacing w:after="40"/>
            </w:pPr>
            <w:r>
              <w:rPr>
                <w:sz w:val="20"/>
              </w:rPr>
              <w:t>SMILE book-consultation page</w:t>
            </w:r>
          </w:p>
        </w:tc>
        <w:tc>
          <w:tcPr>
            <w:tcW w:type="dxa" w:w="2016"/>
          </w:tcPr>
          <w:p>
            <w:pPr>
              <w:spacing w:after="40"/>
            </w:pPr>
            <w:r>
              <w:rPr>
                <w:sz w:val="20"/>
              </w:rPr>
              <w:t>Yes</w:t>
            </w:r>
          </w:p>
        </w:tc>
        <w:tc>
          <w:tcPr>
            <w:tcW w:type="dxa" w:w="1584"/>
          </w:tcPr>
          <w:p>
            <w:pPr>
              <w:spacing w:after="40"/>
            </w:pPr>
            <w:r>
              <w:rPr>
                <w:sz w:val="20"/>
              </w:rPr>
              <w:t>Yes</w:t>
            </w:r>
          </w:p>
        </w:tc>
        <w:tc>
          <w:tcPr>
            <w:tcW w:type="dxa" w:w="3456"/>
          </w:tcPr>
          <w:p>
            <w:pPr>
              <w:spacing w:after="40"/>
            </w:pPr>
            <w:r>
              <w:rPr>
                <w:sz w:val="20"/>
              </w:rPr>
              <w:t>Not yet (SMILE campaign should be connected here)</w:t>
            </w:r>
          </w:p>
        </w:tc>
      </w:tr>
      <w:tr>
        <w:tc>
          <w:tcPr>
            <w:tcW w:type="dxa" w:w="3744"/>
          </w:tcPr>
          <w:p>
            <w:pPr>
              <w:spacing w:after="40"/>
            </w:pPr>
            <w:r>
              <w:rPr>
                <w:sz w:val="20"/>
              </w:rPr>
              <w:t>VIP consult page</w:t>
            </w:r>
          </w:p>
        </w:tc>
        <w:tc>
          <w:tcPr>
            <w:tcW w:type="dxa" w:w="2016"/>
          </w:tcPr>
          <w:p>
            <w:pPr>
              <w:spacing w:after="40"/>
            </w:pPr>
            <w:r>
              <w:rPr>
                <w:sz w:val="20"/>
              </w:rPr>
              <w:t>Yes</w:t>
            </w:r>
          </w:p>
        </w:tc>
        <w:tc>
          <w:tcPr>
            <w:tcW w:type="dxa" w:w="1584"/>
          </w:tcPr>
          <w:p>
            <w:pPr>
              <w:spacing w:after="40"/>
            </w:pPr>
            <w:r>
              <w:rPr>
                <w:sz w:val="20"/>
              </w:rPr>
              <w:t>No</w:t>
            </w:r>
          </w:p>
        </w:tc>
        <w:tc>
          <w:tcPr>
            <w:tcW w:type="dxa" w:w="3456"/>
          </w:tcPr>
          <w:p>
            <w:pPr>
              <w:spacing w:after="40"/>
            </w:pPr>
            <w:r>
              <w:rPr>
                <w:sz w:val="20"/>
              </w:rPr>
              <w:t>No, thank-you email only</w:t>
            </w:r>
          </w:p>
        </w:tc>
      </w:tr>
      <w:tr>
        <w:tc>
          <w:tcPr>
            <w:tcW w:type="dxa" w:w="3744"/>
          </w:tcPr>
          <w:p>
            <w:pPr>
              <w:spacing w:after="40"/>
            </w:pPr>
            <w:r>
              <w:rPr>
                <w:sz w:val="20"/>
              </w:rPr>
              <w:t>Online consultation widget</w:t>
            </w:r>
          </w:p>
        </w:tc>
        <w:tc>
          <w:tcPr>
            <w:tcW w:type="dxa" w:w="2016"/>
          </w:tcPr>
          <w:p>
            <w:pPr>
              <w:spacing w:after="40"/>
            </w:pPr>
            <w:r>
              <w:rPr>
                <w:sz w:val="20"/>
              </w:rPr>
              <w:t>Yes</w:t>
            </w:r>
          </w:p>
        </w:tc>
        <w:tc>
          <w:tcPr>
            <w:tcW w:type="dxa" w:w="1584"/>
          </w:tcPr>
          <w:p>
            <w:pPr>
              <w:spacing w:after="40"/>
            </w:pPr>
            <w:r>
              <w:rPr>
                <w:sz w:val="20"/>
              </w:rPr>
              <w:t>No</w:t>
            </w:r>
          </w:p>
        </w:tc>
        <w:tc>
          <w:tcPr>
            <w:tcW w:type="dxa" w:w="3456"/>
          </w:tcPr>
          <w:p>
            <w:pPr>
              <w:spacing w:after="40"/>
            </w:pPr>
            <w:r>
              <w:rPr>
                <w:sz w:val="20"/>
              </w:rPr>
              <w:t>No</w:t>
            </w:r>
          </w:p>
        </w:tc>
      </w:tr>
      <w:tr>
        <w:tc>
          <w:tcPr>
            <w:tcW w:type="dxa" w:w="3744"/>
          </w:tcPr>
          <w:p>
            <w:pPr>
              <w:spacing w:after="40"/>
            </w:pPr>
            <w:r>
              <w:rPr>
                <w:sz w:val="20"/>
              </w:rPr>
              <w:t>Doctor portal booking</w:t>
            </w:r>
          </w:p>
        </w:tc>
        <w:tc>
          <w:tcPr>
            <w:tcW w:type="dxa" w:w="2016"/>
          </w:tcPr>
          <w:p>
            <w:pPr>
              <w:spacing w:after="40"/>
            </w:pPr>
            <w:r>
              <w:rPr>
                <w:sz w:val="20"/>
              </w:rPr>
              <w:t>Yes</w:t>
            </w:r>
          </w:p>
        </w:tc>
        <w:tc>
          <w:tcPr>
            <w:tcW w:type="dxa" w:w="1584"/>
          </w:tcPr>
          <w:p>
            <w:pPr>
              <w:spacing w:after="40"/>
            </w:pPr>
            <w:r>
              <w:rPr>
                <w:sz w:val="20"/>
              </w:rPr>
              <w:t>Yes</w:t>
            </w:r>
          </w:p>
        </w:tc>
        <w:tc>
          <w:tcPr>
            <w:tcW w:type="dxa" w:w="3456"/>
          </w:tcPr>
          <w:p>
            <w:pPr>
              <w:spacing w:after="40"/>
            </w:pPr>
            <w:r>
              <w:rPr>
                <w:sz w:val="20"/>
              </w:rPr>
              <w:t>No</w:t>
            </w:r>
          </w:p>
        </w:tc>
      </w:tr>
      <w:tr>
        <w:tc>
          <w:tcPr>
            <w:tcW w:type="dxa" w:w="3744"/>
          </w:tcPr>
          <w:p>
            <w:pPr>
              <w:spacing w:after="40"/>
            </w:pPr>
            <w:r>
              <w:rPr>
                <w:sz w:val="20"/>
              </w:rPr>
              <w:t>Seminar RSVP and SMILE quiz leads</w:t>
            </w:r>
          </w:p>
        </w:tc>
        <w:tc>
          <w:tcPr>
            <w:tcW w:type="dxa" w:w="2016"/>
          </w:tcPr>
          <w:p>
            <w:pPr>
              <w:spacing w:after="40"/>
            </w:pPr>
            <w:r>
              <w:rPr>
                <w:sz w:val="20"/>
              </w:rPr>
              <w:t>No, staff email only</w:t>
            </w:r>
          </w:p>
        </w:tc>
        <w:tc>
          <w:tcPr>
            <w:tcW w:type="dxa" w:w="1584"/>
          </w:tcPr>
          <w:p>
            <w:pPr>
              <w:spacing w:after="40"/>
            </w:pPr>
            <w:r>
              <w:rPr>
                <w:sz w:val="20"/>
              </w:rPr>
              <w:t>No</w:t>
            </w:r>
          </w:p>
        </w:tc>
        <w:tc>
          <w:tcPr>
            <w:tcW w:type="dxa" w:w="3456"/>
          </w:tcPr>
          <w:p>
            <w:pPr>
              <w:spacing w:after="40"/>
            </w:pPr>
            <w:r>
              <w:rPr>
                <w:sz w:val="20"/>
              </w:rPr>
              <w:t>No</w:t>
            </w:r>
          </w:p>
        </w:tc>
      </w:tr>
    </w:tbl>
    <w:p/>
    <w:p>
      <w:r>
        <w:rPr>
          <w:b w:val="0"/>
        </w:rPr>
        <w:t>The campaign trigger is not the form itself, it is the lead data. On PIE bookings we set a custom field called Autoresponder Stage to "Stage 1". In Bitrix the rule should be: when a lead is created with Procedure Interested set to PIE (or SMILE, or Pterygium) and Autoresponder Stage set to Stage 1, start the matching campaign.</w:t>
      </w:r>
    </w:p>
    <w:p>
      <w:r>
        <w:rPr>
          <w:b w:val="0"/>
        </w:rPr>
        <w:t>Every booking lead carries: full name, email, phone, age, location (Beverly Hills or Westlake Village), preferred date and time, procedure interest, the page they came from, and SMS and email consent. Messages address the patient by first name.</w:t>
      </w:r>
    </w:p>
    <w:p>
      <w:pPr>
        <w:pStyle w:val="Heading1"/>
      </w:pPr>
      <w:r>
        <w:rPr>
          <w:color w:val="1F3B5C"/>
        </w:rPr>
        <w:t>3. The three campaigns</w:t>
      </w:r>
    </w:p>
    <w:p>
      <w:pPr>
        <w:pStyle w:val="Heading2"/>
      </w:pPr>
      <w:r>
        <w:rPr>
          <w:color w:val="1F3B5C"/>
        </w:rPr>
        <w:t>3.1 Timing rules (apply to all campaigns)</w:t>
      </w:r>
    </w:p>
    <w:p>
      <w:r>
        <w:rPr>
          <w:b w:val="0"/>
        </w:rPr>
        <w:t>Every step goes out at 1:00 PM Los Angeles time. If the lead enrolls before 1:00 PM, Day 0 is the same day, so the first text goes out that afternoon. If they enroll at or after 1:00 PM, Day 0 is the next day. All later steps are calendar days from that anchor, always at 1:00 PM. Some steps add a few minutes on top, for example a call placed 5 minutes after the Day 0 text. Daylight saving must be handled as true local time.</w:t>
      </w:r>
    </w:p>
    <w:p>
      <w:pPr>
        <w:pStyle w:val="Heading2"/>
      </w:pPr>
      <w:r>
        <w:rPr>
          <w:color w:val="1F3B5C"/>
        </w:rPr>
        <w:t>3.2 PIE campaign (live today)</w:t>
      </w:r>
    </w:p>
    <w:p>
      <w:r>
        <w:rPr>
          <w:b w:val="0"/>
        </w:rPr>
        <w:t>Starts when a booking has procedure interest PIE, or the lead came from the PIE procedure page.</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pPr>
              <w:spacing w:after="40"/>
            </w:pPr>
            <w:r>
              <w:rPr>
                <w:sz w:val="20"/>
              </w:rPr>
            </w:r>
            <w:r>
              <w:rPr>
                <w:b/>
                <w:sz w:val="20"/>
              </w:rPr>
              <w:t>Day</w:t>
            </w:r>
          </w:p>
        </w:tc>
        <w:tc>
          <w:tcPr>
            <w:tcW w:type="dxa" w:w="1728"/>
          </w:tcPr>
          <w:p>
            <w:pPr>
              <w:spacing w:after="40"/>
            </w:pPr>
            <w:r>
              <w:rPr>
                <w:sz w:val="20"/>
              </w:rPr>
            </w:r>
            <w:r>
              <w:rPr>
                <w:b/>
                <w:sz w:val="20"/>
              </w:rPr>
              <w:t>Time (Pacific)</w:t>
            </w:r>
          </w:p>
        </w:tc>
        <w:tc>
          <w:tcPr>
            <w:tcW w:type="dxa" w:w="2016"/>
          </w:tcPr>
          <w:p>
            <w:pPr>
              <w:spacing w:after="40"/>
            </w:pPr>
            <w:r>
              <w:rPr>
                <w:sz w:val="20"/>
              </w:rPr>
            </w:r>
            <w:r>
              <w:rPr>
                <w:b/>
                <w:sz w:val="20"/>
              </w:rPr>
              <w:t>Channel</w:t>
            </w:r>
          </w:p>
        </w:tc>
        <w:tc>
          <w:tcPr>
            <w:tcW w:type="dxa" w:w="6192"/>
          </w:tcPr>
          <w:p>
            <w:pPr>
              <w:spacing w:after="40"/>
            </w:pPr>
            <w:r>
              <w:rPr>
                <w:sz w:val="20"/>
              </w:rPr>
            </w:r>
            <w:r>
              <w:rPr>
                <w:b/>
                <w:sz w:val="20"/>
              </w:rPr>
              <w:t>Message</w:t>
            </w:r>
          </w:p>
        </w:tc>
      </w:tr>
      <w:tr>
        <w:tc>
          <w:tcPr>
            <w:tcW w:type="dxa" w:w="864"/>
          </w:tcPr>
          <w:p>
            <w:pPr>
              <w:spacing w:after="40"/>
            </w:pPr>
            <w:r>
              <w:rPr>
                <w:sz w:val="20"/>
              </w:rPr>
              <w:t>0</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Welcome, introduction to PIE and Dr. Khanna, free consultation offer</w:t>
            </w:r>
          </w:p>
        </w:tc>
      </w:tr>
      <w:tr>
        <w:tc>
          <w:tcPr>
            <w:tcW w:type="dxa" w:w="864"/>
          </w:tcPr>
          <w:p>
            <w:pPr>
              <w:spacing w:after="40"/>
            </w:pPr>
            <w:r>
              <w:rPr>
                <w:sz w:val="20"/>
              </w:rPr>
              <w:t>0</w:t>
            </w:r>
          </w:p>
        </w:tc>
        <w:tc>
          <w:tcPr>
            <w:tcW w:type="dxa" w:w="1728"/>
          </w:tcPr>
          <w:p>
            <w:pPr>
              <w:spacing w:after="40"/>
            </w:pPr>
            <w:r>
              <w:rPr>
                <w:sz w:val="20"/>
              </w:rPr>
              <w:t>1:05 PM</w:t>
            </w:r>
          </w:p>
        </w:tc>
        <w:tc>
          <w:tcPr>
            <w:tcW w:type="dxa" w:w="2016"/>
          </w:tcPr>
          <w:p>
            <w:pPr>
              <w:spacing w:after="40"/>
            </w:pPr>
            <w:r>
              <w:rPr>
                <w:sz w:val="20"/>
              </w:rPr>
              <w:t>AI phone call</w:t>
            </w:r>
          </w:p>
        </w:tc>
        <w:tc>
          <w:tcPr>
            <w:tcW w:type="dxa" w:w="6192"/>
          </w:tcPr>
          <w:p>
            <w:pPr>
              <w:spacing w:after="40"/>
            </w:pPr>
            <w:r>
              <w:rPr>
                <w:sz w:val="20"/>
              </w:rPr>
              <w:t>Qualification questions and booking attempt</w:t>
            </w:r>
          </w:p>
        </w:tc>
      </w:tr>
      <w:tr>
        <w:tc>
          <w:tcPr>
            <w:tcW w:type="dxa" w:w="864"/>
          </w:tcPr>
          <w:p>
            <w:pPr>
              <w:spacing w:after="40"/>
            </w:pPr>
            <w:r>
              <w:rPr>
                <w:sz w:val="20"/>
              </w:rPr>
              <w:t>1</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Dr. Khanna credentials</w:t>
            </w:r>
          </w:p>
        </w:tc>
      </w:tr>
      <w:tr>
        <w:tc>
          <w:tcPr>
            <w:tcW w:type="dxa" w:w="864"/>
          </w:tcPr>
          <w:p>
            <w:pPr>
              <w:spacing w:after="40"/>
            </w:pPr>
            <w:r>
              <w:rPr>
                <w:sz w:val="20"/>
              </w:rPr>
              <w:t>2</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Life after PIE, benefits</w:t>
            </w:r>
          </w:p>
        </w:tc>
      </w:tr>
      <w:tr>
        <w:tc>
          <w:tcPr>
            <w:tcW w:type="dxa" w:w="864"/>
          </w:tcPr>
          <w:p>
            <w:pPr>
              <w:spacing w:after="40"/>
            </w:pPr>
            <w:r>
              <w:rPr>
                <w:sz w:val="20"/>
              </w:rPr>
              <w:t>3</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PIE compared with glasses, contacts and LASIK</w:t>
            </w:r>
          </w:p>
        </w:tc>
      </w:tr>
      <w:tr>
        <w:tc>
          <w:tcPr>
            <w:tcW w:type="dxa" w:w="864"/>
          </w:tcPr>
          <w:p>
            <w:pPr>
              <w:spacing w:after="40"/>
            </w:pPr>
            <w:r>
              <w:rPr>
                <w:sz w:val="20"/>
              </w:rPr>
              <w:t>5</w:t>
            </w:r>
          </w:p>
        </w:tc>
        <w:tc>
          <w:tcPr>
            <w:tcW w:type="dxa" w:w="1728"/>
          </w:tcPr>
          <w:p>
            <w:pPr>
              <w:spacing w:after="40"/>
            </w:pPr>
            <w:r>
              <w:rPr>
                <w:sz w:val="20"/>
              </w:rPr>
              <w:t>1:00 PM</w:t>
            </w:r>
          </w:p>
        </w:tc>
        <w:tc>
          <w:tcPr>
            <w:tcW w:type="dxa" w:w="2016"/>
          </w:tcPr>
          <w:p>
            <w:pPr>
              <w:spacing w:after="40"/>
            </w:pPr>
            <w:r>
              <w:rPr>
                <w:sz w:val="20"/>
              </w:rPr>
              <w:t>Email</w:t>
            </w:r>
          </w:p>
        </w:tc>
        <w:tc>
          <w:tcPr>
            <w:tcW w:type="dxa" w:w="6192"/>
          </w:tcPr>
          <w:p>
            <w:pPr>
              <w:spacing w:after="40"/>
            </w:pPr>
            <w:r>
              <w:rPr>
                <w:sz w:val="20"/>
              </w:rPr>
              <w:t>Complete guide to PIE: procedure, pricing, financing</w:t>
            </w:r>
          </w:p>
        </w:tc>
      </w:tr>
      <w:tr>
        <w:tc>
          <w:tcPr>
            <w:tcW w:type="dxa" w:w="864"/>
          </w:tcPr>
          <w:p>
            <w:pPr>
              <w:spacing w:after="40"/>
            </w:pPr>
            <w:r>
              <w:rPr>
                <w:sz w:val="20"/>
              </w:rPr>
              <w:t>7</w:t>
            </w:r>
          </w:p>
        </w:tc>
        <w:tc>
          <w:tcPr>
            <w:tcW w:type="dxa" w:w="1728"/>
          </w:tcPr>
          <w:p>
            <w:pPr>
              <w:spacing w:after="40"/>
            </w:pPr>
            <w:r>
              <w:rPr>
                <w:sz w:val="20"/>
              </w:rPr>
              <w:t>1:00 PM</w:t>
            </w:r>
          </w:p>
        </w:tc>
        <w:tc>
          <w:tcPr>
            <w:tcW w:type="dxa" w:w="2016"/>
          </w:tcPr>
          <w:p>
            <w:pPr>
              <w:spacing w:after="40"/>
            </w:pPr>
            <w:r>
              <w:rPr>
                <w:sz w:val="20"/>
              </w:rPr>
              <w:t>AI phone call</w:t>
            </w:r>
          </w:p>
        </w:tc>
        <w:tc>
          <w:tcPr>
            <w:tcW w:type="dxa" w:w="6192"/>
          </w:tcPr>
          <w:p>
            <w:pPr>
              <w:spacing w:after="40"/>
            </w:pPr>
            <w:r>
              <w:rPr>
                <w:sz w:val="20"/>
              </w:rPr>
              <w:t>Follow-up call with a booking incentive of 500 dollars per eye</w:t>
            </w:r>
          </w:p>
        </w:tc>
      </w:tr>
      <w:tr>
        <w:tc>
          <w:tcPr>
            <w:tcW w:type="dxa" w:w="864"/>
          </w:tcPr>
          <w:p>
            <w:pPr>
              <w:spacing w:after="40"/>
            </w:pPr>
            <w:r>
              <w:rPr>
                <w:sz w:val="20"/>
              </w:rPr>
              <w:t>10</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Patient testimonials</w:t>
            </w:r>
          </w:p>
        </w:tc>
      </w:tr>
      <w:tr>
        <w:tc>
          <w:tcPr>
            <w:tcW w:type="dxa" w:w="864"/>
          </w:tcPr>
          <w:p>
            <w:pPr>
              <w:spacing w:after="40"/>
            </w:pPr>
            <w:r>
              <w:rPr>
                <w:sz w:val="20"/>
              </w:rPr>
              <w:t>14</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Final check-in</w:t>
            </w:r>
          </w:p>
        </w:tc>
      </w:tr>
    </w:tbl>
    <w:p/>
    <w:p>
      <w:pPr>
        <w:pStyle w:val="Heading2"/>
      </w:pPr>
      <w:r>
        <w:rPr>
          <w:color w:val="1F3B5C"/>
        </w:rPr>
        <w:t>3.3 SMILE campaign (built, not yet connected)</w:t>
      </w:r>
    </w:p>
    <w:p>
      <w:r>
        <w:rPr>
          <w:b w:val="0"/>
        </w:rPr>
        <w:t>Each enrolled lead is assigned message variant A (professional tone) or variant B (casual tone), and keeps that variant for the whole campaign. Bitrix should support this A/B split with the variant recorded on the contact.</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pPr>
              <w:spacing w:after="40"/>
            </w:pPr>
            <w:r>
              <w:rPr>
                <w:sz w:val="20"/>
              </w:rPr>
            </w:r>
            <w:r>
              <w:rPr>
                <w:b/>
                <w:sz w:val="20"/>
              </w:rPr>
              <w:t>Day</w:t>
            </w:r>
          </w:p>
        </w:tc>
        <w:tc>
          <w:tcPr>
            <w:tcW w:type="dxa" w:w="1728"/>
          </w:tcPr>
          <w:p>
            <w:pPr>
              <w:spacing w:after="40"/>
            </w:pPr>
            <w:r>
              <w:rPr>
                <w:sz w:val="20"/>
              </w:rPr>
            </w:r>
            <w:r>
              <w:rPr>
                <w:b/>
                <w:sz w:val="20"/>
              </w:rPr>
              <w:t>Time (Pacific)</w:t>
            </w:r>
          </w:p>
        </w:tc>
        <w:tc>
          <w:tcPr>
            <w:tcW w:type="dxa" w:w="2016"/>
          </w:tcPr>
          <w:p>
            <w:pPr>
              <w:spacing w:after="40"/>
            </w:pPr>
            <w:r>
              <w:rPr>
                <w:sz w:val="20"/>
              </w:rPr>
            </w:r>
            <w:r>
              <w:rPr>
                <w:b/>
                <w:sz w:val="20"/>
              </w:rPr>
              <w:t>Channel</w:t>
            </w:r>
          </w:p>
        </w:tc>
        <w:tc>
          <w:tcPr>
            <w:tcW w:type="dxa" w:w="6192"/>
          </w:tcPr>
          <w:p>
            <w:pPr>
              <w:spacing w:after="40"/>
            </w:pPr>
            <w:r>
              <w:rPr>
                <w:sz w:val="20"/>
              </w:rPr>
            </w:r>
            <w:r>
              <w:rPr>
                <w:b/>
                <w:sz w:val="20"/>
              </w:rPr>
              <w:t>Message</w:t>
            </w:r>
          </w:p>
        </w:tc>
      </w:tr>
      <w:tr>
        <w:tc>
          <w:tcPr>
            <w:tcW w:type="dxa" w:w="864"/>
          </w:tcPr>
          <w:p>
            <w:pPr>
              <w:spacing w:after="40"/>
            </w:pPr>
            <w:r>
              <w:rPr>
                <w:sz w:val="20"/>
              </w:rPr>
              <w:t>0</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SMILE introduction</w:t>
            </w:r>
          </w:p>
        </w:tc>
      </w:tr>
      <w:tr>
        <w:tc>
          <w:tcPr>
            <w:tcW w:type="dxa" w:w="864"/>
          </w:tcPr>
          <w:p>
            <w:pPr>
              <w:spacing w:after="40"/>
            </w:pPr>
            <w:r>
              <w:rPr>
                <w:sz w:val="20"/>
              </w:rPr>
              <w:t>1</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Cost comparison with contacts, financing</w:t>
            </w:r>
          </w:p>
        </w:tc>
      </w:tr>
      <w:tr>
        <w:tc>
          <w:tcPr>
            <w:tcW w:type="dxa" w:w="864"/>
          </w:tcPr>
          <w:p>
            <w:pPr>
              <w:spacing w:after="40"/>
            </w:pPr>
            <w:r>
              <w:rPr>
                <w:sz w:val="20"/>
              </w:rPr>
              <w:t>3</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SMILE compared with LASIK</w:t>
            </w:r>
          </w:p>
        </w:tc>
      </w:tr>
      <w:tr>
        <w:tc>
          <w:tcPr>
            <w:tcW w:type="dxa" w:w="864"/>
          </w:tcPr>
          <w:p>
            <w:pPr>
              <w:spacing w:after="40"/>
            </w:pPr>
            <w:r>
              <w:rPr>
                <w:sz w:val="20"/>
              </w:rPr>
              <w:t>5</w:t>
            </w:r>
          </w:p>
        </w:tc>
        <w:tc>
          <w:tcPr>
            <w:tcW w:type="dxa" w:w="1728"/>
          </w:tcPr>
          <w:p>
            <w:pPr>
              <w:spacing w:after="40"/>
            </w:pPr>
            <w:r>
              <w:rPr>
                <w:sz w:val="20"/>
              </w:rPr>
              <w:t>1:00 PM</w:t>
            </w:r>
          </w:p>
        </w:tc>
        <w:tc>
          <w:tcPr>
            <w:tcW w:type="dxa" w:w="2016"/>
          </w:tcPr>
          <w:p>
            <w:pPr>
              <w:spacing w:after="40"/>
            </w:pPr>
            <w:r>
              <w:rPr>
                <w:sz w:val="20"/>
              </w:rPr>
              <w:t>Email</w:t>
            </w:r>
          </w:p>
        </w:tc>
        <w:tc>
          <w:tcPr>
            <w:tcW w:type="dxa" w:w="6192"/>
          </w:tcPr>
          <w:p>
            <w:pPr>
              <w:spacing w:after="40"/>
            </w:pPr>
            <w:r>
              <w:rPr>
                <w:sz w:val="20"/>
              </w:rPr>
              <w:t>Full SMILE guide with pricing and links</w:t>
            </w:r>
          </w:p>
        </w:tc>
      </w:tr>
      <w:tr>
        <w:tc>
          <w:tcPr>
            <w:tcW w:type="dxa" w:w="864"/>
          </w:tcPr>
          <w:p>
            <w:pPr>
              <w:spacing w:after="40"/>
            </w:pPr>
            <w:r>
              <w:rPr>
                <w:sz w:val="20"/>
              </w:rPr>
              <w:t>7</w:t>
            </w:r>
          </w:p>
        </w:tc>
        <w:tc>
          <w:tcPr>
            <w:tcW w:type="dxa" w:w="1728"/>
          </w:tcPr>
          <w:p>
            <w:pPr>
              <w:spacing w:after="40"/>
            </w:pPr>
            <w:r>
              <w:rPr>
                <w:sz w:val="20"/>
              </w:rPr>
              <w:t>1:00 PM</w:t>
            </w:r>
          </w:p>
        </w:tc>
        <w:tc>
          <w:tcPr>
            <w:tcW w:type="dxa" w:w="2016"/>
          </w:tcPr>
          <w:p>
            <w:pPr>
              <w:spacing w:after="40"/>
            </w:pPr>
            <w:r>
              <w:rPr>
                <w:sz w:val="20"/>
              </w:rPr>
              <w:t>Call</w:t>
            </w:r>
          </w:p>
        </w:tc>
        <w:tc>
          <w:tcPr>
            <w:tcW w:type="dxa" w:w="6192"/>
          </w:tcPr>
          <w:p>
            <w:pPr>
              <w:spacing w:after="40"/>
            </w:pPr>
            <w:r>
              <w:rPr>
                <w:sz w:val="20"/>
              </w:rPr>
              <w:t>Follow-up call</w:t>
            </w:r>
          </w:p>
        </w:tc>
      </w:tr>
    </w:tbl>
    <w:p/>
    <w:p>
      <w:pPr>
        <w:pStyle w:val="Heading2"/>
      </w:pPr>
      <w:r>
        <w:rPr>
          <w:color w:val="1F3B5C"/>
        </w:rPr>
        <w:t>3.4 Pterygium campaign (built, not yet connected)</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pPr>
              <w:spacing w:after="40"/>
            </w:pPr>
            <w:r>
              <w:rPr>
                <w:sz w:val="20"/>
              </w:rPr>
            </w:r>
            <w:r>
              <w:rPr>
                <w:b/>
                <w:sz w:val="20"/>
              </w:rPr>
              <w:t>Day</w:t>
            </w:r>
          </w:p>
        </w:tc>
        <w:tc>
          <w:tcPr>
            <w:tcW w:type="dxa" w:w="1728"/>
          </w:tcPr>
          <w:p>
            <w:pPr>
              <w:spacing w:after="40"/>
            </w:pPr>
            <w:r>
              <w:rPr>
                <w:sz w:val="20"/>
              </w:rPr>
            </w:r>
            <w:r>
              <w:rPr>
                <w:b/>
                <w:sz w:val="20"/>
              </w:rPr>
              <w:t>Time (Pacific)</w:t>
            </w:r>
          </w:p>
        </w:tc>
        <w:tc>
          <w:tcPr>
            <w:tcW w:type="dxa" w:w="2016"/>
          </w:tcPr>
          <w:p>
            <w:pPr>
              <w:spacing w:after="40"/>
            </w:pPr>
            <w:r>
              <w:rPr>
                <w:sz w:val="20"/>
              </w:rPr>
            </w:r>
            <w:r>
              <w:rPr>
                <w:b/>
                <w:sz w:val="20"/>
              </w:rPr>
              <w:t>Channel</w:t>
            </w:r>
          </w:p>
        </w:tc>
        <w:tc>
          <w:tcPr>
            <w:tcW w:type="dxa" w:w="6192"/>
          </w:tcPr>
          <w:p>
            <w:pPr>
              <w:spacing w:after="40"/>
            </w:pPr>
            <w:r>
              <w:rPr>
                <w:sz w:val="20"/>
              </w:rPr>
            </w:r>
            <w:r>
              <w:rPr>
                <w:b/>
                <w:sz w:val="20"/>
              </w:rPr>
              <w:t>Message</w:t>
            </w:r>
          </w:p>
        </w:tc>
      </w:tr>
      <w:tr>
        <w:tc>
          <w:tcPr>
            <w:tcW w:type="dxa" w:w="864"/>
          </w:tcPr>
          <w:p>
            <w:pPr>
              <w:spacing w:after="40"/>
            </w:pPr>
            <w:r>
              <w:rPr>
                <w:sz w:val="20"/>
              </w:rPr>
              <w:t>0</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Introduction, glued autograft technique</w:t>
            </w:r>
          </w:p>
        </w:tc>
      </w:tr>
      <w:tr>
        <w:tc>
          <w:tcPr>
            <w:tcW w:type="dxa" w:w="864"/>
          </w:tcPr>
          <w:p>
            <w:pPr>
              <w:spacing w:after="40"/>
            </w:pPr>
            <w:r>
              <w:rPr>
                <w:sz w:val="20"/>
              </w:rPr>
              <w:t>1</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Why not to wait, recurrence facts</w:t>
            </w:r>
          </w:p>
        </w:tc>
      </w:tr>
      <w:tr>
        <w:tc>
          <w:tcPr>
            <w:tcW w:type="dxa" w:w="864"/>
          </w:tcPr>
          <w:p>
            <w:pPr>
              <w:spacing w:after="40"/>
            </w:pPr>
            <w:r>
              <w:rPr>
                <w:sz w:val="20"/>
              </w:rPr>
              <w:t>2</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Cosmetic outcome</w:t>
            </w:r>
          </w:p>
        </w:tc>
      </w:tr>
      <w:tr>
        <w:tc>
          <w:tcPr>
            <w:tcW w:type="dxa" w:w="864"/>
          </w:tcPr>
          <w:p>
            <w:pPr>
              <w:spacing w:after="40"/>
            </w:pPr>
            <w:r>
              <w:rPr>
                <w:sz w:val="20"/>
              </w:rPr>
              <w:t>3</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Old method compared with glued autograft</w:t>
            </w:r>
          </w:p>
        </w:tc>
      </w:tr>
      <w:tr>
        <w:tc>
          <w:tcPr>
            <w:tcW w:type="dxa" w:w="864"/>
          </w:tcPr>
          <w:p>
            <w:pPr>
              <w:spacing w:after="40"/>
            </w:pPr>
            <w:r>
              <w:rPr>
                <w:sz w:val="20"/>
              </w:rPr>
              <w:t>3</w:t>
            </w:r>
          </w:p>
        </w:tc>
        <w:tc>
          <w:tcPr>
            <w:tcW w:type="dxa" w:w="1728"/>
          </w:tcPr>
          <w:p>
            <w:pPr>
              <w:spacing w:after="40"/>
            </w:pPr>
            <w:r>
              <w:rPr>
                <w:sz w:val="20"/>
              </w:rPr>
              <w:t>1:15 PM</w:t>
            </w:r>
          </w:p>
        </w:tc>
        <w:tc>
          <w:tcPr>
            <w:tcW w:type="dxa" w:w="2016"/>
          </w:tcPr>
          <w:p>
            <w:pPr>
              <w:spacing w:after="40"/>
            </w:pPr>
            <w:r>
              <w:rPr>
                <w:sz w:val="20"/>
              </w:rPr>
              <w:t>Email</w:t>
            </w:r>
          </w:p>
        </w:tc>
        <w:tc>
          <w:tcPr>
            <w:tcW w:type="dxa" w:w="6192"/>
          </w:tcPr>
          <w:p>
            <w:pPr>
              <w:spacing w:after="40"/>
            </w:pPr>
            <w:r>
              <w:rPr>
                <w:sz w:val="20"/>
              </w:rPr>
              <w:t>Complete pterygium removal guide</w:t>
            </w:r>
          </w:p>
        </w:tc>
      </w:tr>
      <w:tr>
        <w:tc>
          <w:tcPr>
            <w:tcW w:type="dxa" w:w="864"/>
          </w:tcPr>
          <w:p>
            <w:pPr>
              <w:spacing w:after="40"/>
            </w:pPr>
            <w:r>
              <w:rPr>
                <w:sz w:val="20"/>
              </w:rPr>
              <w:t>5</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Insurance coverage</w:t>
            </w:r>
          </w:p>
        </w:tc>
      </w:tr>
      <w:tr>
        <w:tc>
          <w:tcPr>
            <w:tcW w:type="dxa" w:w="864"/>
          </w:tcPr>
          <w:p>
            <w:pPr>
              <w:spacing w:after="40"/>
            </w:pPr>
            <w:r>
              <w:rPr>
                <w:sz w:val="20"/>
              </w:rPr>
              <w:t>5</w:t>
            </w:r>
          </w:p>
        </w:tc>
        <w:tc>
          <w:tcPr>
            <w:tcW w:type="dxa" w:w="1728"/>
          </w:tcPr>
          <w:p>
            <w:pPr>
              <w:spacing w:after="40"/>
            </w:pPr>
            <w:r>
              <w:rPr>
                <w:sz w:val="20"/>
              </w:rPr>
              <w:t>1:05 PM</w:t>
            </w:r>
          </w:p>
        </w:tc>
        <w:tc>
          <w:tcPr>
            <w:tcW w:type="dxa" w:w="2016"/>
          </w:tcPr>
          <w:p>
            <w:pPr>
              <w:spacing w:after="40"/>
            </w:pPr>
            <w:r>
              <w:rPr>
                <w:sz w:val="20"/>
              </w:rPr>
              <w:t>Call</w:t>
            </w:r>
          </w:p>
        </w:tc>
        <w:tc>
          <w:tcPr>
            <w:tcW w:type="dxa" w:w="6192"/>
          </w:tcPr>
          <w:p>
            <w:pPr>
              <w:spacing w:after="40"/>
            </w:pPr>
            <w:r>
              <w:rPr>
                <w:sz w:val="20"/>
              </w:rPr>
              <w:t>Follow-up call</w:t>
            </w:r>
          </w:p>
        </w:tc>
      </w:tr>
      <w:tr>
        <w:tc>
          <w:tcPr>
            <w:tcW w:type="dxa" w:w="864"/>
          </w:tcPr>
          <w:p>
            <w:pPr>
              <w:spacing w:after="40"/>
            </w:pPr>
            <w:r>
              <w:rPr>
                <w:sz w:val="20"/>
              </w:rPr>
              <w:t>7</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Patient testimonials</w:t>
            </w:r>
          </w:p>
        </w:tc>
      </w:tr>
      <w:tr>
        <w:tc>
          <w:tcPr>
            <w:tcW w:type="dxa" w:w="864"/>
          </w:tcPr>
          <w:p>
            <w:pPr>
              <w:spacing w:after="40"/>
            </w:pPr>
            <w:r>
              <w:rPr>
                <w:sz w:val="20"/>
              </w:rPr>
              <w:t>7</w:t>
            </w:r>
          </w:p>
        </w:tc>
        <w:tc>
          <w:tcPr>
            <w:tcW w:type="dxa" w:w="1728"/>
          </w:tcPr>
          <w:p>
            <w:pPr>
              <w:spacing w:after="40"/>
            </w:pPr>
            <w:r>
              <w:rPr>
                <w:sz w:val="20"/>
              </w:rPr>
              <w:t>1:05 PM</w:t>
            </w:r>
          </w:p>
        </w:tc>
        <w:tc>
          <w:tcPr>
            <w:tcW w:type="dxa" w:w="2016"/>
          </w:tcPr>
          <w:p>
            <w:pPr>
              <w:spacing w:after="40"/>
            </w:pPr>
            <w:r>
              <w:rPr>
                <w:sz w:val="20"/>
              </w:rPr>
              <w:t>Call</w:t>
            </w:r>
          </w:p>
        </w:tc>
        <w:tc>
          <w:tcPr>
            <w:tcW w:type="dxa" w:w="6192"/>
          </w:tcPr>
          <w:p>
            <w:pPr>
              <w:spacing w:after="40"/>
            </w:pPr>
            <w:r>
              <w:rPr>
                <w:sz w:val="20"/>
              </w:rPr>
              <w:t>Second follow-up call</w:t>
            </w:r>
          </w:p>
        </w:tc>
      </w:tr>
      <w:tr>
        <w:tc>
          <w:tcPr>
            <w:tcW w:type="dxa" w:w="864"/>
          </w:tcPr>
          <w:p>
            <w:pPr>
              <w:spacing w:after="40"/>
            </w:pPr>
            <w:r>
              <w:rPr>
                <w:sz w:val="20"/>
              </w:rPr>
              <w:t>10</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Lifestyle impact</w:t>
            </w:r>
          </w:p>
        </w:tc>
      </w:tr>
      <w:tr>
        <w:tc>
          <w:tcPr>
            <w:tcW w:type="dxa" w:w="864"/>
          </w:tcPr>
          <w:p>
            <w:pPr>
              <w:spacing w:after="40"/>
            </w:pPr>
            <w:r>
              <w:rPr>
                <w:sz w:val="20"/>
              </w:rPr>
              <w:t>14</w:t>
            </w:r>
          </w:p>
        </w:tc>
        <w:tc>
          <w:tcPr>
            <w:tcW w:type="dxa" w:w="1728"/>
          </w:tcPr>
          <w:p>
            <w:pPr>
              <w:spacing w:after="40"/>
            </w:pPr>
            <w:r>
              <w:rPr>
                <w:sz w:val="20"/>
              </w:rPr>
              <w:t>1:00 PM</w:t>
            </w:r>
          </w:p>
        </w:tc>
        <w:tc>
          <w:tcPr>
            <w:tcW w:type="dxa" w:w="2016"/>
          </w:tcPr>
          <w:p>
            <w:pPr>
              <w:spacing w:after="40"/>
            </w:pPr>
            <w:r>
              <w:rPr>
                <w:sz w:val="20"/>
              </w:rPr>
              <w:t>SMS</w:t>
            </w:r>
          </w:p>
        </w:tc>
        <w:tc>
          <w:tcPr>
            <w:tcW w:type="dxa" w:w="6192"/>
          </w:tcPr>
          <w:p>
            <w:pPr>
              <w:spacing w:after="40"/>
            </w:pPr>
            <w:r>
              <w:rPr>
                <w:sz w:val="20"/>
              </w:rPr>
              <w:t>Final message</w:t>
            </w:r>
          </w:p>
        </w:tc>
      </w:tr>
    </w:tbl>
    <w:p/>
    <w:p>
      <w:r>
        <w:rPr>
          <w:b w:val="0"/>
        </w:rPr>
        <w:t>The full message texts, email bodies and call scripts exist today and will be shared as a separate copy document, so this one stays short.</w:t>
      </w:r>
    </w:p>
    <w:p>
      <w:pPr>
        <w:pStyle w:val="Heading1"/>
      </w:pPr>
      <w:r>
        <w:rPr>
          <w:color w:val="1F3B5C"/>
        </w:rPr>
        <w:t>4. How each channel works</w:t>
      </w:r>
    </w:p>
    <w:p>
      <w:pPr>
        <w:pStyle w:val="Heading2"/>
      </w:pPr>
      <w:r>
        <w:rPr>
          <w:color w:val="1F3B5C"/>
        </w:rPr>
        <w:t>SMS</w:t>
      </w:r>
    </w:p>
    <w:p>
      <w:r>
        <w:rPr>
          <w:b w:val="0"/>
        </w:rPr>
        <w:t>Sent through Twilio from one business number. Plain text, personalized with the first name. Bitrix can keep Twilio through a webhook or connector, or use its own SMS provider. Delivery status must appear on the contact timeline, and permanent failures must stop retries.</w:t>
      </w:r>
    </w:p>
    <w:p>
      <w:pPr>
        <w:pStyle w:val="Heading2"/>
      </w:pPr>
      <w:r>
        <w:rPr>
          <w:color w:val="1F3B5C"/>
        </w:rPr>
        <w:t>Outbound AI calls</w:t>
      </w:r>
    </w:p>
    <w:p>
      <w:r>
        <w:rPr>
          <w:b w:val="0"/>
        </w:rPr>
        <w:t>This is the part we most want preserved. Each call step works in three levels:</w:t>
      </w:r>
    </w:p>
    <w:p>
      <w:pPr>
        <w:pStyle w:val="ListNumber"/>
      </w:pPr>
      <w:r>
        <w:t>First choice: an AI voice agent through Vapi. We send the patient number and name plus the call script for that step, and metadata (lead email, step name) so the call result can be matched back to the contact.</w:t>
      </w:r>
    </w:p>
    <w:p>
      <w:pPr>
        <w:pStyle w:val="ListNumber"/>
      </w:pPr>
      <w:r>
        <w:t>If Vapi is unavailable or the call fails: an automated Twilio Voice call.</w:t>
      </w:r>
    </w:p>
    <w:p>
      <w:pPr>
        <w:pStyle w:val="ListNumber"/>
      </w:pPr>
      <w:r>
        <w:t>If no automated call could be placed: staff are alerted with the lead details and the full call script so a person makes the call. Today this is an urgent email; in Bitrix it should become a task assigned to staff with a due time.</w:t>
      </w:r>
    </w:p>
    <w:p>
      <w:pPr>
        <w:pStyle w:val="Heading2"/>
      </w:pPr>
      <w:r>
        <w:rPr>
          <w:color w:val="1F3B5C"/>
        </w:rPr>
        <w:t>Email</w:t>
      </w:r>
    </w:p>
    <w:p>
      <w:r>
        <w:rPr>
          <w:b w:val="0"/>
        </w:rPr>
        <w:t>Campaign emails (PIE day 5, SMILE day 5, Pterygium day 3) are sent from our SMTP account. Transactional emails such as booking confirmations can stay on SMTP or move to Bitrix later.</w:t>
      </w:r>
    </w:p>
    <w:p>
      <w:pPr>
        <w:pStyle w:val="Heading1"/>
      </w:pPr>
      <w:r>
        <w:rPr>
          <w:color w:val="1F3B5C"/>
        </w:rPr>
        <w:t>5. Rules the Bitrix automation must match</w:t>
      </w:r>
    </w:p>
    <w:p>
      <w:pPr>
        <w:pStyle w:val="ListBullet"/>
      </w:pPr>
      <w:r>
        <w:t>A worker checks for due steps every 5 minutes. Delivery within a few minutes of 1:00 PM is fine.</w:t>
      </w:r>
    </w:p>
    <w:p>
      <w:pPr>
        <w:pStyle w:val="ListBullet"/>
      </w:pPr>
      <w:r>
        <w:t>Each step is sent exactly once. A step being processed is locked so it cannot be sent twice.</w:t>
      </w:r>
    </w:p>
    <w:p>
      <w:pPr>
        <w:pStyle w:val="ListBullet"/>
      </w:pPr>
      <w:r>
        <w:t>Temporary failures retry up to 3 times. Permanent failures (invalid number, blocked, unsubscribed, unreachable) stop immediately with no retry.</w:t>
      </w:r>
    </w:p>
    <w:p>
      <w:pPr>
        <w:pStyle w:val="ListBullet"/>
      </w:pPr>
      <w:r>
        <w:t>A failed step never blocks later steps. Each step is independent.</w:t>
      </w:r>
    </w:p>
    <w:p>
      <w:pPr>
        <w:pStyle w:val="ListBullet"/>
      </w:pPr>
      <w:r>
        <w:t>Duplicates: if the same email or phone enrolls again within 24 hours, do not start a second sequence, unless the first one never successfully started.</w:t>
      </w:r>
    </w:p>
    <w:p>
      <w:pPr>
        <w:pStyle w:val="ListBullet"/>
      </w:pPr>
      <w:r>
        <w:t>Test leads (email ends in example.com or contains "test") are never enrolled.</w:t>
      </w:r>
    </w:p>
    <w:p>
      <w:pPr>
        <w:pStyle w:val="ListBullet"/>
      </w:pPr>
      <w:r>
        <w:t>Leads with a phone number that fails validation still get the CRM entry and emails, but skip SMS and calls, with the reason recorded.</w:t>
      </w:r>
    </w:p>
    <w:p>
      <w:pPr>
        <w:pStyle w:val="Heading1"/>
      </w:pPr>
      <w:r>
        <w:rPr>
          <w:color w:val="1F3B5C"/>
        </w:rPr>
        <w:t>6. Phone numbers, consent and opt-out</w:t>
      </w:r>
    </w:p>
    <w:p>
      <w:r>
        <w:rPr>
          <w:b w:val="0"/>
        </w:rPr>
        <w:t>Phone numbers are normalized to international format before sending. US numbers are validated as real 10-digit numbers; when a 10-digit number is ambiguous and the lead location is one of our California offices, it is treated as US.</w:t>
      </w:r>
    </w:p>
    <w:p>
      <w:r>
        <w:rPr>
          <w:b w:val="0"/>
        </w:rPr>
        <w:t>Booking forms record SMS and email consent. STOP replies are honored at the carrier level and treated as permanent. The AI call agents are instructed to confirm and honor any request to stop calls or texts.</w:t>
      </w:r>
    </w:p>
    <w:p>
      <w:r>
        <w:rPr>
          <w:b w:val="0"/>
        </w:rPr>
        <w:t>Requirement for Bitrix: an opt-out flag on the contact that is set by a STOP reply or a call opt-out, and that immediately cancels all remaining steps. Today this cancellation is manual on our side; in Bitrix it should be automatic.</w:t>
      </w:r>
    </w:p>
    <w:p>
      <w:r>
        <w:rPr>
          <w:b w:val="0"/>
        </w:rPr>
        <w:t>We also need admin controls: turn each campaign on or off, cancel remaining steps for one contact, cancel everything (kill switch), and a report of enrollments with the status of each step.</w:t>
      </w:r>
    </w:p>
    <w:p>
      <w:pPr>
        <w:pStyle w:val="Heading1"/>
      </w:pPr>
      <w:r>
        <w:rPr>
          <w:color w:val="1F3B5C"/>
        </w:rPr>
        <w:t>7. CRM fields that drive the automation</w:t>
      </w:r>
    </w:p>
    <w:tbl>
      <w:tblPr>
        <w:tblStyle w:val="TableGrid"/>
        <w:tblW w:type="auto" w:w="0"/>
        <w:tblLook w:firstColumn="1" w:firstRow="1" w:lastColumn="0" w:lastRow="0" w:noHBand="0" w:noVBand="1" w:val="04A0"/>
      </w:tblPr>
      <w:tblGrid>
        <w:gridCol w:w="2880"/>
        <w:gridCol w:w="2880"/>
        <w:gridCol w:w="2880"/>
      </w:tblGrid>
      <w:tr>
        <w:tc>
          <w:tcPr>
            <w:tcW w:type="dxa" w:w="2592"/>
          </w:tcPr>
          <w:p>
            <w:pPr>
              <w:spacing w:after="40"/>
            </w:pPr>
            <w:r>
              <w:rPr>
                <w:sz w:val="20"/>
              </w:rPr>
            </w:r>
            <w:r>
              <w:rPr>
                <w:b/>
                <w:sz w:val="20"/>
              </w:rPr>
              <w:t>Field</w:t>
            </w:r>
          </w:p>
        </w:tc>
        <w:tc>
          <w:tcPr>
            <w:tcW w:type="dxa" w:w="2880"/>
          </w:tcPr>
          <w:p>
            <w:pPr>
              <w:spacing w:after="40"/>
            </w:pPr>
            <w:r>
              <w:rPr>
                <w:sz w:val="20"/>
              </w:rPr>
            </w:r>
            <w:r>
              <w:rPr>
                <w:b/>
                <w:sz w:val="20"/>
              </w:rPr>
              <w:t>Example</w:t>
            </w:r>
          </w:p>
        </w:tc>
        <w:tc>
          <w:tcPr>
            <w:tcW w:type="dxa" w:w="5328"/>
          </w:tcPr>
          <w:p>
            <w:pPr>
              <w:spacing w:after="40"/>
            </w:pPr>
            <w:r>
              <w:rPr>
                <w:sz w:val="20"/>
              </w:rPr>
            </w:r>
            <w:r>
              <w:rPr>
                <w:b/>
                <w:sz w:val="20"/>
              </w:rPr>
              <w:t>Purpose</w:t>
            </w:r>
          </w:p>
        </w:tc>
      </w:tr>
      <w:tr>
        <w:tc>
          <w:tcPr>
            <w:tcW w:type="dxa" w:w="2592"/>
          </w:tcPr>
          <w:p>
            <w:pPr>
              <w:spacing w:after="40"/>
            </w:pPr>
            <w:r>
              <w:rPr>
                <w:sz w:val="20"/>
              </w:rPr>
              <w:t>Procedure Interested</w:t>
            </w:r>
          </w:p>
        </w:tc>
        <w:tc>
          <w:tcPr>
            <w:tcW w:type="dxa" w:w="2880"/>
          </w:tcPr>
          <w:p>
            <w:pPr>
              <w:spacing w:after="40"/>
            </w:pPr>
            <w:r>
              <w:rPr>
                <w:sz w:val="20"/>
              </w:rPr>
              <w:t>PIE, SMILE, LASIK</w:t>
            </w:r>
          </w:p>
        </w:tc>
        <w:tc>
          <w:tcPr>
            <w:tcW w:type="dxa" w:w="5328"/>
          </w:tcPr>
          <w:p>
            <w:pPr>
              <w:spacing w:after="40"/>
            </w:pPr>
            <w:r>
              <w:rPr>
                <w:sz w:val="20"/>
              </w:rPr>
              <w:t>Chooses which campaign applies</w:t>
            </w:r>
          </w:p>
        </w:tc>
      </w:tr>
      <w:tr>
        <w:tc>
          <w:tcPr>
            <w:tcW w:type="dxa" w:w="2592"/>
          </w:tcPr>
          <w:p>
            <w:pPr>
              <w:spacing w:after="40"/>
            </w:pPr>
            <w:r>
              <w:rPr>
                <w:sz w:val="20"/>
              </w:rPr>
              <w:t>Autoresponder Stage</w:t>
            </w:r>
          </w:p>
        </w:tc>
        <w:tc>
          <w:tcPr>
            <w:tcW w:type="dxa" w:w="2880"/>
          </w:tcPr>
          <w:p>
            <w:pPr>
              <w:spacing w:after="40"/>
            </w:pPr>
            <w:r>
              <w:rPr>
                <w:sz w:val="20"/>
              </w:rPr>
              <w:t>Stage 1</w:t>
            </w:r>
          </w:p>
        </w:tc>
        <w:tc>
          <w:tcPr>
            <w:tcW w:type="dxa" w:w="5328"/>
          </w:tcPr>
          <w:p>
            <w:pPr>
              <w:spacing w:after="40"/>
            </w:pPr>
            <w:r>
              <w:rPr>
                <w:sz w:val="20"/>
              </w:rPr>
              <w:t>The trigger. Bitrix can also advance it as the campaign progresses</w:t>
            </w:r>
          </w:p>
        </w:tc>
      </w:tr>
      <w:tr>
        <w:tc>
          <w:tcPr>
            <w:tcW w:type="dxa" w:w="2592"/>
          </w:tcPr>
          <w:p>
            <w:pPr>
              <w:spacing w:after="40"/>
            </w:pPr>
            <w:r>
              <w:rPr>
                <w:sz w:val="20"/>
              </w:rPr>
              <w:t>Lead Page URL</w:t>
            </w:r>
          </w:p>
        </w:tc>
        <w:tc>
          <w:tcPr>
            <w:tcW w:type="dxa" w:w="2880"/>
          </w:tcPr>
          <w:p>
            <w:pPr>
              <w:spacing w:after="40"/>
            </w:pPr>
            <w:r>
              <w:rPr>
                <w:sz w:val="20"/>
              </w:rPr>
              <w:t>the page the lead came from</w:t>
            </w:r>
          </w:p>
        </w:tc>
        <w:tc>
          <w:tcPr>
            <w:tcW w:type="dxa" w:w="5328"/>
          </w:tcPr>
          <w:p>
            <w:pPr>
              <w:spacing w:after="40"/>
            </w:pPr>
            <w:r>
              <w:rPr>
                <w:sz w:val="20"/>
              </w:rPr>
              <w:t>Source tracking, also part of PIE detection</w:t>
            </w:r>
          </w:p>
        </w:tc>
      </w:tr>
      <w:tr>
        <w:tc>
          <w:tcPr>
            <w:tcW w:type="dxa" w:w="2592"/>
          </w:tcPr>
          <w:p>
            <w:pPr>
              <w:spacing w:after="40"/>
            </w:pPr>
            <w:r>
              <w:rPr>
                <w:sz w:val="20"/>
              </w:rPr>
              <w:t>SMS Opt In / Email Opt In</w:t>
            </w:r>
          </w:p>
        </w:tc>
        <w:tc>
          <w:tcPr>
            <w:tcW w:type="dxa" w:w="2880"/>
          </w:tcPr>
          <w:p>
            <w:pPr>
              <w:spacing w:after="40"/>
            </w:pPr>
            <w:r>
              <w:rPr>
                <w:sz w:val="20"/>
              </w:rPr>
              <w:t>yes</w:t>
            </w:r>
          </w:p>
        </w:tc>
        <w:tc>
          <w:tcPr>
            <w:tcW w:type="dxa" w:w="5328"/>
          </w:tcPr>
          <w:p>
            <w:pPr>
              <w:spacing w:after="40"/>
            </w:pPr>
            <w:r>
              <w:rPr>
                <w:sz w:val="20"/>
              </w:rPr>
              <w:t>Consent</w:t>
            </w:r>
          </w:p>
        </w:tc>
      </w:tr>
      <w:tr>
        <w:tc>
          <w:tcPr>
            <w:tcW w:type="dxa" w:w="2592"/>
          </w:tcPr>
          <w:p>
            <w:pPr>
              <w:spacing w:after="40"/>
            </w:pPr>
            <w:r>
              <w:rPr>
                <w:sz w:val="20"/>
              </w:rPr>
              <w:t>Consult Booked</w:t>
            </w:r>
          </w:p>
        </w:tc>
        <w:tc>
          <w:tcPr>
            <w:tcW w:type="dxa" w:w="2880"/>
          </w:tcPr>
          <w:p>
            <w:pPr>
              <w:spacing w:after="40"/>
            </w:pPr>
            <w:r>
              <w:rPr>
                <w:sz w:val="20"/>
              </w:rPr>
              <w:t>2026-07-28</w:t>
            </w:r>
          </w:p>
        </w:tc>
        <w:tc>
          <w:tcPr>
            <w:tcW w:type="dxa" w:w="5328"/>
          </w:tcPr>
          <w:p>
            <w:pPr>
              <w:spacing w:after="40"/>
            </w:pPr>
            <w:r>
              <w:rPr>
                <w:sz w:val="20"/>
              </w:rPr>
              <w:t>Preferred consultation date</w:t>
            </w:r>
          </w:p>
        </w:tc>
      </w:tr>
      <w:tr>
        <w:tc>
          <w:tcPr>
            <w:tcW w:type="dxa" w:w="2592"/>
          </w:tcPr>
          <w:p>
            <w:pPr>
              <w:spacing w:after="40"/>
            </w:pPr>
            <w:r>
              <w:rPr>
                <w:sz w:val="20"/>
              </w:rPr>
              <w:t>Lead Source</w:t>
            </w:r>
          </w:p>
        </w:tc>
        <w:tc>
          <w:tcPr>
            <w:tcW w:type="dxa" w:w="2880"/>
          </w:tcPr>
          <w:p>
            <w:pPr>
              <w:spacing w:after="40"/>
            </w:pPr>
            <w:r>
              <w:rPr>
                <w:sz w:val="20"/>
              </w:rPr>
              <w:t>PIE Book Consultation</w:t>
            </w:r>
          </w:p>
        </w:tc>
        <w:tc>
          <w:tcPr>
            <w:tcW w:type="dxa" w:w="5328"/>
          </w:tcPr>
          <w:p>
            <w:pPr>
              <w:spacing w:after="40"/>
            </w:pPr>
            <w:r>
              <w:rPr>
                <w:sz w:val="20"/>
              </w:rPr>
              <w:t>Reporting</w:t>
            </w:r>
          </w:p>
        </w:tc>
      </w:tr>
    </w:tbl>
    <w:p/>
    <w:p>
      <w:r>
        <w:rPr>
          <w:b w:val="0"/>
        </w:rPr>
        <w:t>One improvement we want: today the campaign runs to the end even if the patient books or attends mid-way. In Bitrix the sequence should stop automatically when the lead converts or opts out.</w:t>
      </w:r>
    </w:p>
    <w:p>
      <w:pPr>
        <w:pStyle w:val="Heading1"/>
      </w:pPr>
      <w:r>
        <w:rPr>
          <w:color w:val="1F3B5C"/>
        </w:rPr>
        <w:t>8. Checklist for the Bitrix team</w:t>
      </w:r>
    </w:p>
    <w:p>
      <w:pPr>
        <w:pStyle w:val="ListNumber"/>
      </w:pPr>
      <w:r>
        <w:t>Start a campaign from lead create or update, based on Procedure Interested and Autoresponder Stage.</w:t>
      </w:r>
    </w:p>
    <w:p>
      <w:pPr>
        <w:pStyle w:val="ListNumber"/>
      </w:pPr>
      <w:r>
        <w:t>Calendar-day scheduling at 1:00 PM Los Angeles time, including the before/after 1 PM rule for Day 0.</w:t>
      </w:r>
    </w:p>
    <w:p>
      <w:pPr>
        <w:pStyle w:val="ListNumber"/>
      </w:pPr>
      <w:r>
        <w:t>SMS, email and phone call steps in one sequence, with minute-level offsets.</w:t>
      </w:r>
    </w:p>
    <w:p>
      <w:pPr>
        <w:pStyle w:val="ListNumber"/>
      </w:pPr>
      <w:r>
        <w:t>Webhook step for AI calls, call outcome recorded on the timeline, staff task created when no automated call could be placed.</w:t>
      </w:r>
    </w:p>
    <w:p>
      <w:pPr>
        <w:pStyle w:val="ListNumber"/>
      </w:pPr>
      <w:r>
        <w:t>A/B message variants for SMILE, with the variant stored per contact.</w:t>
      </w:r>
    </w:p>
    <w:p>
      <w:pPr>
        <w:pStyle w:val="ListNumber"/>
      </w:pPr>
      <w:r>
        <w:t>24-hour duplicate protection by email or phone.</w:t>
      </w:r>
    </w:p>
    <w:p>
      <w:pPr>
        <w:pStyle w:val="ListNumber"/>
      </w:pPr>
      <w:r>
        <w:t>Retry policy: 3 attempts for temporary failures, immediate stop for permanent ones.</w:t>
      </w:r>
    </w:p>
    <w:p>
      <w:pPr>
        <w:pStyle w:val="ListNumber"/>
      </w:pPr>
      <w:r>
        <w:t>Automatic stop on opt-out and on conversion.</w:t>
      </w:r>
    </w:p>
    <w:p>
      <w:pPr>
        <w:pStyle w:val="ListNumber"/>
      </w:pPr>
      <w:r>
        <w:t>Admin controls: campaign on/off switches, per-contact cancel, global cancel, status report.</w:t>
      </w:r>
    </w:p>
    <w:p>
      <w:pPr>
        <w:pStyle w:val="ListNumber"/>
      </w:pPr>
      <w:r>
        <w:t>Test-lead guard so internal testing never reaches real patients.</w:t>
      </w:r>
    </w:p>
    <w:p>
      <w:pPr>
        <w:pStyle w:val="ListNumber"/>
      </w:pPr>
      <w:r>
        <w:t>Every message and call logged on the contact timeline.</w:t>
      </w:r>
    </w:p>
    <w:p/>
    <w:p>
      <w:r>
        <w:rPr>
          <w:b w:val="0"/>
        </w:rPr>
        <w:t>Questions about current behavior, sample payloads, or the Twilio and Vapi setup: KVI web team, info@khannavision.com. The full message copy for all three campaigns will be provided as a separate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