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Присутствует адаптивность для смартфонов.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просмотра документов необходимо зарегистрироваться.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52700" cy="1771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авторизации 3 дня пробного периода, далее необходимо приобрести платную подписку.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19575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Функционал сайта: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справочная система, созданная специально для руководителей и специалистов в области охраны труда. Система дает однозначный и ответ на вопрос из этой области. Рекомендации дают специалисты министерств и ведомств. материалы снабжены ссылками на нормативные документы, которые можно посмотреть во встроенной правовой базе.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системе есть: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свежие номера и архив профессиональных журналов;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нормативные акты по охране труда;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база унифицированных и нетиповых форм с подсказками по заполнению;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справочные таблицы;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обучение в дистанционной Школе Охраны труда;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сервисы и расчетчики по охране труда, например, сервис, который поможет определить когда ждать ГИТ, расчетчик численности специалистов по охране труда и т. п.;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видеозапись вебинаров, конференций и лекций по охране труда.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