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 рабочем месте организации, где была пройдена практика стояли мини-компьютеры от Apple.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Модель микропроцессора:</w:t>
        <w:tab/>
        <w:t xml:space="preserve">4‑ядерный Intel Core i3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Тактовая частота микропроцессора:</w:t>
        <w:tab/>
        <w:t xml:space="preserve">3,6 ГГц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Объем и вид памяти:</w:t>
        <w:tab/>
        <w:t xml:space="preserve">8 ГБ DDR4 2666 МГц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Накопители на магнитных и магнитооптических дисках:</w:t>
        <w:tab/>
        <w:t xml:space="preserve">Отсутствуют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Модель винчестера:</w:t>
        <w:tab/>
        <w:t xml:space="preserve">SSD-накопитель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Ёмкость винчестера:</w:t>
        <w:tab/>
        <w:t xml:space="preserve">2 x 256 ГБ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Интерфейс винчестера:</w:t>
        <w:tab/>
        <w:t xml:space="preserve">PCI Express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Модель видеокарты:</w:t>
        <w:tab/>
        <w:t xml:space="preserve">Intel UHD Graphics 630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Объем видеопамяти</w:t>
        <w:tab/>
        <w:t xml:space="preserve">Видеокарта – интегрированный чип, поэтому не комплектуется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своей видеопамятью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Дополнительное оборудование:</w:t>
        <w:tab/>
        <w:t xml:space="preserve">Подключение к сетям Wi‑Fi 802.11ac,</w:t>
      </w:r>
    </w:p>
    <w:p w:rsidR="00000000" w:rsidDel="00000000" w:rsidP="00000000" w:rsidRDefault="00000000" w:rsidRPr="00000000" w14:paraId="0000000D">
      <w:pPr>
        <w:ind w:left="2880" w:firstLine="720"/>
        <w:rPr/>
      </w:pPr>
      <w:r w:rsidDel="00000000" w:rsidR="00000000" w:rsidRPr="00000000">
        <w:rPr>
          <w:rtl w:val="0"/>
        </w:rPr>
        <w:t xml:space="preserve">Совместимость со стандартом IEEE 802.11a/b/g/n;</w:t>
      </w:r>
    </w:p>
    <w:p w:rsidR="00000000" w:rsidDel="00000000" w:rsidP="00000000" w:rsidRDefault="00000000" w:rsidRPr="00000000" w14:paraId="0000000E">
      <w:pPr>
        <w:ind w:left="2880" w:firstLine="720"/>
        <w:rPr/>
      </w:pPr>
      <w:r w:rsidDel="00000000" w:rsidR="00000000" w:rsidRPr="00000000">
        <w:rPr>
          <w:rtl w:val="0"/>
        </w:rPr>
        <w:t xml:space="preserve">Беспроводная технология Bluetooth 5.0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