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F39" w:rsidRPr="00D37B11" w:rsidRDefault="00A06F39" w:rsidP="00A06F39">
      <w:pPr>
        <w:pStyle w:val="Heading2"/>
        <w:spacing w:before="0" w:line="360" w:lineRule="auto"/>
        <w:contextualSpacing/>
        <w:rPr>
          <w:rFonts w:ascii="Times New Roman" w:hAnsi="Times New Roman" w:cs="Times New Roman"/>
          <w:b/>
          <w:color w:val="auto"/>
          <w:sz w:val="28"/>
          <w:szCs w:val="28"/>
          <w:lang w:val="vi-VN"/>
        </w:rPr>
      </w:pPr>
      <w:bookmarkStart w:id="0" w:name="_Toc534260201"/>
      <w:r w:rsidRPr="00D37B11">
        <w:rPr>
          <w:rFonts w:ascii="Times New Roman" w:hAnsi="Times New Roman" w:cs="Times New Roman"/>
          <w:b/>
          <w:color w:val="auto"/>
          <w:sz w:val="28"/>
          <w:szCs w:val="28"/>
          <w:lang w:val="vi-VN"/>
        </w:rPr>
        <w:t>3.2. Kết quả phân tích bào tử phấn hoa</w:t>
      </w:r>
      <w:bookmarkEnd w:id="0"/>
      <w:r w:rsidRPr="00D37B11">
        <w:rPr>
          <w:rFonts w:ascii="Times New Roman" w:hAnsi="Times New Roman" w:cs="Times New Roman"/>
          <w:b/>
          <w:color w:val="auto"/>
          <w:sz w:val="28"/>
          <w:szCs w:val="28"/>
          <w:lang w:val="vi-VN"/>
        </w:rPr>
        <w:t xml:space="preserve"> </w:t>
      </w:r>
    </w:p>
    <w:p w:rsidR="00A06F39" w:rsidRDefault="00A06F39" w:rsidP="00A06F39">
      <w:pPr>
        <w:spacing w:before="0" w:after="0" w:line="360" w:lineRule="auto"/>
        <w:contextualSpacing/>
        <w:rPr>
          <w:noProof/>
          <w:sz w:val="28"/>
          <w:szCs w:val="28"/>
          <w:lang w:val="vi-VN"/>
        </w:rPr>
      </w:pPr>
      <w:r w:rsidRPr="00D37B11">
        <w:rPr>
          <w:noProof/>
          <w:sz w:val="28"/>
          <w:szCs w:val="28"/>
          <w:lang w:val="vi-VN"/>
        </w:rPr>
        <w:t xml:space="preserve">Nguyên liệu: Để nghiên cứu thành phần thực vật và môi trường của di chỉ và khu vực, chúng tôi đã lấy </w:t>
      </w:r>
      <w:r w:rsidR="0032740B">
        <w:rPr>
          <w:noProof/>
          <w:sz w:val="28"/>
          <w:szCs w:val="28"/>
          <w:lang w:val="en-SG"/>
        </w:rPr>
        <w:t>6</w:t>
      </w:r>
      <w:r w:rsidRPr="00D37B11">
        <w:rPr>
          <w:noProof/>
          <w:sz w:val="28"/>
          <w:szCs w:val="28"/>
          <w:lang w:val="vi-VN"/>
        </w:rPr>
        <w:t xml:space="preserve"> mẫu </w:t>
      </w:r>
      <w:r w:rsidR="006856D4">
        <w:rPr>
          <w:noProof/>
          <w:sz w:val="28"/>
          <w:szCs w:val="28"/>
        </w:rPr>
        <w:t xml:space="preserve">tại </w:t>
      </w:r>
      <w:r w:rsidR="0032740B">
        <w:rPr>
          <w:noProof/>
          <w:sz w:val="28"/>
          <w:szCs w:val="28"/>
        </w:rPr>
        <w:t xml:space="preserve">TL.H1 </w:t>
      </w:r>
      <w:r w:rsidR="006856D4">
        <w:rPr>
          <w:noProof/>
          <w:sz w:val="28"/>
          <w:szCs w:val="28"/>
        </w:rPr>
        <w:t xml:space="preserve">từ độ sâu </w:t>
      </w:r>
      <w:r w:rsidR="0032740B">
        <w:rPr>
          <w:noProof/>
          <w:sz w:val="28"/>
          <w:szCs w:val="28"/>
        </w:rPr>
        <w:t>20</w:t>
      </w:r>
      <w:r w:rsidR="006856D4">
        <w:rPr>
          <w:noProof/>
          <w:sz w:val="28"/>
          <w:szCs w:val="28"/>
        </w:rPr>
        <w:t xml:space="preserve"> đến </w:t>
      </w:r>
      <w:r w:rsidR="0032740B">
        <w:rPr>
          <w:noProof/>
          <w:sz w:val="28"/>
          <w:szCs w:val="28"/>
        </w:rPr>
        <w:t>130</w:t>
      </w:r>
      <w:r w:rsidR="006856D4">
        <w:rPr>
          <w:noProof/>
          <w:sz w:val="28"/>
          <w:szCs w:val="28"/>
        </w:rPr>
        <w:t xml:space="preserve"> cm (bảng 1)</w:t>
      </w:r>
      <w:r w:rsidRPr="00D37B11">
        <w:rPr>
          <w:noProof/>
          <w:sz w:val="28"/>
          <w:szCs w:val="28"/>
          <w:lang w:val="vi-VN"/>
        </w:rPr>
        <w:t>.</w:t>
      </w:r>
    </w:p>
    <w:tbl>
      <w:tblPr>
        <w:tblW w:w="89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948"/>
        <w:gridCol w:w="992"/>
        <w:gridCol w:w="964"/>
        <w:gridCol w:w="1134"/>
        <w:gridCol w:w="3997"/>
      </w:tblGrid>
      <w:tr w:rsidR="00A06F39" w:rsidRPr="00F868B2" w:rsidTr="006856D4">
        <w:trPr>
          <w:jc w:val="center"/>
        </w:trPr>
        <w:tc>
          <w:tcPr>
            <w:tcW w:w="895" w:type="dxa"/>
            <w:vAlign w:val="center"/>
          </w:tcPr>
          <w:p w:rsidR="00A06F39" w:rsidRPr="00F868B2" w:rsidRDefault="00A06F39" w:rsidP="00B00C7E">
            <w:pPr>
              <w:spacing w:before="0" w:after="0" w:line="240" w:lineRule="auto"/>
              <w:ind w:firstLine="0"/>
              <w:contextualSpacing/>
              <w:jc w:val="center"/>
              <w:rPr>
                <w:rFonts w:eastAsia="Timeé"/>
                <w:b/>
                <w:sz w:val="20"/>
                <w:szCs w:val="20"/>
              </w:rPr>
            </w:pPr>
            <w:r w:rsidRPr="00F868B2">
              <w:rPr>
                <w:rFonts w:eastAsia="Timeé"/>
                <w:b/>
                <w:sz w:val="20"/>
                <w:szCs w:val="20"/>
              </w:rPr>
              <w:t>Đơn vị địa tầng</w:t>
            </w:r>
          </w:p>
        </w:tc>
        <w:tc>
          <w:tcPr>
            <w:tcW w:w="948" w:type="dxa"/>
            <w:vAlign w:val="center"/>
          </w:tcPr>
          <w:p w:rsidR="00A06F39" w:rsidRPr="00F868B2" w:rsidRDefault="00A06F39" w:rsidP="00B00C7E">
            <w:pPr>
              <w:spacing w:before="0" w:after="0" w:line="240" w:lineRule="auto"/>
              <w:ind w:firstLine="0"/>
              <w:contextualSpacing/>
              <w:jc w:val="center"/>
              <w:rPr>
                <w:rFonts w:eastAsia="Timeé"/>
                <w:b/>
                <w:sz w:val="20"/>
                <w:szCs w:val="20"/>
              </w:rPr>
            </w:pPr>
            <w:r w:rsidRPr="00F868B2">
              <w:rPr>
                <w:rFonts w:eastAsia="Timeé"/>
                <w:b/>
                <w:sz w:val="20"/>
                <w:szCs w:val="20"/>
              </w:rPr>
              <w:t>Ô khai quật</w:t>
            </w:r>
          </w:p>
        </w:tc>
        <w:tc>
          <w:tcPr>
            <w:tcW w:w="992" w:type="dxa"/>
            <w:vAlign w:val="center"/>
          </w:tcPr>
          <w:p w:rsidR="00A06F39" w:rsidRPr="00F868B2" w:rsidRDefault="00A06F39" w:rsidP="00B00C7E">
            <w:pPr>
              <w:spacing w:before="0" w:after="0" w:line="240" w:lineRule="auto"/>
              <w:ind w:firstLine="0"/>
              <w:contextualSpacing/>
              <w:jc w:val="center"/>
              <w:rPr>
                <w:rFonts w:eastAsia="Timeé"/>
                <w:b/>
                <w:sz w:val="20"/>
                <w:szCs w:val="20"/>
              </w:rPr>
            </w:pPr>
            <w:r w:rsidRPr="00F868B2">
              <w:rPr>
                <w:rFonts w:eastAsia="Timeé"/>
                <w:b/>
                <w:sz w:val="20"/>
                <w:szCs w:val="20"/>
              </w:rPr>
              <w:t>Lớp khai quật</w:t>
            </w:r>
          </w:p>
        </w:tc>
        <w:tc>
          <w:tcPr>
            <w:tcW w:w="964" w:type="dxa"/>
          </w:tcPr>
          <w:p w:rsidR="00A06F39" w:rsidRPr="00F868B2" w:rsidRDefault="00A06F39" w:rsidP="00B00C7E">
            <w:pPr>
              <w:spacing w:before="0" w:after="0" w:line="240" w:lineRule="auto"/>
              <w:ind w:firstLine="0"/>
              <w:contextualSpacing/>
              <w:jc w:val="center"/>
              <w:rPr>
                <w:rFonts w:eastAsia="Timeé"/>
                <w:b/>
                <w:sz w:val="20"/>
                <w:szCs w:val="20"/>
              </w:rPr>
            </w:pPr>
            <w:r w:rsidRPr="00F868B2">
              <w:rPr>
                <w:rFonts w:eastAsia="Timeé"/>
                <w:b/>
                <w:sz w:val="20"/>
                <w:szCs w:val="20"/>
              </w:rPr>
              <w:t>Mẫu phấn hoa</w:t>
            </w:r>
          </w:p>
        </w:tc>
        <w:tc>
          <w:tcPr>
            <w:tcW w:w="1134" w:type="dxa"/>
          </w:tcPr>
          <w:p w:rsidR="00A06F39" w:rsidRPr="00F868B2" w:rsidRDefault="00A06F39" w:rsidP="00B00C7E">
            <w:pPr>
              <w:spacing w:before="0" w:after="0" w:line="240" w:lineRule="auto"/>
              <w:ind w:firstLine="0"/>
              <w:contextualSpacing/>
              <w:jc w:val="center"/>
              <w:rPr>
                <w:rFonts w:eastAsia="Timeé"/>
                <w:b/>
                <w:sz w:val="20"/>
                <w:szCs w:val="20"/>
              </w:rPr>
            </w:pPr>
            <w:r w:rsidRPr="00F868B2">
              <w:rPr>
                <w:rFonts w:eastAsia="Timeé"/>
                <w:b/>
                <w:sz w:val="20"/>
                <w:szCs w:val="20"/>
              </w:rPr>
              <w:t>Độ sâu (cm)</w:t>
            </w:r>
          </w:p>
        </w:tc>
        <w:tc>
          <w:tcPr>
            <w:tcW w:w="3997" w:type="dxa"/>
            <w:vAlign w:val="center"/>
          </w:tcPr>
          <w:p w:rsidR="00A06F39" w:rsidRPr="00F868B2" w:rsidRDefault="00A06F39" w:rsidP="00B00C7E">
            <w:pPr>
              <w:spacing w:before="0" w:after="0" w:line="240" w:lineRule="auto"/>
              <w:contextualSpacing/>
              <w:jc w:val="center"/>
              <w:rPr>
                <w:rFonts w:eastAsia="Timeé"/>
                <w:b/>
                <w:sz w:val="20"/>
                <w:szCs w:val="20"/>
              </w:rPr>
            </w:pPr>
            <w:r w:rsidRPr="00F868B2">
              <w:rPr>
                <w:rFonts w:eastAsia="Timeé"/>
                <w:b/>
                <w:sz w:val="20"/>
                <w:szCs w:val="20"/>
              </w:rPr>
              <w:t>Mô tả</w:t>
            </w:r>
          </w:p>
        </w:tc>
      </w:tr>
      <w:tr w:rsidR="006856D4" w:rsidRPr="00F868B2" w:rsidTr="006856D4">
        <w:trPr>
          <w:jc w:val="center"/>
        </w:trPr>
        <w:tc>
          <w:tcPr>
            <w:tcW w:w="895"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48"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92"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64" w:type="dxa"/>
          </w:tcPr>
          <w:p w:rsidR="006856D4" w:rsidRPr="006856D4" w:rsidRDefault="00BF1466" w:rsidP="00B00C7E">
            <w:pPr>
              <w:spacing w:before="0" w:after="0" w:line="240" w:lineRule="auto"/>
              <w:ind w:firstLine="0"/>
              <w:contextualSpacing/>
              <w:jc w:val="center"/>
              <w:rPr>
                <w:rFonts w:eastAsia="Timeé"/>
                <w:sz w:val="20"/>
                <w:szCs w:val="20"/>
              </w:rPr>
            </w:pPr>
            <w:r>
              <w:rPr>
                <w:rFonts w:eastAsia="Timeé"/>
                <w:sz w:val="20"/>
                <w:szCs w:val="20"/>
              </w:rPr>
              <w:t>06</w:t>
            </w:r>
          </w:p>
        </w:tc>
        <w:tc>
          <w:tcPr>
            <w:tcW w:w="1134" w:type="dxa"/>
          </w:tcPr>
          <w:p w:rsidR="006856D4" w:rsidRPr="006856D4" w:rsidRDefault="0032740B" w:rsidP="00B00C7E">
            <w:pPr>
              <w:spacing w:before="0" w:after="0" w:line="240" w:lineRule="auto"/>
              <w:ind w:firstLine="0"/>
              <w:contextualSpacing/>
              <w:jc w:val="center"/>
              <w:rPr>
                <w:rFonts w:eastAsia="Timeé"/>
                <w:sz w:val="20"/>
                <w:szCs w:val="20"/>
              </w:rPr>
            </w:pPr>
            <w:r>
              <w:rPr>
                <w:rFonts w:eastAsia="Timeé"/>
                <w:sz w:val="20"/>
                <w:szCs w:val="20"/>
              </w:rPr>
              <w:t>20-30</w:t>
            </w:r>
          </w:p>
        </w:tc>
        <w:tc>
          <w:tcPr>
            <w:tcW w:w="3997" w:type="dxa"/>
            <w:vAlign w:val="center"/>
          </w:tcPr>
          <w:p w:rsidR="006856D4" w:rsidRPr="006856D4" w:rsidRDefault="006856D4" w:rsidP="00B00C7E">
            <w:pPr>
              <w:spacing w:before="0" w:after="0" w:line="240" w:lineRule="auto"/>
              <w:contextualSpacing/>
              <w:jc w:val="center"/>
              <w:rPr>
                <w:rFonts w:eastAsia="Timeé"/>
                <w:sz w:val="20"/>
                <w:szCs w:val="20"/>
              </w:rPr>
            </w:pPr>
          </w:p>
        </w:tc>
      </w:tr>
      <w:tr w:rsidR="006856D4" w:rsidRPr="00F868B2" w:rsidTr="006856D4">
        <w:trPr>
          <w:jc w:val="center"/>
        </w:trPr>
        <w:tc>
          <w:tcPr>
            <w:tcW w:w="895"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48"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92"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64" w:type="dxa"/>
          </w:tcPr>
          <w:p w:rsidR="006856D4" w:rsidRPr="006856D4" w:rsidRDefault="00BF1466" w:rsidP="00B00C7E">
            <w:pPr>
              <w:spacing w:before="0" w:after="0" w:line="240" w:lineRule="auto"/>
              <w:ind w:firstLine="0"/>
              <w:contextualSpacing/>
              <w:jc w:val="center"/>
              <w:rPr>
                <w:rFonts w:eastAsia="Timeé"/>
                <w:sz w:val="20"/>
                <w:szCs w:val="20"/>
              </w:rPr>
            </w:pPr>
            <w:r>
              <w:rPr>
                <w:rFonts w:eastAsia="Timeé"/>
                <w:sz w:val="20"/>
                <w:szCs w:val="20"/>
              </w:rPr>
              <w:t>05</w:t>
            </w:r>
          </w:p>
        </w:tc>
        <w:tc>
          <w:tcPr>
            <w:tcW w:w="1134" w:type="dxa"/>
          </w:tcPr>
          <w:p w:rsidR="006856D4" w:rsidRPr="006856D4" w:rsidRDefault="0032740B" w:rsidP="00B00C7E">
            <w:pPr>
              <w:spacing w:before="0" w:after="0" w:line="240" w:lineRule="auto"/>
              <w:ind w:firstLine="0"/>
              <w:contextualSpacing/>
              <w:jc w:val="center"/>
              <w:rPr>
                <w:rFonts w:eastAsia="Timeé"/>
                <w:sz w:val="20"/>
                <w:szCs w:val="20"/>
              </w:rPr>
            </w:pPr>
            <w:r>
              <w:rPr>
                <w:rFonts w:eastAsia="Timeé"/>
                <w:sz w:val="20"/>
                <w:szCs w:val="20"/>
              </w:rPr>
              <w:t>45-55</w:t>
            </w:r>
          </w:p>
        </w:tc>
        <w:tc>
          <w:tcPr>
            <w:tcW w:w="3997" w:type="dxa"/>
            <w:vAlign w:val="center"/>
          </w:tcPr>
          <w:p w:rsidR="006856D4" w:rsidRPr="006856D4" w:rsidRDefault="006856D4" w:rsidP="00B00C7E">
            <w:pPr>
              <w:spacing w:before="0" w:after="0" w:line="240" w:lineRule="auto"/>
              <w:contextualSpacing/>
              <w:jc w:val="center"/>
              <w:rPr>
                <w:rFonts w:eastAsia="Timeé"/>
                <w:sz w:val="20"/>
                <w:szCs w:val="20"/>
              </w:rPr>
            </w:pPr>
          </w:p>
        </w:tc>
      </w:tr>
      <w:tr w:rsidR="006856D4" w:rsidRPr="00F868B2" w:rsidTr="006856D4">
        <w:trPr>
          <w:jc w:val="center"/>
        </w:trPr>
        <w:tc>
          <w:tcPr>
            <w:tcW w:w="895"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48"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92"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64" w:type="dxa"/>
          </w:tcPr>
          <w:p w:rsidR="006856D4" w:rsidRPr="006856D4" w:rsidRDefault="00BF1466" w:rsidP="00B00C7E">
            <w:pPr>
              <w:spacing w:before="0" w:after="0" w:line="240" w:lineRule="auto"/>
              <w:ind w:firstLine="0"/>
              <w:contextualSpacing/>
              <w:jc w:val="center"/>
              <w:rPr>
                <w:rFonts w:eastAsia="Timeé"/>
                <w:sz w:val="20"/>
                <w:szCs w:val="20"/>
              </w:rPr>
            </w:pPr>
            <w:r>
              <w:rPr>
                <w:rFonts w:eastAsia="Timeé"/>
                <w:sz w:val="20"/>
                <w:szCs w:val="20"/>
              </w:rPr>
              <w:t>04</w:t>
            </w:r>
          </w:p>
        </w:tc>
        <w:tc>
          <w:tcPr>
            <w:tcW w:w="1134" w:type="dxa"/>
          </w:tcPr>
          <w:p w:rsidR="006856D4" w:rsidRPr="006856D4" w:rsidRDefault="0032740B" w:rsidP="00B00C7E">
            <w:pPr>
              <w:spacing w:before="0" w:after="0" w:line="240" w:lineRule="auto"/>
              <w:ind w:firstLine="0"/>
              <w:contextualSpacing/>
              <w:jc w:val="center"/>
              <w:rPr>
                <w:rFonts w:eastAsia="Timeé"/>
                <w:sz w:val="20"/>
                <w:szCs w:val="20"/>
              </w:rPr>
            </w:pPr>
            <w:r>
              <w:rPr>
                <w:rFonts w:eastAsia="Timeé"/>
                <w:sz w:val="20"/>
                <w:szCs w:val="20"/>
              </w:rPr>
              <w:t>70-80</w:t>
            </w:r>
          </w:p>
        </w:tc>
        <w:tc>
          <w:tcPr>
            <w:tcW w:w="3997" w:type="dxa"/>
            <w:vAlign w:val="center"/>
          </w:tcPr>
          <w:p w:rsidR="006856D4" w:rsidRPr="006856D4" w:rsidRDefault="006856D4" w:rsidP="00B00C7E">
            <w:pPr>
              <w:spacing w:before="0" w:after="0" w:line="240" w:lineRule="auto"/>
              <w:contextualSpacing/>
              <w:jc w:val="center"/>
              <w:rPr>
                <w:rFonts w:eastAsia="Timeé"/>
                <w:sz w:val="20"/>
                <w:szCs w:val="20"/>
              </w:rPr>
            </w:pPr>
          </w:p>
        </w:tc>
      </w:tr>
      <w:tr w:rsidR="006856D4" w:rsidRPr="00F868B2" w:rsidTr="006856D4">
        <w:trPr>
          <w:jc w:val="center"/>
        </w:trPr>
        <w:tc>
          <w:tcPr>
            <w:tcW w:w="895"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48"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92"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64" w:type="dxa"/>
          </w:tcPr>
          <w:p w:rsidR="006856D4" w:rsidRPr="006856D4" w:rsidRDefault="00BF1466" w:rsidP="00B00C7E">
            <w:pPr>
              <w:spacing w:before="0" w:after="0" w:line="240" w:lineRule="auto"/>
              <w:ind w:firstLine="0"/>
              <w:contextualSpacing/>
              <w:jc w:val="center"/>
              <w:rPr>
                <w:rFonts w:eastAsia="Timeé"/>
                <w:sz w:val="20"/>
                <w:szCs w:val="20"/>
              </w:rPr>
            </w:pPr>
            <w:r>
              <w:rPr>
                <w:rFonts w:eastAsia="Timeé"/>
                <w:sz w:val="20"/>
                <w:szCs w:val="20"/>
              </w:rPr>
              <w:t>03</w:t>
            </w:r>
          </w:p>
        </w:tc>
        <w:tc>
          <w:tcPr>
            <w:tcW w:w="1134" w:type="dxa"/>
          </w:tcPr>
          <w:p w:rsidR="006856D4" w:rsidRPr="006856D4" w:rsidRDefault="0032740B" w:rsidP="00B00C7E">
            <w:pPr>
              <w:spacing w:before="0" w:after="0" w:line="240" w:lineRule="auto"/>
              <w:ind w:firstLine="0"/>
              <w:contextualSpacing/>
              <w:jc w:val="center"/>
              <w:rPr>
                <w:rFonts w:eastAsia="Timeé"/>
                <w:sz w:val="20"/>
                <w:szCs w:val="20"/>
              </w:rPr>
            </w:pPr>
            <w:r>
              <w:rPr>
                <w:rFonts w:eastAsia="Timeé"/>
                <w:sz w:val="20"/>
                <w:szCs w:val="20"/>
              </w:rPr>
              <w:t>80-90</w:t>
            </w:r>
          </w:p>
        </w:tc>
        <w:tc>
          <w:tcPr>
            <w:tcW w:w="3997" w:type="dxa"/>
            <w:vAlign w:val="center"/>
          </w:tcPr>
          <w:p w:rsidR="006856D4" w:rsidRPr="006856D4" w:rsidRDefault="006856D4" w:rsidP="00B00C7E">
            <w:pPr>
              <w:spacing w:before="0" w:after="0" w:line="240" w:lineRule="auto"/>
              <w:contextualSpacing/>
              <w:jc w:val="center"/>
              <w:rPr>
                <w:rFonts w:eastAsia="Timeé"/>
                <w:sz w:val="20"/>
                <w:szCs w:val="20"/>
              </w:rPr>
            </w:pPr>
          </w:p>
        </w:tc>
      </w:tr>
      <w:tr w:rsidR="006856D4" w:rsidRPr="00F868B2" w:rsidTr="006856D4">
        <w:trPr>
          <w:jc w:val="center"/>
        </w:trPr>
        <w:tc>
          <w:tcPr>
            <w:tcW w:w="895"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48"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92"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64" w:type="dxa"/>
          </w:tcPr>
          <w:p w:rsidR="006856D4" w:rsidRPr="006856D4" w:rsidRDefault="00BF1466" w:rsidP="00B00C7E">
            <w:pPr>
              <w:spacing w:before="0" w:after="0" w:line="240" w:lineRule="auto"/>
              <w:ind w:firstLine="0"/>
              <w:contextualSpacing/>
              <w:jc w:val="center"/>
              <w:rPr>
                <w:rFonts w:eastAsia="Timeé"/>
                <w:sz w:val="20"/>
                <w:szCs w:val="20"/>
              </w:rPr>
            </w:pPr>
            <w:r>
              <w:rPr>
                <w:rFonts w:eastAsia="Timeé"/>
                <w:sz w:val="20"/>
                <w:szCs w:val="20"/>
              </w:rPr>
              <w:t>02</w:t>
            </w:r>
          </w:p>
        </w:tc>
        <w:tc>
          <w:tcPr>
            <w:tcW w:w="1134" w:type="dxa"/>
          </w:tcPr>
          <w:p w:rsidR="006856D4" w:rsidRPr="006856D4" w:rsidRDefault="0032740B" w:rsidP="00B00C7E">
            <w:pPr>
              <w:spacing w:before="0" w:after="0" w:line="240" w:lineRule="auto"/>
              <w:ind w:firstLine="0"/>
              <w:contextualSpacing/>
              <w:jc w:val="center"/>
              <w:rPr>
                <w:rFonts w:eastAsia="Timeé"/>
                <w:sz w:val="20"/>
                <w:szCs w:val="20"/>
              </w:rPr>
            </w:pPr>
            <w:r>
              <w:rPr>
                <w:rFonts w:eastAsia="Timeé"/>
                <w:sz w:val="20"/>
                <w:szCs w:val="20"/>
              </w:rPr>
              <w:t>100-110</w:t>
            </w:r>
          </w:p>
        </w:tc>
        <w:tc>
          <w:tcPr>
            <w:tcW w:w="3997" w:type="dxa"/>
            <w:vAlign w:val="center"/>
          </w:tcPr>
          <w:p w:rsidR="006856D4" w:rsidRPr="006856D4" w:rsidRDefault="006856D4" w:rsidP="00B00C7E">
            <w:pPr>
              <w:spacing w:before="0" w:after="0" w:line="240" w:lineRule="auto"/>
              <w:contextualSpacing/>
              <w:jc w:val="center"/>
              <w:rPr>
                <w:rFonts w:eastAsia="Timeé"/>
                <w:sz w:val="20"/>
                <w:szCs w:val="20"/>
              </w:rPr>
            </w:pPr>
          </w:p>
        </w:tc>
      </w:tr>
      <w:tr w:rsidR="006856D4" w:rsidRPr="00F868B2" w:rsidTr="006856D4">
        <w:trPr>
          <w:jc w:val="center"/>
        </w:trPr>
        <w:tc>
          <w:tcPr>
            <w:tcW w:w="895"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48"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92" w:type="dxa"/>
            <w:vAlign w:val="center"/>
          </w:tcPr>
          <w:p w:rsidR="006856D4" w:rsidRPr="006856D4" w:rsidRDefault="006856D4" w:rsidP="00B00C7E">
            <w:pPr>
              <w:spacing w:before="0" w:after="0" w:line="240" w:lineRule="auto"/>
              <w:ind w:firstLine="0"/>
              <w:contextualSpacing/>
              <w:jc w:val="center"/>
              <w:rPr>
                <w:rFonts w:eastAsia="Timeé"/>
                <w:sz w:val="20"/>
                <w:szCs w:val="20"/>
              </w:rPr>
            </w:pPr>
          </w:p>
        </w:tc>
        <w:tc>
          <w:tcPr>
            <w:tcW w:w="964" w:type="dxa"/>
          </w:tcPr>
          <w:p w:rsidR="006856D4" w:rsidRPr="006856D4" w:rsidRDefault="00BF1466" w:rsidP="00B00C7E">
            <w:pPr>
              <w:spacing w:before="0" w:after="0" w:line="240" w:lineRule="auto"/>
              <w:ind w:firstLine="0"/>
              <w:contextualSpacing/>
              <w:jc w:val="center"/>
              <w:rPr>
                <w:rFonts w:eastAsia="Timeé"/>
                <w:sz w:val="20"/>
                <w:szCs w:val="20"/>
              </w:rPr>
            </w:pPr>
            <w:r>
              <w:rPr>
                <w:rFonts w:eastAsia="Timeé"/>
                <w:sz w:val="20"/>
                <w:szCs w:val="20"/>
              </w:rPr>
              <w:t>01</w:t>
            </w:r>
          </w:p>
        </w:tc>
        <w:tc>
          <w:tcPr>
            <w:tcW w:w="1134" w:type="dxa"/>
          </w:tcPr>
          <w:p w:rsidR="006856D4" w:rsidRPr="006856D4" w:rsidRDefault="0032740B" w:rsidP="00B00C7E">
            <w:pPr>
              <w:spacing w:before="0" w:after="0" w:line="240" w:lineRule="auto"/>
              <w:ind w:firstLine="0"/>
              <w:contextualSpacing/>
              <w:jc w:val="center"/>
              <w:rPr>
                <w:rFonts w:eastAsia="Timeé"/>
                <w:sz w:val="20"/>
                <w:szCs w:val="20"/>
              </w:rPr>
            </w:pPr>
            <w:r>
              <w:rPr>
                <w:rFonts w:eastAsia="Timeé"/>
                <w:sz w:val="20"/>
                <w:szCs w:val="20"/>
              </w:rPr>
              <w:t>120-130</w:t>
            </w:r>
          </w:p>
        </w:tc>
        <w:tc>
          <w:tcPr>
            <w:tcW w:w="3997" w:type="dxa"/>
            <w:vAlign w:val="center"/>
          </w:tcPr>
          <w:p w:rsidR="006856D4" w:rsidRPr="006856D4" w:rsidRDefault="006856D4" w:rsidP="00B00C7E">
            <w:pPr>
              <w:spacing w:before="0" w:after="0" w:line="240" w:lineRule="auto"/>
              <w:contextualSpacing/>
              <w:jc w:val="center"/>
              <w:rPr>
                <w:rFonts w:eastAsia="Timeé"/>
                <w:sz w:val="20"/>
                <w:szCs w:val="20"/>
              </w:rPr>
            </w:pPr>
          </w:p>
        </w:tc>
      </w:tr>
    </w:tbl>
    <w:p w:rsidR="00A06F39" w:rsidRPr="00D37B11" w:rsidRDefault="00A06F39" w:rsidP="00A06F39">
      <w:pPr>
        <w:spacing w:before="0" w:after="0" w:line="360" w:lineRule="auto"/>
        <w:contextualSpacing/>
        <w:rPr>
          <w:noProof/>
          <w:sz w:val="28"/>
          <w:szCs w:val="28"/>
        </w:rPr>
      </w:pPr>
      <w:r w:rsidRPr="00526CBD">
        <w:rPr>
          <w:noProof/>
          <w:sz w:val="28"/>
          <w:szCs w:val="28"/>
          <w:highlight w:val="yellow"/>
        </w:rPr>
        <w:t>Theo những người khai quật, diễn biến địa tầng ở đây gồm 6 đơn vị địa tầng và không có lớp vô sinh giữa các đơn vị địa tầng nên mẫu phấn hoa mặc dù thu ở các ô khác nhau nhưng được thể hiện trên cùng biểu đồ (phần kết quả).</w:t>
      </w:r>
      <w:bookmarkStart w:id="1" w:name="_Toc533440853"/>
    </w:p>
    <w:p w:rsidR="00A06F39" w:rsidRPr="00D37B11" w:rsidRDefault="00A06F39" w:rsidP="00A06F39">
      <w:pPr>
        <w:pStyle w:val="Heading3"/>
        <w:spacing w:before="0" w:line="360" w:lineRule="auto"/>
        <w:contextualSpacing/>
        <w:rPr>
          <w:rFonts w:ascii="Times New Roman" w:hAnsi="Times New Roman" w:cs="Times New Roman"/>
          <w:b/>
          <w:color w:val="auto"/>
          <w:sz w:val="28"/>
          <w:szCs w:val="28"/>
        </w:rPr>
      </w:pPr>
      <w:bookmarkStart w:id="2" w:name="_Toc534260202"/>
      <w:r w:rsidRPr="00D37B11">
        <w:rPr>
          <w:rFonts w:ascii="Times New Roman" w:hAnsi="Times New Roman" w:cs="Times New Roman"/>
          <w:b/>
          <w:color w:val="auto"/>
          <w:sz w:val="28"/>
          <w:szCs w:val="28"/>
        </w:rPr>
        <w:t>3.2.1. Phương pháp</w:t>
      </w:r>
      <w:bookmarkEnd w:id="1"/>
      <w:bookmarkEnd w:id="2"/>
    </w:p>
    <w:p w:rsidR="00A06F39" w:rsidRPr="00D37B11" w:rsidRDefault="00A06F39" w:rsidP="00526CBD">
      <w:pPr>
        <w:spacing w:before="0" w:after="0" w:line="360" w:lineRule="auto"/>
        <w:contextualSpacing/>
        <w:rPr>
          <w:sz w:val="28"/>
          <w:szCs w:val="28"/>
        </w:rPr>
      </w:pPr>
      <w:bookmarkStart w:id="3" w:name="_Toc533440854"/>
      <w:bookmarkStart w:id="4" w:name="_Toc533524483"/>
      <w:bookmarkStart w:id="5" w:name="_Toc533524591"/>
      <w:r w:rsidRPr="00D37B11">
        <w:rPr>
          <w:sz w:val="28"/>
          <w:szCs w:val="28"/>
        </w:rPr>
        <w:t>Các mẫu phấn hoa đượ</w:t>
      </w:r>
      <w:r w:rsidR="003521DB">
        <w:rPr>
          <w:sz w:val="28"/>
          <w:szCs w:val="28"/>
        </w:rPr>
        <w:t>c x</w:t>
      </w:r>
      <w:r w:rsidRPr="00D37B11">
        <w:rPr>
          <w:sz w:val="28"/>
          <w:szCs w:val="28"/>
        </w:rPr>
        <w:t xml:space="preserve">ử lý theo quy trình của </w:t>
      </w:r>
      <w:r w:rsidR="00526CBD" w:rsidRPr="00526CBD">
        <w:rPr>
          <w:sz w:val="28"/>
          <w:szCs w:val="28"/>
        </w:rPr>
        <w:t>Fægri and</w:t>
      </w:r>
      <w:r w:rsidR="00526CBD">
        <w:rPr>
          <w:sz w:val="28"/>
          <w:szCs w:val="28"/>
        </w:rPr>
        <w:t xml:space="preserve"> </w:t>
      </w:r>
      <w:r w:rsidR="00526CBD" w:rsidRPr="00526CBD">
        <w:rPr>
          <w:sz w:val="28"/>
          <w:szCs w:val="28"/>
        </w:rPr>
        <w:t>Iversen (1989)</w:t>
      </w:r>
      <w:r w:rsidRPr="00D37B11">
        <w:rPr>
          <w:sz w:val="28"/>
          <w:szCs w:val="28"/>
          <w:u w:val="single"/>
        </w:rPr>
        <w:t>.</w:t>
      </w:r>
      <w:r w:rsidRPr="00D37B11">
        <w:rPr>
          <w:sz w:val="28"/>
          <w:szCs w:val="28"/>
        </w:rPr>
        <w:t xml:space="preserve"> Phương pháp này sử dụng</w:t>
      </w:r>
      <w:r w:rsidR="00C74528">
        <w:rPr>
          <w:sz w:val="28"/>
          <w:szCs w:val="28"/>
        </w:rPr>
        <w:t xml:space="preserve"> kali hydroxit để loại bỏ chất mùn và axit hữ</w:t>
      </w:r>
      <w:r w:rsidR="003521DB">
        <w:rPr>
          <w:sz w:val="28"/>
          <w:szCs w:val="28"/>
        </w:rPr>
        <w:t xml:space="preserve">u cơ, dùng </w:t>
      </w:r>
      <w:r w:rsidRPr="00D37B11">
        <w:rPr>
          <w:sz w:val="28"/>
          <w:szCs w:val="28"/>
        </w:rPr>
        <w:t>ax</w:t>
      </w:r>
      <w:r w:rsidR="003521DB">
        <w:rPr>
          <w:sz w:val="28"/>
          <w:szCs w:val="28"/>
        </w:rPr>
        <w:t>i</w:t>
      </w:r>
      <w:r w:rsidRPr="00D37B11">
        <w:rPr>
          <w:sz w:val="28"/>
          <w:szCs w:val="28"/>
        </w:rPr>
        <w:t>t hydrochloric và ax</w:t>
      </w:r>
      <w:r w:rsidR="003521DB">
        <w:rPr>
          <w:sz w:val="28"/>
          <w:szCs w:val="28"/>
        </w:rPr>
        <w:t>i</w:t>
      </w:r>
      <w:r w:rsidRPr="00D37B11">
        <w:rPr>
          <w:sz w:val="28"/>
          <w:szCs w:val="28"/>
        </w:rPr>
        <w:t xml:space="preserve">t hydrofluoric để loại bỏ cacbonat và silicat. </w:t>
      </w:r>
      <w:r w:rsidR="003521DB">
        <w:rPr>
          <w:sz w:val="28"/>
          <w:szCs w:val="28"/>
        </w:rPr>
        <w:t xml:space="preserve">Dùng hỗn hợp </w:t>
      </w:r>
      <w:r w:rsidR="00C74528" w:rsidRPr="00C74528">
        <w:rPr>
          <w:sz w:val="28"/>
          <w:szCs w:val="28"/>
        </w:rPr>
        <w:t>Acetolysis</w:t>
      </w:r>
      <w:r w:rsidR="00C74528">
        <w:rPr>
          <w:sz w:val="28"/>
          <w:szCs w:val="28"/>
        </w:rPr>
        <w:t xml:space="preserve"> để loại bỏ </w:t>
      </w:r>
      <w:r w:rsidR="003521DB">
        <w:rPr>
          <w:sz w:val="28"/>
          <w:szCs w:val="28"/>
        </w:rPr>
        <w:t>các sợi xenlulozo trên bề mặt hạt phấn và trong cặn để làm sáng rõ cấu trúc bề mặt hạt phấn và tăng độ tập trung phấn hoa trong mẫu</w:t>
      </w:r>
      <w:r w:rsidRPr="00D37B11">
        <w:rPr>
          <w:sz w:val="28"/>
          <w:szCs w:val="28"/>
        </w:rPr>
        <w:t>.</w:t>
      </w:r>
      <w:bookmarkEnd w:id="3"/>
      <w:bookmarkEnd w:id="4"/>
      <w:bookmarkEnd w:id="5"/>
      <w:r w:rsidRPr="00D37B11">
        <w:rPr>
          <w:sz w:val="28"/>
          <w:szCs w:val="28"/>
        </w:rPr>
        <w:t xml:space="preserve"> </w:t>
      </w:r>
    </w:p>
    <w:p w:rsidR="00A06F39" w:rsidRPr="00D37B11" w:rsidRDefault="00A06F39" w:rsidP="00A06F39">
      <w:pPr>
        <w:spacing w:before="0" w:after="0" w:line="360" w:lineRule="auto"/>
        <w:contextualSpacing/>
        <w:rPr>
          <w:sz w:val="28"/>
          <w:szCs w:val="28"/>
        </w:rPr>
      </w:pPr>
      <w:r w:rsidRPr="00D37B11">
        <w:rPr>
          <w:sz w:val="28"/>
          <w:szCs w:val="28"/>
        </w:rPr>
        <w:t>Phấn hoa và bào tử được đếm và xác định dưới kính hiển vi quang học chủ yếu có độ phóng đại 400x, một số hạt phấn có kích thước nhỏ được xác định ở độ phóng đại 1000x</w:t>
      </w:r>
      <w:r w:rsidR="00A51F1F">
        <w:rPr>
          <w:sz w:val="28"/>
          <w:szCs w:val="28"/>
        </w:rPr>
        <w:t xml:space="preserve"> (sử dụng dầu)</w:t>
      </w:r>
      <w:r w:rsidRPr="00D37B11">
        <w:rPr>
          <w:sz w:val="28"/>
          <w:szCs w:val="28"/>
        </w:rPr>
        <w:t xml:space="preserve">. </w:t>
      </w:r>
      <w:r w:rsidR="007310AB">
        <w:rPr>
          <w:sz w:val="28"/>
          <w:szCs w:val="28"/>
        </w:rPr>
        <w:t>Việc nhận biết các taxon bào tử, phấn hoa có tham khảo các a</w:t>
      </w:r>
      <w:r w:rsidRPr="00D37B11">
        <w:rPr>
          <w:sz w:val="28"/>
          <w:szCs w:val="28"/>
        </w:rPr>
        <w:t xml:space="preserve">tlas phấn hoa hiện đại </w:t>
      </w:r>
      <w:r w:rsidR="007310AB">
        <w:rPr>
          <w:sz w:val="28"/>
          <w:szCs w:val="28"/>
        </w:rPr>
        <w:t>của</w:t>
      </w:r>
      <w:r w:rsidRPr="00D37B11">
        <w:rPr>
          <w:sz w:val="28"/>
          <w:szCs w:val="28"/>
        </w:rPr>
        <w:t xml:space="preserve"> Trung Quốc (</w:t>
      </w:r>
      <w:r w:rsidR="007310AB">
        <w:rPr>
          <w:sz w:val="28"/>
          <w:szCs w:val="28"/>
        </w:rPr>
        <w:t>Wang và Zhang, 1995</w:t>
      </w:r>
      <w:r w:rsidRPr="00D37B11">
        <w:rPr>
          <w:sz w:val="28"/>
          <w:szCs w:val="28"/>
        </w:rPr>
        <w:t xml:space="preserve">), Đài Loan (Huang, 1972) và mẫu hiện đại </w:t>
      </w:r>
      <w:r w:rsidR="008E3007">
        <w:rPr>
          <w:sz w:val="28"/>
          <w:szCs w:val="28"/>
        </w:rPr>
        <w:t>của Việt Nam do</w:t>
      </w:r>
      <w:r w:rsidR="007310AB">
        <w:rPr>
          <w:sz w:val="28"/>
          <w:szCs w:val="28"/>
        </w:rPr>
        <w:t xml:space="preserve"> tác giả</w:t>
      </w:r>
      <w:r w:rsidR="008E3007">
        <w:rPr>
          <w:sz w:val="28"/>
          <w:szCs w:val="28"/>
        </w:rPr>
        <w:t xml:space="preserve"> thu thập</w:t>
      </w:r>
      <w:r w:rsidRPr="00D37B11">
        <w:rPr>
          <w:sz w:val="28"/>
          <w:szCs w:val="28"/>
        </w:rPr>
        <w:t>.</w:t>
      </w:r>
    </w:p>
    <w:p w:rsidR="00A06F39" w:rsidRPr="00D37B11" w:rsidRDefault="00A06F39" w:rsidP="00A06F39">
      <w:pPr>
        <w:pStyle w:val="Heading3"/>
        <w:spacing w:before="0" w:line="360" w:lineRule="auto"/>
        <w:contextualSpacing/>
        <w:rPr>
          <w:rFonts w:ascii="Times New Roman" w:hAnsi="Times New Roman" w:cs="Times New Roman"/>
          <w:b/>
          <w:color w:val="auto"/>
          <w:sz w:val="28"/>
          <w:szCs w:val="28"/>
        </w:rPr>
      </w:pPr>
      <w:bookmarkStart w:id="6" w:name="_Toc534260203"/>
      <w:r w:rsidRPr="00D37B11">
        <w:rPr>
          <w:rFonts w:ascii="Times New Roman" w:hAnsi="Times New Roman" w:cs="Times New Roman"/>
          <w:b/>
          <w:color w:val="auto"/>
          <w:sz w:val="28"/>
          <w:szCs w:val="28"/>
        </w:rPr>
        <w:t>3.2.2. Kết quả phân tích</w:t>
      </w:r>
      <w:bookmarkEnd w:id="6"/>
    </w:p>
    <w:p w:rsidR="004D020F" w:rsidRDefault="004D020F" w:rsidP="00A06F39">
      <w:pPr>
        <w:spacing w:before="0" w:after="0" w:line="360" w:lineRule="auto"/>
        <w:contextualSpacing/>
        <w:rPr>
          <w:sz w:val="28"/>
          <w:szCs w:val="28"/>
        </w:rPr>
      </w:pPr>
      <w:r>
        <w:rPr>
          <w:sz w:val="28"/>
          <w:szCs w:val="28"/>
        </w:rPr>
        <w:t>Các mẫu phân tích đều nghèo về thành phần bào tử, phấn hoa</w:t>
      </w:r>
      <w:r w:rsidR="00EF08A8">
        <w:rPr>
          <w:sz w:val="28"/>
          <w:szCs w:val="28"/>
        </w:rPr>
        <w:t xml:space="preserve"> (bảng 1)</w:t>
      </w:r>
      <w:r>
        <w:rPr>
          <w:sz w:val="28"/>
          <w:szCs w:val="28"/>
        </w:rPr>
        <w:t xml:space="preserve"> nên không đếm đủ được số lượng hạt phấn để xây dựng biểu đồ. Kết quả phân tích sẽ được đánh giá dựa trên thành phần bào tử, phấn hoa.</w:t>
      </w:r>
    </w:p>
    <w:p w:rsidR="00EF08A8" w:rsidRDefault="00EF08A8" w:rsidP="00EF08A8">
      <w:pPr>
        <w:spacing w:before="0" w:after="0" w:line="360" w:lineRule="auto"/>
        <w:contextualSpacing/>
        <w:jc w:val="center"/>
        <w:rPr>
          <w:sz w:val="28"/>
          <w:szCs w:val="28"/>
        </w:rPr>
      </w:pPr>
    </w:p>
    <w:p w:rsidR="00EF08A8" w:rsidRDefault="00EF08A8" w:rsidP="00EF08A8">
      <w:pPr>
        <w:spacing w:before="0" w:after="0" w:line="360" w:lineRule="auto"/>
        <w:contextualSpacing/>
        <w:jc w:val="center"/>
        <w:rPr>
          <w:sz w:val="28"/>
          <w:szCs w:val="28"/>
        </w:rPr>
      </w:pPr>
      <w:r>
        <w:rPr>
          <w:sz w:val="28"/>
          <w:szCs w:val="28"/>
        </w:rPr>
        <w:lastRenderedPageBreak/>
        <w:t>Bảng 1. Kết quả phân tích bào tử, phấn hoa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195"/>
        <w:gridCol w:w="2073"/>
        <w:gridCol w:w="4283"/>
      </w:tblGrid>
      <w:tr w:rsidR="00EF08A8" w:rsidRPr="00296D59" w:rsidTr="005C22E9">
        <w:trPr>
          <w:trHeight w:val="300"/>
        </w:trPr>
        <w:tc>
          <w:tcPr>
            <w:tcW w:w="602" w:type="pct"/>
            <w:shd w:val="clear" w:color="auto" w:fill="auto"/>
            <w:noWrap/>
            <w:vAlign w:val="bottom"/>
            <w:hideMark/>
          </w:tcPr>
          <w:p w:rsidR="00EF08A8" w:rsidRPr="00296D59" w:rsidRDefault="00EF08A8" w:rsidP="00EF08A8">
            <w:pPr>
              <w:spacing w:before="40" w:line="240" w:lineRule="auto"/>
              <w:ind w:firstLine="23"/>
              <w:jc w:val="center"/>
              <w:rPr>
                <w:rFonts w:eastAsia="Times New Roman"/>
                <w:b/>
                <w:color w:val="000000"/>
                <w:sz w:val="24"/>
                <w:szCs w:val="24"/>
                <w:lang w:eastAsia="en-SG"/>
              </w:rPr>
            </w:pPr>
            <w:r w:rsidRPr="00296D59">
              <w:rPr>
                <w:rFonts w:eastAsia="Times New Roman"/>
                <w:b/>
                <w:color w:val="000000"/>
                <w:sz w:val="24"/>
                <w:szCs w:val="24"/>
                <w:lang w:eastAsia="en-SG"/>
              </w:rPr>
              <w:t>Ký hiệu mẫu</w:t>
            </w:r>
          </w:p>
        </w:tc>
        <w:tc>
          <w:tcPr>
            <w:tcW w:w="741" w:type="pct"/>
            <w:shd w:val="clear" w:color="auto" w:fill="auto"/>
            <w:noWrap/>
            <w:vAlign w:val="bottom"/>
            <w:hideMark/>
          </w:tcPr>
          <w:p w:rsidR="00EF08A8" w:rsidRPr="00296D59" w:rsidRDefault="00EF08A8" w:rsidP="00EF08A8">
            <w:pPr>
              <w:spacing w:before="40" w:line="240" w:lineRule="auto"/>
              <w:ind w:firstLine="23"/>
              <w:jc w:val="center"/>
              <w:rPr>
                <w:rFonts w:eastAsia="Times New Roman"/>
                <w:b/>
                <w:color w:val="000000"/>
                <w:sz w:val="24"/>
                <w:szCs w:val="24"/>
                <w:lang w:eastAsia="en-SG"/>
              </w:rPr>
            </w:pPr>
            <w:r w:rsidRPr="00296D59">
              <w:rPr>
                <w:rFonts w:eastAsia="Times New Roman"/>
                <w:b/>
                <w:color w:val="000000"/>
                <w:sz w:val="24"/>
                <w:szCs w:val="24"/>
                <w:lang w:eastAsia="en-SG"/>
              </w:rPr>
              <w:t>Độ sâu</w:t>
            </w:r>
          </w:p>
        </w:tc>
        <w:tc>
          <w:tcPr>
            <w:tcW w:w="1222" w:type="pct"/>
            <w:shd w:val="clear" w:color="auto" w:fill="auto"/>
            <w:vAlign w:val="bottom"/>
            <w:hideMark/>
          </w:tcPr>
          <w:p w:rsidR="00EF08A8" w:rsidRPr="00296D59" w:rsidRDefault="00EF08A8" w:rsidP="00EF08A8">
            <w:pPr>
              <w:spacing w:before="40" w:line="240" w:lineRule="auto"/>
              <w:ind w:firstLine="23"/>
              <w:jc w:val="center"/>
              <w:rPr>
                <w:rFonts w:eastAsia="Times New Roman"/>
                <w:b/>
                <w:color w:val="000000"/>
                <w:sz w:val="24"/>
                <w:szCs w:val="24"/>
                <w:lang w:eastAsia="en-SG"/>
              </w:rPr>
            </w:pPr>
            <w:r w:rsidRPr="00296D59">
              <w:rPr>
                <w:rFonts w:eastAsia="Times New Roman"/>
                <w:b/>
                <w:color w:val="000000"/>
                <w:sz w:val="24"/>
                <w:szCs w:val="24"/>
                <w:lang w:eastAsia="en-SG"/>
              </w:rPr>
              <w:t>Kết quả</w:t>
            </w:r>
          </w:p>
        </w:tc>
        <w:tc>
          <w:tcPr>
            <w:tcW w:w="2435" w:type="pct"/>
            <w:shd w:val="clear" w:color="auto" w:fill="auto"/>
            <w:vAlign w:val="bottom"/>
            <w:hideMark/>
          </w:tcPr>
          <w:p w:rsidR="00EF08A8" w:rsidRPr="00296D59" w:rsidRDefault="00EF08A8" w:rsidP="00EF08A8">
            <w:pPr>
              <w:spacing w:before="40" w:line="240" w:lineRule="auto"/>
              <w:ind w:firstLine="23"/>
              <w:jc w:val="center"/>
              <w:rPr>
                <w:rFonts w:eastAsia="Times New Roman"/>
                <w:b/>
                <w:color w:val="000000"/>
                <w:sz w:val="24"/>
                <w:szCs w:val="24"/>
                <w:lang w:eastAsia="en-SG"/>
              </w:rPr>
            </w:pPr>
            <w:r w:rsidRPr="00296D59">
              <w:rPr>
                <w:rFonts w:eastAsia="Times New Roman"/>
                <w:b/>
                <w:color w:val="000000"/>
                <w:sz w:val="24"/>
                <w:szCs w:val="24"/>
                <w:lang w:eastAsia="en-SG"/>
              </w:rPr>
              <w:t>Luận giải sơ bộ</w:t>
            </w:r>
          </w:p>
        </w:tc>
      </w:tr>
      <w:tr w:rsidR="00EF08A8" w:rsidRPr="00296D59" w:rsidTr="005C22E9">
        <w:trPr>
          <w:trHeight w:val="900"/>
        </w:trPr>
        <w:tc>
          <w:tcPr>
            <w:tcW w:w="602" w:type="pct"/>
            <w:vMerge w:val="restart"/>
            <w:shd w:val="clear" w:color="auto" w:fill="auto"/>
            <w:vAlign w:val="center"/>
            <w:hideMark/>
          </w:tcPr>
          <w:p w:rsidR="00EF08A8" w:rsidRPr="00296D59" w:rsidRDefault="00EF08A8" w:rsidP="00EF08A8">
            <w:pPr>
              <w:spacing w:before="40" w:line="240" w:lineRule="auto"/>
              <w:ind w:firstLine="23"/>
              <w:jc w:val="center"/>
              <w:rPr>
                <w:rFonts w:eastAsia="Times New Roman"/>
                <w:color w:val="000000"/>
                <w:sz w:val="24"/>
                <w:szCs w:val="24"/>
                <w:lang w:eastAsia="en-SG"/>
              </w:rPr>
            </w:pPr>
            <w:r w:rsidRPr="00296D59">
              <w:rPr>
                <w:rFonts w:eastAsia="Times New Roman"/>
                <w:color w:val="000000"/>
                <w:sz w:val="24"/>
                <w:szCs w:val="24"/>
                <w:lang w:eastAsia="en-SG"/>
              </w:rPr>
              <w:t>22.TL.H1</w:t>
            </w:r>
          </w:p>
        </w:tc>
        <w:tc>
          <w:tcPr>
            <w:tcW w:w="741"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130 - 120 cm</w:t>
            </w:r>
          </w:p>
        </w:tc>
        <w:tc>
          <w:tcPr>
            <w:tcW w:w="1222"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Không có hóa thạch</w:t>
            </w:r>
          </w:p>
        </w:tc>
        <w:tc>
          <w:tcPr>
            <w:tcW w:w="2435"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Mẫu không có hóa thạch bào tử phấn, mẫu thô có thể do môi trường động lực mạnh, không lắng đọng được bào tử, phấn hoa</w:t>
            </w:r>
          </w:p>
        </w:tc>
      </w:tr>
      <w:tr w:rsidR="00EF08A8" w:rsidRPr="00296D59" w:rsidTr="005C22E9">
        <w:trPr>
          <w:trHeight w:val="900"/>
        </w:trPr>
        <w:tc>
          <w:tcPr>
            <w:tcW w:w="602" w:type="pct"/>
            <w:vMerge/>
            <w:shd w:val="clear" w:color="auto" w:fill="auto"/>
            <w:vAlign w:val="center"/>
            <w:hideMark/>
          </w:tcPr>
          <w:p w:rsidR="00EF08A8" w:rsidRPr="00296D59" w:rsidRDefault="00EF08A8" w:rsidP="00EF08A8">
            <w:pPr>
              <w:spacing w:before="40" w:line="240" w:lineRule="auto"/>
              <w:ind w:firstLine="23"/>
              <w:rPr>
                <w:rFonts w:eastAsia="Times New Roman"/>
                <w:color w:val="000000"/>
                <w:sz w:val="24"/>
                <w:szCs w:val="24"/>
                <w:lang w:eastAsia="en-SG"/>
              </w:rPr>
            </w:pPr>
          </w:p>
        </w:tc>
        <w:tc>
          <w:tcPr>
            <w:tcW w:w="741"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110 - 100 cm</w:t>
            </w:r>
          </w:p>
        </w:tc>
        <w:tc>
          <w:tcPr>
            <w:tcW w:w="1222"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Athyriaceae gen indet</w:t>
            </w:r>
          </w:p>
        </w:tc>
        <w:tc>
          <w:tcPr>
            <w:tcW w:w="2435"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Mẫu nghèo hóa thạch bào tử, phấn hoa, nghèo vật chất hữu cơ, nhiều charcoal, khó luận giải được điều kiện môi trường</w:t>
            </w:r>
          </w:p>
        </w:tc>
      </w:tr>
      <w:tr w:rsidR="00EF08A8" w:rsidRPr="00296D59" w:rsidTr="005C22E9">
        <w:trPr>
          <w:trHeight w:val="600"/>
        </w:trPr>
        <w:tc>
          <w:tcPr>
            <w:tcW w:w="602" w:type="pct"/>
            <w:vMerge/>
            <w:shd w:val="clear" w:color="auto" w:fill="auto"/>
            <w:vAlign w:val="center"/>
            <w:hideMark/>
          </w:tcPr>
          <w:p w:rsidR="00EF08A8" w:rsidRPr="00296D59" w:rsidRDefault="00EF08A8" w:rsidP="00EF08A8">
            <w:pPr>
              <w:spacing w:before="40" w:line="240" w:lineRule="auto"/>
              <w:ind w:firstLine="23"/>
              <w:rPr>
                <w:rFonts w:eastAsia="Times New Roman"/>
                <w:color w:val="000000"/>
                <w:sz w:val="24"/>
                <w:szCs w:val="24"/>
                <w:lang w:eastAsia="en-SG"/>
              </w:rPr>
            </w:pPr>
          </w:p>
        </w:tc>
        <w:tc>
          <w:tcPr>
            <w:tcW w:w="741"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90 - 80 cm</w:t>
            </w:r>
          </w:p>
        </w:tc>
        <w:tc>
          <w:tcPr>
            <w:tcW w:w="1222"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Graminae gen indet</w:t>
            </w:r>
          </w:p>
        </w:tc>
        <w:tc>
          <w:tcPr>
            <w:tcW w:w="2435"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Mẫu nghèo hóa thạch bào tử, phấn hoa nên khó luận giải môi trường</w:t>
            </w:r>
          </w:p>
        </w:tc>
      </w:tr>
      <w:tr w:rsidR="00EF08A8" w:rsidRPr="00296D59" w:rsidTr="005C22E9">
        <w:trPr>
          <w:trHeight w:val="600"/>
        </w:trPr>
        <w:tc>
          <w:tcPr>
            <w:tcW w:w="602" w:type="pct"/>
            <w:vMerge/>
            <w:shd w:val="clear" w:color="auto" w:fill="auto"/>
            <w:vAlign w:val="center"/>
            <w:hideMark/>
          </w:tcPr>
          <w:p w:rsidR="00EF08A8" w:rsidRPr="00296D59" w:rsidRDefault="00EF08A8" w:rsidP="00EF08A8">
            <w:pPr>
              <w:spacing w:before="40" w:line="240" w:lineRule="auto"/>
              <w:ind w:firstLine="23"/>
              <w:rPr>
                <w:rFonts w:eastAsia="Times New Roman"/>
                <w:color w:val="000000"/>
                <w:sz w:val="24"/>
                <w:szCs w:val="24"/>
                <w:lang w:eastAsia="en-SG"/>
              </w:rPr>
            </w:pPr>
          </w:p>
        </w:tc>
        <w:tc>
          <w:tcPr>
            <w:tcW w:w="741"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80 - 70 cm</w:t>
            </w:r>
          </w:p>
        </w:tc>
        <w:tc>
          <w:tcPr>
            <w:tcW w:w="1222"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Graminae gen indet</w:t>
            </w:r>
          </w:p>
        </w:tc>
        <w:tc>
          <w:tcPr>
            <w:tcW w:w="2435"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Mẫu nghèo hóa thạch bào tử, phấn hoa nên khó luận giải môi trường</w:t>
            </w:r>
          </w:p>
        </w:tc>
      </w:tr>
      <w:tr w:rsidR="00EF08A8" w:rsidRPr="00296D59" w:rsidTr="005C22E9">
        <w:trPr>
          <w:trHeight w:val="600"/>
        </w:trPr>
        <w:tc>
          <w:tcPr>
            <w:tcW w:w="602" w:type="pct"/>
            <w:vMerge/>
            <w:shd w:val="clear" w:color="auto" w:fill="auto"/>
            <w:vAlign w:val="center"/>
            <w:hideMark/>
          </w:tcPr>
          <w:p w:rsidR="00EF08A8" w:rsidRPr="00296D59" w:rsidRDefault="00EF08A8" w:rsidP="00EF08A8">
            <w:pPr>
              <w:spacing w:before="40" w:line="240" w:lineRule="auto"/>
              <w:ind w:firstLine="23"/>
              <w:rPr>
                <w:rFonts w:eastAsia="Times New Roman"/>
                <w:color w:val="000000"/>
                <w:sz w:val="24"/>
                <w:szCs w:val="24"/>
                <w:lang w:eastAsia="en-SG"/>
              </w:rPr>
            </w:pPr>
          </w:p>
        </w:tc>
        <w:tc>
          <w:tcPr>
            <w:tcW w:w="741"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55 - 45 cm</w:t>
            </w:r>
          </w:p>
        </w:tc>
        <w:tc>
          <w:tcPr>
            <w:tcW w:w="1222"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i/>
                <w:color w:val="000000"/>
                <w:sz w:val="24"/>
                <w:szCs w:val="24"/>
                <w:lang w:eastAsia="en-SG"/>
              </w:rPr>
              <w:t>Morus</w:t>
            </w:r>
            <w:r w:rsidRPr="00296D59">
              <w:rPr>
                <w:rFonts w:eastAsia="Times New Roman"/>
                <w:color w:val="000000"/>
                <w:sz w:val="24"/>
                <w:szCs w:val="24"/>
                <w:lang w:eastAsia="en-SG"/>
              </w:rPr>
              <w:t xml:space="preserve"> sp.,</w:t>
            </w:r>
          </w:p>
          <w:p w:rsidR="00296D59" w:rsidRPr="00296D59" w:rsidRDefault="00296D59" w:rsidP="00EF08A8">
            <w:pPr>
              <w:spacing w:before="40" w:line="240" w:lineRule="auto"/>
              <w:ind w:firstLine="23"/>
              <w:rPr>
                <w:rFonts w:eastAsia="Times New Roman"/>
                <w:color w:val="000000"/>
                <w:sz w:val="24"/>
                <w:szCs w:val="24"/>
                <w:lang w:eastAsia="en-SG"/>
              </w:rPr>
            </w:pPr>
            <w:r w:rsidRPr="00296D59">
              <w:rPr>
                <w:i/>
                <w:sz w:val="24"/>
                <w:szCs w:val="24"/>
              </w:rPr>
              <w:t>Ceratophyllum</w:t>
            </w:r>
            <w:r w:rsidRPr="00296D59">
              <w:rPr>
                <w:sz w:val="24"/>
                <w:szCs w:val="24"/>
              </w:rPr>
              <w:t xml:space="preserve"> sp.,</w:t>
            </w:r>
          </w:p>
        </w:tc>
        <w:tc>
          <w:tcPr>
            <w:tcW w:w="2435"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Mẫu nghèo hóa thạch bào tử, phấn hoa nên khó luận giải môi trường</w:t>
            </w:r>
          </w:p>
        </w:tc>
      </w:tr>
      <w:tr w:rsidR="00EF08A8" w:rsidRPr="00296D59" w:rsidTr="005C22E9">
        <w:trPr>
          <w:trHeight w:val="900"/>
        </w:trPr>
        <w:tc>
          <w:tcPr>
            <w:tcW w:w="602" w:type="pct"/>
            <w:vMerge/>
            <w:shd w:val="clear" w:color="auto" w:fill="auto"/>
            <w:vAlign w:val="center"/>
            <w:hideMark/>
          </w:tcPr>
          <w:p w:rsidR="00EF08A8" w:rsidRPr="00296D59" w:rsidRDefault="00EF08A8" w:rsidP="00EF08A8">
            <w:pPr>
              <w:spacing w:before="40" w:line="240" w:lineRule="auto"/>
              <w:ind w:firstLine="23"/>
              <w:rPr>
                <w:rFonts w:eastAsia="Times New Roman"/>
                <w:color w:val="000000"/>
                <w:sz w:val="24"/>
                <w:szCs w:val="24"/>
                <w:lang w:eastAsia="en-SG"/>
              </w:rPr>
            </w:pPr>
          </w:p>
        </w:tc>
        <w:tc>
          <w:tcPr>
            <w:tcW w:w="741"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30 - 20 cm</w:t>
            </w:r>
          </w:p>
        </w:tc>
        <w:tc>
          <w:tcPr>
            <w:tcW w:w="1222"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i/>
                <w:color w:val="000000"/>
                <w:sz w:val="24"/>
                <w:szCs w:val="24"/>
                <w:lang w:eastAsia="en-SG"/>
              </w:rPr>
              <w:t>Caratophyllum</w:t>
            </w:r>
            <w:r w:rsidRPr="00296D59">
              <w:rPr>
                <w:rFonts w:eastAsia="Times New Roman"/>
                <w:color w:val="000000"/>
                <w:sz w:val="24"/>
                <w:szCs w:val="24"/>
                <w:lang w:eastAsia="en-SG"/>
              </w:rPr>
              <w:t xml:space="preserve"> sp.,</w:t>
            </w:r>
          </w:p>
        </w:tc>
        <w:tc>
          <w:tcPr>
            <w:tcW w:w="2435" w:type="pct"/>
            <w:shd w:val="clear" w:color="auto" w:fill="auto"/>
            <w:vAlign w:val="bottom"/>
            <w:hideMark/>
          </w:tcPr>
          <w:p w:rsidR="00EF08A8" w:rsidRPr="00296D59" w:rsidRDefault="00EF08A8" w:rsidP="00EF08A8">
            <w:pPr>
              <w:spacing w:before="40" w:line="240" w:lineRule="auto"/>
              <w:ind w:firstLine="23"/>
              <w:rPr>
                <w:rFonts w:eastAsia="Times New Roman"/>
                <w:color w:val="000000"/>
                <w:sz w:val="24"/>
                <w:szCs w:val="24"/>
                <w:lang w:eastAsia="en-SG"/>
              </w:rPr>
            </w:pPr>
            <w:r w:rsidRPr="00296D59">
              <w:rPr>
                <w:rFonts w:eastAsia="Times New Roman"/>
                <w:color w:val="000000"/>
                <w:sz w:val="24"/>
                <w:szCs w:val="24"/>
                <w:lang w:eastAsia="en-SG"/>
              </w:rPr>
              <w:t>Mẫu phong phú hóa thạch Caratophyllum sp., là một loại phấn hoa ngập nước chứng tỏ môi trường bị ngập nước</w:t>
            </w:r>
          </w:p>
        </w:tc>
      </w:tr>
    </w:tbl>
    <w:p w:rsidR="00EF08A8" w:rsidRDefault="00EF08A8" w:rsidP="00A06F39">
      <w:pPr>
        <w:spacing w:before="0" w:after="0" w:line="360" w:lineRule="auto"/>
        <w:contextualSpacing/>
        <w:rPr>
          <w:sz w:val="28"/>
          <w:szCs w:val="28"/>
        </w:rPr>
      </w:pPr>
    </w:p>
    <w:p w:rsidR="00A06F39" w:rsidRPr="00D37B11" w:rsidRDefault="00AB2DFE" w:rsidP="00A06F39">
      <w:pPr>
        <w:rPr>
          <w:sz w:val="28"/>
          <w:szCs w:val="28"/>
        </w:rPr>
      </w:pPr>
      <w:r>
        <w:rPr>
          <w:sz w:val="28"/>
          <w:szCs w:val="28"/>
        </w:rPr>
        <w:t xml:space="preserve">Dựa trên kết quả phân tích bào tử, phấn hoa, có thể chia địa tầng di chỉ thành các tầng như sau: </w:t>
      </w:r>
    </w:p>
    <w:p w:rsidR="00A06F39" w:rsidRPr="00D37B11" w:rsidRDefault="00AB2DFE" w:rsidP="0049385F">
      <w:pPr>
        <w:spacing w:before="0" w:after="0" w:line="360" w:lineRule="auto"/>
        <w:contextualSpacing/>
        <w:rPr>
          <w:sz w:val="28"/>
          <w:szCs w:val="28"/>
        </w:rPr>
      </w:pPr>
      <w:r>
        <w:rPr>
          <w:sz w:val="28"/>
          <w:szCs w:val="28"/>
        </w:rPr>
        <w:t xml:space="preserve">- </w:t>
      </w:r>
      <w:r w:rsidR="004B3FA3">
        <w:rPr>
          <w:sz w:val="28"/>
          <w:szCs w:val="28"/>
        </w:rPr>
        <w:t xml:space="preserve">Độ sâu </w:t>
      </w:r>
      <w:r w:rsidR="0032740B">
        <w:rPr>
          <w:sz w:val="28"/>
          <w:szCs w:val="28"/>
        </w:rPr>
        <w:t>130</w:t>
      </w:r>
      <w:r w:rsidR="00A06F39" w:rsidRPr="00D37B11">
        <w:rPr>
          <w:sz w:val="28"/>
          <w:szCs w:val="28"/>
        </w:rPr>
        <w:t xml:space="preserve">cm – </w:t>
      </w:r>
      <w:r w:rsidR="00EA5CAC">
        <w:rPr>
          <w:sz w:val="28"/>
          <w:szCs w:val="28"/>
        </w:rPr>
        <w:t>1</w:t>
      </w:r>
      <w:r w:rsidR="0032740B">
        <w:rPr>
          <w:sz w:val="28"/>
          <w:szCs w:val="28"/>
        </w:rPr>
        <w:t>20</w:t>
      </w:r>
      <w:r w:rsidR="00A06F39" w:rsidRPr="00D37B11">
        <w:rPr>
          <w:sz w:val="28"/>
          <w:szCs w:val="28"/>
        </w:rPr>
        <w:t xml:space="preserve">cm: </w:t>
      </w:r>
      <w:r w:rsidR="0032740B">
        <w:rPr>
          <w:sz w:val="28"/>
          <w:szCs w:val="28"/>
        </w:rPr>
        <w:t>Không có bào tử, phấn hoa tìm thấy trong lớp đất này. Mẫu sau khi gia công có thành phần khoáng hạt thô chứng tỏ môi trường có động lực mạnh hoặc điều kiện môi trường phong hóa khiến cho bào tử phấn không lắng đọng hoặc bảo tồn được.</w:t>
      </w:r>
      <w:r w:rsidR="00EE2416">
        <w:rPr>
          <w:sz w:val="28"/>
          <w:szCs w:val="28"/>
        </w:rPr>
        <w:t xml:space="preserve"> </w:t>
      </w:r>
    </w:p>
    <w:p w:rsidR="004B3FA3" w:rsidRPr="00D37B11" w:rsidRDefault="004B3FA3" w:rsidP="00B44449">
      <w:pPr>
        <w:spacing w:before="0" w:after="0" w:line="360" w:lineRule="auto"/>
        <w:contextualSpacing/>
        <w:rPr>
          <w:sz w:val="28"/>
          <w:szCs w:val="28"/>
        </w:rPr>
      </w:pPr>
      <w:r>
        <w:rPr>
          <w:sz w:val="28"/>
          <w:szCs w:val="28"/>
        </w:rPr>
        <w:t>- Độ</w:t>
      </w:r>
      <w:r w:rsidR="00276AF9">
        <w:rPr>
          <w:sz w:val="28"/>
          <w:szCs w:val="28"/>
        </w:rPr>
        <w:t xml:space="preserve"> sâu: 1</w:t>
      </w:r>
      <w:r w:rsidR="00FA13C0">
        <w:rPr>
          <w:sz w:val="28"/>
          <w:szCs w:val="28"/>
        </w:rPr>
        <w:t>10</w:t>
      </w:r>
      <w:r w:rsidR="00276AF9">
        <w:rPr>
          <w:sz w:val="28"/>
          <w:szCs w:val="28"/>
        </w:rPr>
        <w:t>cm-1</w:t>
      </w:r>
      <w:r w:rsidR="00FA13C0">
        <w:rPr>
          <w:sz w:val="28"/>
          <w:szCs w:val="28"/>
        </w:rPr>
        <w:t>00</w:t>
      </w:r>
      <w:r>
        <w:rPr>
          <w:sz w:val="28"/>
          <w:szCs w:val="28"/>
        </w:rPr>
        <w:t xml:space="preserve">cm: </w:t>
      </w:r>
      <w:r w:rsidR="00FA13C0" w:rsidRPr="00FA13C0">
        <w:rPr>
          <w:sz w:val="28"/>
          <w:szCs w:val="28"/>
        </w:rPr>
        <w:t>Mẫu nghèo hóa thạch bào tử, phấn hoa, nghèo vật chất hữu cơ, nhiều charcoal, khó luận giải được điều kiện môi trường</w:t>
      </w:r>
      <w:r w:rsidR="006A2769">
        <w:rPr>
          <w:sz w:val="28"/>
          <w:szCs w:val="28"/>
        </w:rPr>
        <w:t>.</w:t>
      </w:r>
    </w:p>
    <w:p w:rsidR="00A06F39" w:rsidRDefault="00EF08A8" w:rsidP="00A06F39">
      <w:pPr>
        <w:spacing w:before="0" w:after="0" w:line="360" w:lineRule="auto"/>
        <w:rPr>
          <w:sz w:val="28"/>
          <w:szCs w:val="28"/>
        </w:rPr>
      </w:pPr>
      <w:r>
        <w:rPr>
          <w:sz w:val="28"/>
          <w:szCs w:val="28"/>
        </w:rPr>
        <w:t xml:space="preserve">- Độ sâu: </w:t>
      </w:r>
      <w:r>
        <w:rPr>
          <w:sz w:val="28"/>
          <w:szCs w:val="28"/>
        </w:rPr>
        <w:t>9</w:t>
      </w:r>
      <w:r>
        <w:rPr>
          <w:sz w:val="28"/>
          <w:szCs w:val="28"/>
        </w:rPr>
        <w:t>0cm-</w:t>
      </w:r>
      <w:r>
        <w:rPr>
          <w:sz w:val="28"/>
          <w:szCs w:val="28"/>
        </w:rPr>
        <w:t>7</w:t>
      </w:r>
      <w:r>
        <w:rPr>
          <w:sz w:val="28"/>
          <w:szCs w:val="28"/>
        </w:rPr>
        <w:t xml:space="preserve">0cm: </w:t>
      </w:r>
      <w:r w:rsidRPr="00FA13C0">
        <w:rPr>
          <w:sz w:val="28"/>
          <w:szCs w:val="28"/>
        </w:rPr>
        <w:t>Mẫu nghèo hóa thạch bào tử, phấ</w:t>
      </w:r>
      <w:r>
        <w:rPr>
          <w:sz w:val="28"/>
          <w:szCs w:val="28"/>
        </w:rPr>
        <w:t>n hoa. Hiếm gặp Graminae gen indet.</w:t>
      </w:r>
      <w:r w:rsidRPr="00FA13C0">
        <w:rPr>
          <w:sz w:val="28"/>
          <w:szCs w:val="28"/>
        </w:rPr>
        <w:t xml:space="preserve"> </w:t>
      </w:r>
      <w:r>
        <w:rPr>
          <w:sz w:val="28"/>
          <w:szCs w:val="28"/>
        </w:rPr>
        <w:t xml:space="preserve">Do đó, </w:t>
      </w:r>
      <w:r w:rsidRPr="00FA13C0">
        <w:rPr>
          <w:sz w:val="28"/>
          <w:szCs w:val="28"/>
        </w:rPr>
        <w:t>khó luận giải được điều kiện môi trường</w:t>
      </w:r>
      <w:r>
        <w:rPr>
          <w:sz w:val="28"/>
          <w:szCs w:val="28"/>
        </w:rPr>
        <w:t>.</w:t>
      </w:r>
    </w:p>
    <w:p w:rsidR="00EF08A8" w:rsidRDefault="00EF08A8" w:rsidP="00A06F39">
      <w:pPr>
        <w:spacing w:before="0" w:after="0" w:line="360" w:lineRule="auto"/>
        <w:rPr>
          <w:sz w:val="28"/>
          <w:szCs w:val="28"/>
        </w:rPr>
      </w:pPr>
      <w:r>
        <w:rPr>
          <w:sz w:val="28"/>
          <w:szCs w:val="28"/>
        </w:rPr>
        <w:t xml:space="preserve">- Độ sâu: </w:t>
      </w:r>
      <w:r>
        <w:rPr>
          <w:sz w:val="28"/>
          <w:szCs w:val="28"/>
        </w:rPr>
        <w:t>55</w:t>
      </w:r>
      <w:r>
        <w:rPr>
          <w:sz w:val="28"/>
          <w:szCs w:val="28"/>
        </w:rPr>
        <w:t>cm-</w:t>
      </w:r>
      <w:r w:rsidR="00E74F52">
        <w:rPr>
          <w:sz w:val="28"/>
          <w:szCs w:val="28"/>
        </w:rPr>
        <w:t>45</w:t>
      </w:r>
      <w:r>
        <w:rPr>
          <w:sz w:val="28"/>
          <w:szCs w:val="28"/>
        </w:rPr>
        <w:t xml:space="preserve">cm: </w:t>
      </w:r>
      <w:r w:rsidRPr="00FA13C0">
        <w:rPr>
          <w:sz w:val="28"/>
          <w:szCs w:val="28"/>
        </w:rPr>
        <w:t>Mẫu nghèo hóa thạch bào tử, phấ</w:t>
      </w:r>
      <w:r>
        <w:rPr>
          <w:sz w:val="28"/>
          <w:szCs w:val="28"/>
        </w:rPr>
        <w:t>n hoa. Hiếm gặp</w:t>
      </w:r>
      <w:r w:rsidR="00296D59">
        <w:rPr>
          <w:sz w:val="28"/>
          <w:szCs w:val="28"/>
        </w:rPr>
        <w:t xml:space="preserve"> </w:t>
      </w:r>
      <w:r w:rsidR="00296D59" w:rsidRPr="00296D59">
        <w:rPr>
          <w:i/>
          <w:sz w:val="28"/>
          <w:szCs w:val="28"/>
        </w:rPr>
        <w:t>Morus</w:t>
      </w:r>
      <w:r w:rsidR="00296D59">
        <w:rPr>
          <w:sz w:val="28"/>
          <w:szCs w:val="28"/>
        </w:rPr>
        <w:t xml:space="preserve"> sp.,</w:t>
      </w:r>
      <w:r>
        <w:rPr>
          <w:sz w:val="28"/>
          <w:szCs w:val="28"/>
        </w:rPr>
        <w:t xml:space="preserve"> </w:t>
      </w:r>
      <w:r w:rsidR="00296D59">
        <w:rPr>
          <w:sz w:val="28"/>
          <w:szCs w:val="28"/>
        </w:rPr>
        <w:t xml:space="preserve">và </w:t>
      </w:r>
      <w:r w:rsidR="00296D59" w:rsidRPr="00296D59">
        <w:rPr>
          <w:i/>
          <w:sz w:val="28"/>
          <w:szCs w:val="28"/>
        </w:rPr>
        <w:t>Ceratophyllum</w:t>
      </w:r>
      <w:r w:rsidR="00296D59">
        <w:rPr>
          <w:sz w:val="28"/>
          <w:szCs w:val="28"/>
        </w:rPr>
        <w:t xml:space="preserve"> sp.,</w:t>
      </w:r>
      <w:r w:rsidRPr="00FA13C0">
        <w:rPr>
          <w:sz w:val="28"/>
          <w:szCs w:val="28"/>
        </w:rPr>
        <w:t xml:space="preserve"> </w:t>
      </w:r>
      <w:r w:rsidR="00121E5F">
        <w:rPr>
          <w:sz w:val="28"/>
          <w:szCs w:val="28"/>
        </w:rPr>
        <w:t xml:space="preserve">Sự có mặt của </w:t>
      </w:r>
      <w:r w:rsidR="00121E5F" w:rsidRPr="00296D59">
        <w:rPr>
          <w:i/>
          <w:sz w:val="28"/>
          <w:szCs w:val="28"/>
        </w:rPr>
        <w:t>Ceratophyllum</w:t>
      </w:r>
      <w:r w:rsidR="00121E5F">
        <w:rPr>
          <w:sz w:val="28"/>
          <w:szCs w:val="28"/>
        </w:rPr>
        <w:t xml:space="preserve"> sp.,</w:t>
      </w:r>
      <w:r w:rsidR="00121E5F">
        <w:rPr>
          <w:sz w:val="28"/>
          <w:szCs w:val="28"/>
        </w:rPr>
        <w:t xml:space="preserve"> (một loại thực vật thủy sinh) chứng tỏ môi trường ở đây đang ở gần một thủy vực như ao, hồ, đầm lầy</w:t>
      </w:r>
      <w:r>
        <w:rPr>
          <w:sz w:val="28"/>
          <w:szCs w:val="28"/>
        </w:rPr>
        <w:t>.</w:t>
      </w:r>
    </w:p>
    <w:p w:rsidR="00121E5F" w:rsidRPr="00D37B11" w:rsidRDefault="00121E5F" w:rsidP="00121E5F">
      <w:pPr>
        <w:spacing w:before="0" w:after="0" w:line="360" w:lineRule="auto"/>
        <w:rPr>
          <w:sz w:val="28"/>
          <w:szCs w:val="28"/>
        </w:rPr>
      </w:pPr>
      <w:r>
        <w:rPr>
          <w:sz w:val="28"/>
          <w:szCs w:val="28"/>
        </w:rPr>
        <w:lastRenderedPageBreak/>
        <w:t xml:space="preserve">- Độ sâu: </w:t>
      </w:r>
      <w:r>
        <w:rPr>
          <w:sz w:val="28"/>
          <w:szCs w:val="28"/>
        </w:rPr>
        <w:t>30</w:t>
      </w:r>
      <w:r>
        <w:rPr>
          <w:sz w:val="28"/>
          <w:szCs w:val="28"/>
        </w:rPr>
        <w:t>cm-</w:t>
      </w:r>
      <w:r>
        <w:rPr>
          <w:sz w:val="28"/>
          <w:szCs w:val="28"/>
        </w:rPr>
        <w:t>20</w:t>
      </w:r>
      <w:r>
        <w:rPr>
          <w:sz w:val="28"/>
          <w:szCs w:val="28"/>
        </w:rPr>
        <w:t xml:space="preserve">cm: </w:t>
      </w:r>
      <w:r w:rsidRPr="00FA13C0">
        <w:rPr>
          <w:sz w:val="28"/>
          <w:szCs w:val="28"/>
        </w:rPr>
        <w:t xml:space="preserve">Mẫu </w:t>
      </w:r>
      <w:r>
        <w:rPr>
          <w:sz w:val="28"/>
          <w:szCs w:val="28"/>
        </w:rPr>
        <w:t>giàu hóa thạch</w:t>
      </w:r>
      <w:r>
        <w:rPr>
          <w:sz w:val="28"/>
          <w:szCs w:val="28"/>
        </w:rPr>
        <w:t xml:space="preserve"> </w:t>
      </w:r>
      <w:r w:rsidRPr="00296D59">
        <w:rPr>
          <w:i/>
          <w:sz w:val="28"/>
          <w:szCs w:val="28"/>
        </w:rPr>
        <w:t>Ceratophyllum</w:t>
      </w:r>
      <w:r>
        <w:rPr>
          <w:sz w:val="28"/>
          <w:szCs w:val="28"/>
        </w:rPr>
        <w:t xml:space="preserve"> sp.,</w:t>
      </w:r>
      <w:r>
        <w:rPr>
          <w:sz w:val="28"/>
          <w:szCs w:val="28"/>
        </w:rPr>
        <w:t xml:space="preserve"> (hình 1).</w:t>
      </w:r>
      <w:r w:rsidRPr="00FA13C0">
        <w:rPr>
          <w:sz w:val="28"/>
          <w:szCs w:val="28"/>
        </w:rPr>
        <w:t xml:space="preserve"> </w:t>
      </w:r>
      <w:r>
        <w:rPr>
          <w:sz w:val="28"/>
          <w:szCs w:val="28"/>
        </w:rPr>
        <w:t xml:space="preserve">Sự </w:t>
      </w:r>
      <w:r>
        <w:rPr>
          <w:sz w:val="28"/>
          <w:szCs w:val="28"/>
        </w:rPr>
        <w:t>ưu thế của</w:t>
      </w:r>
      <w:r>
        <w:rPr>
          <w:sz w:val="28"/>
          <w:szCs w:val="28"/>
        </w:rPr>
        <w:t xml:space="preserve"> </w:t>
      </w:r>
      <w:r w:rsidRPr="00296D59">
        <w:rPr>
          <w:i/>
          <w:sz w:val="28"/>
          <w:szCs w:val="28"/>
        </w:rPr>
        <w:t>Ceratophyllum</w:t>
      </w:r>
      <w:r>
        <w:rPr>
          <w:sz w:val="28"/>
          <w:szCs w:val="28"/>
        </w:rPr>
        <w:t xml:space="preserve"> sp., chứng tỏ môi trường ở đây </w:t>
      </w:r>
      <w:r>
        <w:rPr>
          <w:sz w:val="28"/>
          <w:szCs w:val="28"/>
        </w:rPr>
        <w:t>có thể là một</w:t>
      </w:r>
      <w:r>
        <w:rPr>
          <w:sz w:val="28"/>
          <w:szCs w:val="28"/>
        </w:rPr>
        <w:t xml:space="preserve"> thủy vực</w:t>
      </w:r>
      <w:r>
        <w:rPr>
          <w:sz w:val="28"/>
          <w:szCs w:val="28"/>
        </w:rPr>
        <w:t xml:space="preserve"> nước ngọt</w:t>
      </w:r>
      <w:r>
        <w:rPr>
          <w:sz w:val="28"/>
          <w:szCs w:val="28"/>
        </w:rPr>
        <w:t xml:space="preserve"> như ao, hồ, đầm lầy.</w:t>
      </w:r>
    </w:p>
    <w:p w:rsidR="00EC104F" w:rsidRDefault="00EF08A8" w:rsidP="00EC104F">
      <w:pPr>
        <w:ind w:firstLine="0"/>
        <w:jc w:val="center"/>
      </w:pPr>
      <w:bookmarkStart w:id="7" w:name="_GoBack"/>
      <w:bookmarkEnd w:id="7"/>
      <w:r>
        <w:rPr>
          <w:noProof/>
          <w:lang w:val="en-SG" w:eastAsia="en-SG"/>
        </w:rPr>
        <w:drawing>
          <wp:inline distT="0" distB="0" distL="0" distR="0">
            <wp:extent cx="5794096"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 anh.jpg"/>
                    <pic:cNvPicPr/>
                  </pic:nvPicPr>
                  <pic:blipFill rotWithShape="1">
                    <a:blip r:embed="rId4">
                      <a:extLst>
                        <a:ext uri="{28A0092B-C50C-407E-A947-70E740481C1C}">
                          <a14:useLocalDpi xmlns:a14="http://schemas.microsoft.com/office/drawing/2010/main" val="0"/>
                        </a:ext>
                      </a:extLst>
                    </a:blip>
                    <a:srcRect l="3499" t="9803" r="4698" b="61359"/>
                    <a:stretch/>
                  </pic:blipFill>
                  <pic:spPr bwMode="auto">
                    <a:xfrm>
                      <a:off x="0" y="0"/>
                      <a:ext cx="5796633" cy="2630051"/>
                    </a:xfrm>
                    <a:prstGeom prst="rect">
                      <a:avLst/>
                    </a:prstGeom>
                    <a:ln>
                      <a:noFill/>
                    </a:ln>
                    <a:extLst>
                      <a:ext uri="{53640926-AAD7-44D8-BBD7-CCE9431645EC}">
                        <a14:shadowObscured xmlns:a14="http://schemas.microsoft.com/office/drawing/2010/main"/>
                      </a:ext>
                    </a:extLst>
                  </pic:spPr>
                </pic:pic>
              </a:graphicData>
            </a:graphic>
          </wp:inline>
        </w:drawing>
      </w:r>
    </w:p>
    <w:p w:rsidR="0063504E" w:rsidRDefault="0063504E" w:rsidP="00EC104F">
      <w:pPr>
        <w:ind w:firstLine="0"/>
        <w:jc w:val="center"/>
      </w:pPr>
      <w:r>
        <w:t>Hình 1. Một số ả</w:t>
      </w:r>
      <w:r w:rsidR="00EF08A8">
        <w:t xml:space="preserve">nh phấn hoa </w:t>
      </w:r>
      <w:r w:rsidR="00EF08A8" w:rsidRPr="00EF08A8">
        <w:rPr>
          <w:i/>
        </w:rPr>
        <w:t>Ceratophyllum</w:t>
      </w:r>
      <w:r w:rsidR="00EF08A8">
        <w:t xml:space="preserve"> sp.,</w:t>
      </w:r>
    </w:p>
    <w:p w:rsidR="0063504E" w:rsidRDefault="0063504E" w:rsidP="00EC104F">
      <w:pPr>
        <w:ind w:firstLine="0"/>
        <w:jc w:val="center"/>
      </w:pPr>
    </w:p>
    <w:p w:rsidR="0063504E" w:rsidRDefault="0063504E" w:rsidP="00EC104F">
      <w:pPr>
        <w:ind w:firstLine="0"/>
        <w:jc w:val="center"/>
      </w:pPr>
    </w:p>
    <w:sectPr w:rsidR="0063504E" w:rsidSect="00B51146">
      <w:pgSz w:w="12240" w:h="15840"/>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é">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F39"/>
    <w:rsid w:val="00011FB5"/>
    <w:rsid w:val="000502D6"/>
    <w:rsid w:val="000972D4"/>
    <w:rsid w:val="000E4B4E"/>
    <w:rsid w:val="00121E5F"/>
    <w:rsid w:val="001947C9"/>
    <w:rsid w:val="001D4CB1"/>
    <w:rsid w:val="001E695B"/>
    <w:rsid w:val="00225D17"/>
    <w:rsid w:val="0024199C"/>
    <w:rsid w:val="002422F5"/>
    <w:rsid w:val="00264032"/>
    <w:rsid w:val="00276AF9"/>
    <w:rsid w:val="00296D59"/>
    <w:rsid w:val="00325F1F"/>
    <w:rsid w:val="0032740B"/>
    <w:rsid w:val="003521DB"/>
    <w:rsid w:val="003F273C"/>
    <w:rsid w:val="00402CE5"/>
    <w:rsid w:val="0049385F"/>
    <w:rsid w:val="004B3FA3"/>
    <w:rsid w:val="004C64A2"/>
    <w:rsid w:val="004D020F"/>
    <w:rsid w:val="00526CBD"/>
    <w:rsid w:val="00532E83"/>
    <w:rsid w:val="00535D9D"/>
    <w:rsid w:val="005E2A68"/>
    <w:rsid w:val="0063504E"/>
    <w:rsid w:val="0065555B"/>
    <w:rsid w:val="006856D4"/>
    <w:rsid w:val="00687CC1"/>
    <w:rsid w:val="006A2769"/>
    <w:rsid w:val="006C3994"/>
    <w:rsid w:val="007310AB"/>
    <w:rsid w:val="00761DF4"/>
    <w:rsid w:val="007A78AB"/>
    <w:rsid w:val="00815FBD"/>
    <w:rsid w:val="00835D6E"/>
    <w:rsid w:val="008379F3"/>
    <w:rsid w:val="008D1EAF"/>
    <w:rsid w:val="008E3007"/>
    <w:rsid w:val="00907CB9"/>
    <w:rsid w:val="009908CF"/>
    <w:rsid w:val="00A06F39"/>
    <w:rsid w:val="00A51F1F"/>
    <w:rsid w:val="00AB2DFE"/>
    <w:rsid w:val="00AE5A1B"/>
    <w:rsid w:val="00B418FF"/>
    <w:rsid w:val="00B44449"/>
    <w:rsid w:val="00B51146"/>
    <w:rsid w:val="00B51671"/>
    <w:rsid w:val="00B5367D"/>
    <w:rsid w:val="00BF1466"/>
    <w:rsid w:val="00C52B72"/>
    <w:rsid w:val="00C70398"/>
    <w:rsid w:val="00C74528"/>
    <w:rsid w:val="00CB262F"/>
    <w:rsid w:val="00D07946"/>
    <w:rsid w:val="00D32484"/>
    <w:rsid w:val="00D77AC1"/>
    <w:rsid w:val="00DD055B"/>
    <w:rsid w:val="00E74F52"/>
    <w:rsid w:val="00EA231A"/>
    <w:rsid w:val="00EA5CAC"/>
    <w:rsid w:val="00EC104F"/>
    <w:rsid w:val="00EE2416"/>
    <w:rsid w:val="00EF08A8"/>
    <w:rsid w:val="00F07D50"/>
    <w:rsid w:val="00F243AD"/>
    <w:rsid w:val="00FA13C0"/>
    <w:rsid w:val="00FD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A7CD"/>
  <w15:chartTrackingRefBased/>
  <w15:docId w15:val="{C408C8F7-98F7-4E2E-83B5-1A8C200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F39"/>
    <w:pPr>
      <w:spacing w:before="80" w:after="40" w:line="312" w:lineRule="auto"/>
      <w:ind w:firstLine="720"/>
      <w:jc w:val="both"/>
    </w:pPr>
    <w:rPr>
      <w:rFonts w:eastAsiaTheme="minorEastAsia" w:cs="Times New Roman"/>
      <w:sz w:val="26"/>
      <w:lang w:eastAsia="zh-CN"/>
    </w:rPr>
  </w:style>
  <w:style w:type="paragraph" w:styleId="Heading2">
    <w:name w:val="heading 2"/>
    <w:basedOn w:val="Normal"/>
    <w:next w:val="Normal"/>
    <w:link w:val="Heading2Char"/>
    <w:uiPriority w:val="9"/>
    <w:unhideWhenUsed/>
    <w:qFormat/>
    <w:rsid w:val="00A06F39"/>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A06F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F39"/>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rsid w:val="00A06F39"/>
    <w:rPr>
      <w:rFonts w:asciiTheme="majorHAnsi" w:eastAsiaTheme="majorEastAsia" w:hAnsiTheme="majorHAnsi" w:cstheme="majorBidi"/>
      <w:color w:val="1F4D78" w:themeColor="accent1" w:themeShade="7F"/>
      <w:sz w:val="24"/>
      <w:szCs w:val="24"/>
      <w:lang w:eastAsia="zh-CN"/>
    </w:rPr>
  </w:style>
  <w:style w:type="paragraph" w:styleId="Caption">
    <w:name w:val="caption"/>
    <w:basedOn w:val="Normal"/>
    <w:next w:val="Normal"/>
    <w:autoRedefine/>
    <w:uiPriority w:val="35"/>
    <w:unhideWhenUsed/>
    <w:qFormat/>
    <w:rsid w:val="00A06F39"/>
    <w:pPr>
      <w:spacing w:before="0" w:after="0" w:line="360" w:lineRule="auto"/>
      <w:ind w:firstLine="0"/>
      <w:contextualSpacing/>
      <w:jc w:val="center"/>
    </w:pPr>
    <w:rPr>
      <w:b/>
      <w:iCs/>
      <w:sz w:val="28"/>
      <w:szCs w:val="18"/>
    </w:rPr>
  </w:style>
  <w:style w:type="paragraph" w:styleId="ListParagraph">
    <w:name w:val="List Paragraph"/>
    <w:basedOn w:val="Normal"/>
    <w:uiPriority w:val="34"/>
    <w:qFormat/>
    <w:rsid w:val="00AB2DFE"/>
    <w:pPr>
      <w:ind w:left="720"/>
      <w:contextualSpacing/>
    </w:pPr>
  </w:style>
  <w:style w:type="table" w:styleId="TableGrid">
    <w:name w:val="Table Grid"/>
    <w:basedOn w:val="TableNormal"/>
    <w:uiPriority w:val="39"/>
    <w:rsid w:val="005E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02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2022-10-15T05:14:00Z</dcterms:created>
  <dcterms:modified xsi:type="dcterms:W3CDTF">2022-10-15T11:17:00Z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70f410963d1e9c6e16be350ec76a7b3281a1c9e3fa5a78278bcd1e58fc7701d6</vt:lpwstr>
  </property>
</Properties>
</file>