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SATD keywords and sensitivity results</w:t>
      </w:r>
    </w:p>
    <w:p>
      <w:r>
        <w:t>SOEN 6221 Person C</w:t>
      </w:r>
    </w:p>
    <w:p>
      <w:r>
        <w:t>A fresh independent comparison across ten pinned Python framework repositories identified 641 strict candidates and 693 candidates when proposed loose phrases were included. The analysis covered 66,754 comment blocks.</w:t>
      </w:r>
    </w:p>
    <w:p>
      <w:pPr>
        <w:pStyle w:val="Heading1"/>
      </w:pPr>
      <w:r>
        <w:t>Keywords and matching rules</w:t>
      </w:r>
    </w:p>
    <w:p>
      <w:r>
        <w:rPr>
          <w:b/>
        </w:rPr>
        <w:t xml:space="preserve">Strict markers </w:t>
      </w:r>
      <w:r>
        <w:t>TODO, FIXME, XXX and HACK.</w:t>
      </w:r>
    </w:p>
    <w:p>
      <w:r>
        <w:rPr>
          <w:b/>
        </w:rPr>
        <w:t xml:space="preserve">Proposed loose phrases </w:t>
      </w:r>
      <w:r>
        <w:t>workaround, work around, work-around; hardcode, hardcoded and hardcoding (including spaced or hyphenated forms); temporary solution; kludge; ugly.</w:t>
      </w:r>
    </w:p>
    <w:p>
      <w:r>
        <w:rPr>
          <w:b/>
        </w:rPr>
        <w:t xml:space="preserve">Diagnostic marker </w:t>
      </w:r>
      <w:r>
        <w:t>DEPRECATED, tested separately because deprecation alone does not establish technical debt.</w:t>
      </w:r>
    </w:p>
    <w:p>
      <w:r>
        <w:t>Matching is case-insensitive with whole-word boundaries. Anchored strict requires a marker at the start of a comment line, after removing # and leading whitespace. Consecutive standalone lines at equal indentation form one block; anchoring checks each line. Inline comments and tests are retained; docstrings are excluded. Each block is counted once per variant.</w:t>
      </w:r>
    </w:p>
    <w:p>
      <w:pPr>
        <w:pStyle w:val="Heading1"/>
      </w:pPr>
      <w:r>
        <w:t>Sensitivity table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96"/>
        <w:gridCol w:w="1800"/>
        <w:gridCol w:w="1368"/>
        <w:gridCol w:w="1944"/>
        <w:gridCol w:w="2160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E8EEF4"/>
          </w:tcPr>
          <w:p>
            <w:pPr>
              <w:spacing w:after="0" w:line="240" w:lineRule="auto"/>
              <w:jc w:val="left"/>
            </w:pPr>
            <w:r>
              <w:rPr>
                <w:b/>
                <w:sz w:val="20"/>
              </w:rPr>
              <w:t>Framework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E8EEF4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Strict plus D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E8EEF4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Strict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E8EEF4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Anchored strict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  <w:shd w:fill="E8EEF4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Strict plus loose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LlamaIndex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313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256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263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LangChain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967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89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84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109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AutoGen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110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101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OpenAI Agents SDK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LangGraph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25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MetaGPT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98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97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81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102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Semantic Kernel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38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35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CrewAI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Haystack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 w:val="0"/>
                <w:sz w:val="20"/>
              </w:rPr>
              <w:t>smolagents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22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left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80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1,613</w:t>
            </w:r>
          </w:p>
        </w:tc>
        <w:tc>
          <w:tcPr>
            <w:tcW w:type="dxa" w:w="1368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641</w:t>
            </w:r>
          </w:p>
        </w:tc>
        <w:tc>
          <w:tcPr>
            <w:tcW w:type="dxa" w:w="1944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597</w:t>
            </w:r>
          </w:p>
        </w:tc>
        <w:tc>
          <w:tcPr>
            <w:tcW w:type="dxa" w:w="2160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693</w:t>
            </w:r>
          </w:p>
        </w:tc>
      </w:tr>
    </w:tbl>
    <w:p>
      <w:pPr>
        <w:spacing w:before="100"/>
      </w:pPr>
      <w:r>
        <w:rPr>
          <w:sz w:val="20"/>
        </w:rPr>
        <w:t>D = DEPRECATED. All columns except Strict plus D exclude the standalone deprecation marker.</w:t>
      </w:r>
    </w:p>
    <w:p>
      <w:pPr>
        <w:pStyle w:val="Heading1"/>
      </w:pPr>
      <w:r>
        <w:t>What the results mean</w:t>
      </w:r>
    </w:p>
    <w:p>
      <w:r>
        <w:t>Adding DEPRECATED introduces 972 additional candidates, including 878 in LangChain. This large increase supports keeping deprecation separate for contextual review. Anchoring removes 44 strict candidates by excluding markers later in a comment line; some genuine admissions may also be removed. The loose phrases add 52 candidates beyond strict matching, broadening the review pool to 693.</w:t>
      </w:r>
    </w:p>
    <w:p>
      <w:r>
        <w:t>Strict candidates account for 92.50% of the full candidate pool. This measures candidate coverage, not SATD recall. The keywords remain proposed: candidate counts do not establish confirmed debt, and manual validation is needed to estimate precision. These results use new pinned snapshots and do not reproduce the unavailable pilot.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SATD keywords and sensitivity results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