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SOEN 6221 Person C SATD keyword validation</w:t>
      </w:r>
    </w:p>
    <w:p>
      <w:pPr>
        <w:pStyle w:val="Subtitle"/>
      </w:pPr>
      <w:r>
        <w:t>Fresh independent study  |  13 October 2026</w:t>
      </w:r>
    </w:p>
    <w:p>
      <w:r>
        <w:t>The proposed detector found 641 strict candidates and 693 full-set candidates in 66,754 Python comment blocks across ten pinned framework repositories. The 100-comment review sample is ready. The pattern set is provisional until human validation and original-paper source checks are complete.</w:t>
      </w:r>
    </w:p>
    <w:p>
      <w:pPr>
        <w:pStyle w:val="Heading1"/>
      </w:pPr>
      <w:r>
        <w:t>Proposed keyword configuration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2592"/>
        <w:gridCol w:w="1296"/>
        <w:gridCol w:w="5184"/>
      </w:tblGrid>
      <w:tr>
        <w:trPr>
          <w:tblHeader/>
          <w:cantSplit/>
        </w:trPr>
        <w:tc>
          <w:tcPr>
            <w:tcW w:type="dxa" w:w="1152"/>
            <w:shd w:fill="E8EEF4"/>
            <w:vAlign w:val="center"/>
            <w:tcMar>
              <w:top w:w="85" w:type="dxa"/>
              <w:left w:w="85" w:type="dxa"/>
              <w:bottom w:w="85" w:type="dxa"/>
              <w:right w:w="85" w:type="dxa"/>
            </w:tcMar>
          </w:tcPr>
          <w:p>
            <w:pPr>
              <w:spacing w:after="0" w:line="240" w:lineRule="auto"/>
              <w:jc w:val="left"/>
            </w:pPr>
            <w:r>
              <w:rPr>
                <w:b/>
                <w:color w:val="000000"/>
                <w:sz w:val="20"/>
              </w:rPr>
              <w:t>IDs</w:t>
            </w:r>
          </w:p>
        </w:tc>
        <w:tc>
          <w:tcPr>
            <w:tcW w:type="dxa" w:w="2592"/>
            <w:shd w:fill="E8EEF4"/>
            <w:vAlign w:val="center"/>
            <w:tcMar>
              <w:top w:w="85" w:type="dxa"/>
              <w:left w:w="85" w:type="dxa"/>
              <w:bottom w:w="85" w:type="dxa"/>
              <w:right w:w="85" w:type="dxa"/>
            </w:tcMar>
          </w:tcPr>
          <w:p>
            <w:pPr>
              <w:spacing w:after="0" w:line="240" w:lineRule="auto"/>
              <w:jc w:val="left"/>
            </w:pPr>
            <w:r>
              <w:rPr>
                <w:b/>
                <w:color w:val="000000"/>
                <w:sz w:val="20"/>
              </w:rPr>
              <w:t>Pattern terms</w:t>
            </w:r>
          </w:p>
        </w:tc>
        <w:tc>
          <w:tcPr>
            <w:tcW w:type="dxa" w:w="1296"/>
            <w:shd w:fill="E8EEF4"/>
            <w:vAlign w:val="center"/>
            <w:tcMar>
              <w:top w:w="85" w:type="dxa"/>
              <w:left w:w="85" w:type="dxa"/>
              <w:bottom w:w="85" w:type="dxa"/>
              <w:right w:w="85" w:type="dxa"/>
            </w:tcMar>
          </w:tcPr>
          <w:p>
            <w:pPr>
              <w:spacing w:after="0" w:line="240" w:lineRule="auto"/>
              <w:jc w:val="left"/>
            </w:pPr>
            <w:r>
              <w:rPr>
                <w:b/>
                <w:color w:val="000000"/>
                <w:sz w:val="20"/>
              </w:rPr>
              <w:t>Use</w:t>
            </w:r>
          </w:p>
        </w:tc>
        <w:tc>
          <w:tcPr>
            <w:tcW w:type="dxa" w:w="5184"/>
            <w:shd w:fill="E8EEF4"/>
            <w:vAlign w:val="center"/>
            <w:tcMar>
              <w:top w:w="85" w:type="dxa"/>
              <w:left w:w="85" w:type="dxa"/>
              <w:bottom w:w="85" w:type="dxa"/>
              <w:right w:w="85" w:type="dxa"/>
            </w:tcMar>
          </w:tcPr>
          <w:p>
            <w:pPr>
              <w:spacing w:after="0" w:line="240" w:lineRule="auto"/>
              <w:jc w:val="left"/>
            </w:pPr>
            <w:r>
              <w:rPr>
                <w:b/>
                <w:color w:val="000000"/>
                <w:sz w:val="20"/>
              </w:rPr>
              <w:t>Inclusion reason and lead</w:t>
            </w:r>
          </w:p>
        </w:tc>
      </w:tr>
      <w:tr>
        <w:trPr>
          <w:cantSplit/>
        </w:trPr>
        <w:tc>
          <w:tcPr>
            <w:tcW w:type="dxa" w:w="1152"/>
            <w:vAlign w:val="center"/>
            <w:tcMar>
              <w:top w:w="85" w:type="dxa"/>
              <w:left w:w="85" w:type="dxa"/>
              <w:bottom w:w="85" w:type="dxa"/>
              <w:right w:w="85" w:type="dxa"/>
            </w:tcMar>
          </w:tcPr>
          <w:p>
            <w:pPr>
              <w:spacing w:after="0" w:line="240" w:lineRule="auto"/>
              <w:jc w:val="left"/>
            </w:pPr>
            <w:r>
              <w:rPr>
                <w:b w:val="0"/>
                <w:color w:val="000000"/>
                <w:sz w:val="20"/>
              </w:rPr>
              <w:t>S01 to S04</w:t>
            </w:r>
          </w:p>
        </w:tc>
        <w:tc>
          <w:tcPr>
            <w:tcW w:type="dxa" w:w="2592"/>
            <w:vAlign w:val="center"/>
            <w:tcMar>
              <w:top w:w="85" w:type="dxa"/>
              <w:left w:w="85" w:type="dxa"/>
              <w:bottom w:w="85" w:type="dxa"/>
              <w:right w:w="85" w:type="dxa"/>
            </w:tcMar>
          </w:tcPr>
          <w:p>
            <w:pPr>
              <w:spacing w:after="0" w:line="240" w:lineRule="auto"/>
              <w:jc w:val="left"/>
            </w:pPr>
            <w:r>
              <w:rPr>
                <w:b w:val="0"/>
                <w:color w:val="000000"/>
                <w:sz w:val="20"/>
              </w:rPr>
              <w:t>TODO FIXME XXX HACK</w:t>
            </w:r>
          </w:p>
        </w:tc>
        <w:tc>
          <w:tcPr>
            <w:tcW w:type="dxa" w:w="1296"/>
            <w:vAlign w:val="center"/>
            <w:tcMar>
              <w:top w:w="85" w:type="dxa"/>
              <w:left w:w="85" w:type="dxa"/>
              <w:bottom w:w="85" w:type="dxa"/>
              <w:right w:w="85" w:type="dxa"/>
            </w:tcMar>
          </w:tcPr>
          <w:p>
            <w:pPr>
              <w:spacing w:after="0" w:line="240" w:lineRule="auto"/>
              <w:jc w:val="left"/>
            </w:pPr>
            <w:r>
              <w:rPr>
                <w:b w:val="0"/>
                <w:color w:val="000000"/>
                <w:sz w:val="20"/>
              </w:rPr>
              <w:t>Strict</w:t>
            </w:r>
          </w:p>
        </w:tc>
        <w:tc>
          <w:tcPr>
            <w:tcW w:type="dxa" w:w="5184"/>
            <w:vAlign w:val="center"/>
            <w:tcMar>
              <w:top w:w="85" w:type="dxa"/>
              <w:left w:w="85" w:type="dxa"/>
              <w:bottom w:w="85" w:type="dxa"/>
              <w:right w:w="85" w:type="dxa"/>
            </w:tcMar>
          </w:tcPr>
          <w:p>
            <w:pPr>
              <w:spacing w:after="0" w:line="240" w:lineRule="auto"/>
              <w:jc w:val="left"/>
            </w:pPr>
            <w:r>
              <w:rPr>
                <w:b w:val="0"/>
                <w:color w:val="000000"/>
                <w:sz w:val="20"/>
              </w:rPr>
              <w:t>Correction or shortcut markers [1, 2]</w:t>
            </w:r>
          </w:p>
        </w:tc>
      </w:tr>
      <w:tr>
        <w:trPr>
          <w:cantSplit/>
        </w:trPr>
        <w:tc>
          <w:tcPr>
            <w:tcW w:type="dxa" w:w="1152"/>
            <w:vAlign w:val="center"/>
            <w:tcMar>
              <w:top w:w="85" w:type="dxa"/>
              <w:left w:w="85" w:type="dxa"/>
              <w:bottom w:w="85" w:type="dxa"/>
              <w:right w:w="85" w:type="dxa"/>
            </w:tcMar>
          </w:tcPr>
          <w:p>
            <w:pPr>
              <w:spacing w:after="0" w:line="240" w:lineRule="auto"/>
              <w:jc w:val="left"/>
            </w:pPr>
            <w:r>
              <w:rPr>
                <w:b w:val="0"/>
                <w:color w:val="000000"/>
                <w:sz w:val="20"/>
              </w:rPr>
              <w:t>P01</w:t>
            </w:r>
          </w:p>
        </w:tc>
        <w:tc>
          <w:tcPr>
            <w:tcW w:type="dxa" w:w="2592"/>
            <w:vAlign w:val="center"/>
            <w:tcMar>
              <w:top w:w="85" w:type="dxa"/>
              <w:left w:w="85" w:type="dxa"/>
              <w:bottom w:w="85" w:type="dxa"/>
              <w:right w:w="85" w:type="dxa"/>
            </w:tcMar>
          </w:tcPr>
          <w:p>
            <w:pPr>
              <w:spacing w:after="0" w:line="240" w:lineRule="auto"/>
              <w:jc w:val="left"/>
            </w:pPr>
            <w:r>
              <w:rPr>
                <w:b w:val="0"/>
                <w:color w:val="000000"/>
                <w:sz w:val="20"/>
              </w:rPr>
              <w:t>workaround variants</w:t>
            </w:r>
          </w:p>
        </w:tc>
        <w:tc>
          <w:tcPr>
            <w:tcW w:type="dxa" w:w="1296"/>
            <w:vAlign w:val="center"/>
            <w:tcMar>
              <w:top w:w="85" w:type="dxa"/>
              <w:left w:w="85" w:type="dxa"/>
              <w:bottom w:w="85" w:type="dxa"/>
              <w:right w:w="85" w:type="dxa"/>
            </w:tcMar>
          </w:tcPr>
          <w:p>
            <w:pPr>
              <w:spacing w:after="0" w:line="240" w:lineRule="auto"/>
              <w:jc w:val="left"/>
            </w:pPr>
            <w:r>
              <w:rPr>
                <w:b w:val="0"/>
                <w:color w:val="000000"/>
                <w:sz w:val="20"/>
              </w:rPr>
              <w:t>Loose</w:t>
            </w:r>
          </w:p>
        </w:tc>
        <w:tc>
          <w:tcPr>
            <w:tcW w:type="dxa" w:w="5184"/>
            <w:vAlign w:val="center"/>
            <w:tcMar>
              <w:top w:w="85" w:type="dxa"/>
              <w:left w:w="85" w:type="dxa"/>
              <w:bottom w:w="85" w:type="dxa"/>
              <w:right w:w="85" w:type="dxa"/>
            </w:tcMar>
          </w:tcPr>
          <w:p>
            <w:pPr>
              <w:spacing w:after="0" w:line="240" w:lineRule="auto"/>
              <w:jc w:val="left"/>
            </w:pPr>
            <w:r>
              <w:rPr>
                <w:b w:val="0"/>
                <w:color w:val="000000"/>
                <w:sz w:val="20"/>
              </w:rPr>
              <w:t>Compensating compromise [1, 3]</w:t>
            </w:r>
          </w:p>
        </w:tc>
      </w:tr>
      <w:tr>
        <w:trPr>
          <w:cantSplit/>
        </w:trPr>
        <w:tc>
          <w:tcPr>
            <w:tcW w:type="dxa" w:w="1152"/>
            <w:vAlign w:val="center"/>
            <w:tcMar>
              <w:top w:w="85" w:type="dxa"/>
              <w:left w:w="85" w:type="dxa"/>
              <w:bottom w:w="85" w:type="dxa"/>
              <w:right w:w="85" w:type="dxa"/>
            </w:tcMar>
          </w:tcPr>
          <w:p>
            <w:pPr>
              <w:spacing w:after="0" w:line="240" w:lineRule="auto"/>
              <w:jc w:val="left"/>
            </w:pPr>
            <w:r>
              <w:rPr>
                <w:b w:val="0"/>
                <w:color w:val="000000"/>
                <w:sz w:val="20"/>
              </w:rPr>
              <w:t>P02</w:t>
            </w:r>
          </w:p>
        </w:tc>
        <w:tc>
          <w:tcPr>
            <w:tcW w:type="dxa" w:w="2592"/>
            <w:vAlign w:val="center"/>
            <w:tcMar>
              <w:top w:w="85" w:type="dxa"/>
              <w:left w:w="85" w:type="dxa"/>
              <w:bottom w:w="85" w:type="dxa"/>
              <w:right w:w="85" w:type="dxa"/>
            </w:tcMar>
          </w:tcPr>
          <w:p>
            <w:pPr>
              <w:spacing w:after="0" w:line="240" w:lineRule="auto"/>
              <w:jc w:val="left"/>
            </w:pPr>
            <w:r>
              <w:rPr>
                <w:b w:val="0"/>
                <w:color w:val="000000"/>
                <w:sz w:val="20"/>
              </w:rPr>
              <w:t>hardcode variants</w:t>
            </w:r>
          </w:p>
        </w:tc>
        <w:tc>
          <w:tcPr>
            <w:tcW w:type="dxa" w:w="1296"/>
            <w:vAlign w:val="center"/>
            <w:tcMar>
              <w:top w:w="85" w:type="dxa"/>
              <w:left w:w="85" w:type="dxa"/>
              <w:bottom w:w="85" w:type="dxa"/>
              <w:right w:w="85" w:type="dxa"/>
            </w:tcMar>
          </w:tcPr>
          <w:p>
            <w:pPr>
              <w:spacing w:after="0" w:line="240" w:lineRule="auto"/>
              <w:jc w:val="left"/>
            </w:pPr>
            <w:r>
              <w:rPr>
                <w:b w:val="0"/>
                <w:color w:val="000000"/>
                <w:sz w:val="20"/>
              </w:rPr>
              <w:t>Loose</w:t>
            </w:r>
          </w:p>
        </w:tc>
        <w:tc>
          <w:tcPr>
            <w:tcW w:type="dxa" w:w="5184"/>
            <w:vAlign w:val="center"/>
            <w:tcMar>
              <w:top w:w="85" w:type="dxa"/>
              <w:left w:w="85" w:type="dxa"/>
              <w:bottom w:w="85" w:type="dxa"/>
              <w:right w:w="85" w:type="dxa"/>
            </w:tcMar>
          </w:tcPr>
          <w:p>
            <w:pPr>
              <w:spacing w:after="0" w:line="240" w:lineRule="auto"/>
              <w:jc w:val="left"/>
            </w:pPr>
            <w:r>
              <w:rPr>
                <w:b w:val="0"/>
                <w:color w:val="000000"/>
                <w:sz w:val="20"/>
              </w:rPr>
              <w:t>Fixed-value shortcut [1, 3]</w:t>
            </w:r>
          </w:p>
        </w:tc>
      </w:tr>
      <w:tr>
        <w:trPr>
          <w:cantSplit/>
        </w:trPr>
        <w:tc>
          <w:tcPr>
            <w:tcW w:type="dxa" w:w="1152"/>
            <w:vAlign w:val="center"/>
            <w:tcMar>
              <w:top w:w="85" w:type="dxa"/>
              <w:left w:w="85" w:type="dxa"/>
              <w:bottom w:w="85" w:type="dxa"/>
              <w:right w:w="85" w:type="dxa"/>
            </w:tcMar>
          </w:tcPr>
          <w:p>
            <w:pPr>
              <w:spacing w:after="0" w:line="240" w:lineRule="auto"/>
              <w:jc w:val="left"/>
            </w:pPr>
            <w:r>
              <w:rPr>
                <w:b w:val="0"/>
                <w:color w:val="000000"/>
                <w:sz w:val="20"/>
              </w:rPr>
              <w:t>P03</w:t>
            </w:r>
          </w:p>
        </w:tc>
        <w:tc>
          <w:tcPr>
            <w:tcW w:type="dxa" w:w="2592"/>
            <w:vAlign w:val="center"/>
            <w:tcMar>
              <w:top w:w="85" w:type="dxa"/>
              <w:left w:w="85" w:type="dxa"/>
              <w:bottom w:w="85" w:type="dxa"/>
              <w:right w:w="85" w:type="dxa"/>
            </w:tcMar>
          </w:tcPr>
          <w:p>
            <w:pPr>
              <w:spacing w:after="0" w:line="240" w:lineRule="auto"/>
              <w:jc w:val="left"/>
            </w:pPr>
            <w:r>
              <w:rPr>
                <w:b w:val="0"/>
                <w:color w:val="000000"/>
                <w:sz w:val="20"/>
              </w:rPr>
              <w:t>temporary solution</w:t>
            </w:r>
          </w:p>
        </w:tc>
        <w:tc>
          <w:tcPr>
            <w:tcW w:type="dxa" w:w="1296"/>
            <w:vAlign w:val="center"/>
            <w:tcMar>
              <w:top w:w="85" w:type="dxa"/>
              <w:left w:w="85" w:type="dxa"/>
              <w:bottom w:w="85" w:type="dxa"/>
              <w:right w:w="85" w:type="dxa"/>
            </w:tcMar>
          </w:tcPr>
          <w:p>
            <w:pPr>
              <w:spacing w:after="0" w:line="240" w:lineRule="auto"/>
              <w:jc w:val="left"/>
            </w:pPr>
            <w:r>
              <w:rPr>
                <w:b w:val="0"/>
                <w:color w:val="000000"/>
                <w:sz w:val="20"/>
              </w:rPr>
              <w:t>Loose</w:t>
            </w:r>
          </w:p>
        </w:tc>
        <w:tc>
          <w:tcPr>
            <w:tcW w:type="dxa" w:w="5184"/>
            <w:vAlign w:val="center"/>
            <w:tcMar>
              <w:top w:w="85" w:type="dxa"/>
              <w:left w:w="85" w:type="dxa"/>
              <w:bottom w:w="85" w:type="dxa"/>
              <w:right w:w="85" w:type="dxa"/>
            </w:tcMar>
          </w:tcPr>
          <w:p>
            <w:pPr>
              <w:spacing w:after="0" w:line="240" w:lineRule="auto"/>
              <w:jc w:val="left"/>
            </w:pPr>
            <w:r>
              <w:rPr>
                <w:b w:val="0"/>
                <w:color w:val="000000"/>
                <w:sz w:val="20"/>
              </w:rPr>
              <w:t>Provisional implementation [1, 3]</w:t>
            </w:r>
          </w:p>
        </w:tc>
      </w:tr>
      <w:tr>
        <w:trPr>
          <w:cantSplit/>
        </w:trPr>
        <w:tc>
          <w:tcPr>
            <w:tcW w:type="dxa" w:w="1152"/>
            <w:vAlign w:val="center"/>
            <w:tcMar>
              <w:top w:w="85" w:type="dxa"/>
              <w:left w:w="85" w:type="dxa"/>
              <w:bottom w:w="85" w:type="dxa"/>
              <w:right w:w="85" w:type="dxa"/>
            </w:tcMar>
          </w:tcPr>
          <w:p>
            <w:pPr>
              <w:spacing w:after="0" w:line="240" w:lineRule="auto"/>
              <w:jc w:val="left"/>
            </w:pPr>
            <w:r>
              <w:rPr>
                <w:b w:val="0"/>
                <w:color w:val="000000"/>
                <w:sz w:val="20"/>
              </w:rPr>
              <w:t>P04</w:t>
            </w:r>
          </w:p>
        </w:tc>
        <w:tc>
          <w:tcPr>
            <w:tcW w:type="dxa" w:w="2592"/>
            <w:vAlign w:val="center"/>
            <w:tcMar>
              <w:top w:w="85" w:type="dxa"/>
              <w:left w:w="85" w:type="dxa"/>
              <w:bottom w:w="85" w:type="dxa"/>
              <w:right w:w="85" w:type="dxa"/>
            </w:tcMar>
          </w:tcPr>
          <w:p>
            <w:pPr>
              <w:spacing w:after="0" w:line="240" w:lineRule="auto"/>
              <w:jc w:val="left"/>
            </w:pPr>
            <w:r>
              <w:rPr>
                <w:b w:val="0"/>
                <w:color w:val="000000"/>
                <w:sz w:val="20"/>
              </w:rPr>
              <w:t>kludge</w:t>
            </w:r>
          </w:p>
        </w:tc>
        <w:tc>
          <w:tcPr>
            <w:tcW w:type="dxa" w:w="1296"/>
            <w:vAlign w:val="center"/>
            <w:tcMar>
              <w:top w:w="85" w:type="dxa"/>
              <w:left w:w="85" w:type="dxa"/>
              <w:bottom w:w="85" w:type="dxa"/>
              <w:right w:w="85" w:type="dxa"/>
            </w:tcMar>
          </w:tcPr>
          <w:p>
            <w:pPr>
              <w:spacing w:after="0" w:line="240" w:lineRule="auto"/>
              <w:jc w:val="left"/>
            </w:pPr>
            <w:r>
              <w:rPr>
                <w:b w:val="0"/>
                <w:color w:val="000000"/>
                <w:sz w:val="20"/>
              </w:rPr>
              <w:t>Loose</w:t>
            </w:r>
          </w:p>
        </w:tc>
        <w:tc>
          <w:tcPr>
            <w:tcW w:type="dxa" w:w="5184"/>
            <w:vAlign w:val="center"/>
            <w:tcMar>
              <w:top w:w="85" w:type="dxa"/>
              <w:left w:w="85" w:type="dxa"/>
              <w:bottom w:w="85" w:type="dxa"/>
              <w:right w:w="85" w:type="dxa"/>
            </w:tcMar>
          </w:tcPr>
          <w:p>
            <w:pPr>
              <w:spacing w:after="0" w:line="240" w:lineRule="auto"/>
              <w:jc w:val="left"/>
            </w:pPr>
            <w:r>
              <w:rPr>
                <w:b w:val="0"/>
                <w:color w:val="000000"/>
                <w:sz w:val="20"/>
              </w:rPr>
              <w:t>Admitted workaround [1, 3]</w:t>
            </w:r>
          </w:p>
        </w:tc>
      </w:tr>
      <w:tr>
        <w:trPr>
          <w:cantSplit/>
        </w:trPr>
        <w:tc>
          <w:tcPr>
            <w:tcW w:type="dxa" w:w="1152"/>
            <w:vAlign w:val="center"/>
            <w:tcMar>
              <w:top w:w="85" w:type="dxa"/>
              <w:left w:w="85" w:type="dxa"/>
              <w:bottom w:w="85" w:type="dxa"/>
              <w:right w:w="85" w:type="dxa"/>
            </w:tcMar>
          </w:tcPr>
          <w:p>
            <w:pPr>
              <w:spacing w:after="0" w:line="240" w:lineRule="auto"/>
              <w:jc w:val="left"/>
            </w:pPr>
            <w:r>
              <w:rPr>
                <w:b w:val="0"/>
                <w:color w:val="000000"/>
                <w:sz w:val="20"/>
              </w:rPr>
              <w:t>P05</w:t>
            </w:r>
          </w:p>
        </w:tc>
        <w:tc>
          <w:tcPr>
            <w:tcW w:type="dxa" w:w="2592"/>
            <w:vAlign w:val="center"/>
            <w:tcMar>
              <w:top w:w="85" w:type="dxa"/>
              <w:left w:w="85" w:type="dxa"/>
              <w:bottom w:w="85" w:type="dxa"/>
              <w:right w:w="85" w:type="dxa"/>
            </w:tcMar>
          </w:tcPr>
          <w:p>
            <w:pPr>
              <w:spacing w:after="0" w:line="240" w:lineRule="auto"/>
              <w:jc w:val="left"/>
            </w:pPr>
            <w:r>
              <w:rPr>
                <w:b w:val="0"/>
                <w:color w:val="000000"/>
                <w:sz w:val="20"/>
              </w:rPr>
              <w:t>ugly</w:t>
            </w:r>
          </w:p>
        </w:tc>
        <w:tc>
          <w:tcPr>
            <w:tcW w:type="dxa" w:w="1296"/>
            <w:vAlign w:val="center"/>
            <w:tcMar>
              <w:top w:w="85" w:type="dxa"/>
              <w:left w:w="85" w:type="dxa"/>
              <w:bottom w:w="85" w:type="dxa"/>
              <w:right w:w="85" w:type="dxa"/>
            </w:tcMar>
          </w:tcPr>
          <w:p>
            <w:pPr>
              <w:spacing w:after="0" w:line="240" w:lineRule="auto"/>
              <w:jc w:val="left"/>
            </w:pPr>
            <w:r>
              <w:rPr>
                <w:b w:val="0"/>
                <w:color w:val="000000"/>
                <w:sz w:val="20"/>
              </w:rPr>
              <w:t>Loose</w:t>
            </w:r>
          </w:p>
        </w:tc>
        <w:tc>
          <w:tcPr>
            <w:tcW w:type="dxa" w:w="5184"/>
            <w:vAlign w:val="center"/>
            <w:tcMar>
              <w:top w:w="85" w:type="dxa"/>
              <w:left w:w="85" w:type="dxa"/>
              <w:bottom w:w="85" w:type="dxa"/>
              <w:right w:w="85" w:type="dxa"/>
            </w:tcMar>
          </w:tcPr>
          <w:p>
            <w:pPr>
              <w:spacing w:after="0" w:line="240" w:lineRule="auto"/>
              <w:jc w:val="left"/>
            </w:pPr>
            <w:r>
              <w:rPr>
                <w:b w:val="0"/>
                <w:color w:val="000000"/>
                <w:sz w:val="20"/>
              </w:rPr>
              <w:t>Admitted quality concern [1, 3]</w:t>
            </w:r>
          </w:p>
        </w:tc>
      </w:tr>
      <w:tr>
        <w:trPr>
          <w:cantSplit/>
        </w:trPr>
        <w:tc>
          <w:tcPr>
            <w:tcW w:type="dxa" w:w="1152"/>
            <w:vAlign w:val="center"/>
            <w:tcMar>
              <w:top w:w="85" w:type="dxa"/>
              <w:left w:w="85" w:type="dxa"/>
              <w:bottom w:w="85" w:type="dxa"/>
              <w:right w:w="85" w:type="dxa"/>
            </w:tcMar>
          </w:tcPr>
          <w:p>
            <w:pPr>
              <w:spacing w:after="0" w:line="240" w:lineRule="auto"/>
              <w:jc w:val="left"/>
            </w:pPr>
            <w:r>
              <w:rPr>
                <w:b w:val="0"/>
                <w:color w:val="000000"/>
                <w:sz w:val="20"/>
              </w:rPr>
              <w:t>D01</w:t>
            </w:r>
          </w:p>
        </w:tc>
        <w:tc>
          <w:tcPr>
            <w:tcW w:type="dxa" w:w="2592"/>
            <w:vAlign w:val="center"/>
            <w:tcMar>
              <w:top w:w="85" w:type="dxa"/>
              <w:left w:w="85" w:type="dxa"/>
              <w:bottom w:w="85" w:type="dxa"/>
              <w:right w:w="85" w:type="dxa"/>
            </w:tcMar>
          </w:tcPr>
          <w:p>
            <w:pPr>
              <w:spacing w:after="0" w:line="240" w:lineRule="auto"/>
              <w:jc w:val="left"/>
            </w:pPr>
            <w:r>
              <w:rPr>
                <w:b w:val="0"/>
                <w:color w:val="000000"/>
                <w:sz w:val="20"/>
              </w:rPr>
              <w:t>DEPRECATED</w:t>
            </w:r>
          </w:p>
        </w:tc>
        <w:tc>
          <w:tcPr>
            <w:tcW w:type="dxa" w:w="1296"/>
            <w:vAlign w:val="center"/>
            <w:tcMar>
              <w:top w:w="85" w:type="dxa"/>
              <w:left w:w="85" w:type="dxa"/>
              <w:bottom w:w="85" w:type="dxa"/>
              <w:right w:w="85" w:type="dxa"/>
            </w:tcMar>
          </w:tcPr>
          <w:p>
            <w:pPr>
              <w:spacing w:after="0" w:line="240" w:lineRule="auto"/>
              <w:jc w:val="left"/>
            </w:pPr>
            <w:r>
              <w:rPr>
                <w:b w:val="0"/>
                <w:color w:val="000000"/>
                <w:sz w:val="20"/>
              </w:rPr>
              <w:t>Diagnostic</w:t>
            </w:r>
          </w:p>
        </w:tc>
        <w:tc>
          <w:tcPr>
            <w:tcW w:type="dxa" w:w="5184"/>
            <w:vAlign w:val="center"/>
            <w:tcMar>
              <w:top w:w="85" w:type="dxa"/>
              <w:left w:w="85" w:type="dxa"/>
              <w:bottom w:w="85" w:type="dxa"/>
              <w:right w:w="85" w:type="dxa"/>
            </w:tcMar>
          </w:tcPr>
          <w:p>
            <w:pPr>
              <w:spacing w:after="0" w:line="240" w:lineRule="auto"/>
              <w:jc w:val="left"/>
            </w:pPr>
            <w:r>
              <w:rPr>
                <w:b w:val="0"/>
                <w:color w:val="000000"/>
                <w:sz w:val="20"/>
              </w:rPr>
              <w:t>Routine deprecation may inflate counts [1]</w:t>
            </w:r>
          </w:p>
        </w:tc>
      </w:tr>
    </w:tbl>
    <w:p>
      <w:pPr>
        <w:spacing w:after="40"/>
      </w:pPr>
    </w:p>
    <w:p>
      <w:r>
        <w:t>Strict markers use case-insensitive whole-word regexes. The supplied context describes MAT fuzzy matching; these exact rules are an adaptation. The five loose phrase families are study proposals motivated by that context, not a verified transcription of Vidoni or the Potdar–Shihab 62-pattern dictionary. Exact regexes, flags and provenance are saved in patterns.independent.json and keyword_configuration.csv.</w:t>
      </w:r>
    </w:p>
    <w:p>
      <w:pPr>
        <w:pStyle w:val="Heading1"/>
      </w:pPr>
      <w:r>
        <w:t>Extraction and comparison rules</w:t>
      </w:r>
    </w:p>
    <w:p>
      <w:r>
        <w:t>Analyze tracked .py files, including tests and Python examples, from each new pinned snapshot. Python tokenize extracts actual # comments and excludes docstrings. Merge adjacent standalone comments only at equal indentation, without crossing blank lines or code. Inline comments remain separate. Keep raw text and source context; remove delimiters and leading whitespace only from the matching copy. Exclude the listed vendor, environment and cache directories; source packages named build or dist are retained. No tokenization failures occurred.</w:t>
      </w:r>
    </w:p>
    <w:p>
      <w:r>
        <w:t>Count each block once per variant. Anchoring applies to the start of every constituent comment line and is independent of word boundaries. Standalone DEPRECATED is omitted from the full set; comments containing both DEPRECATED and a retained debt pattern can still match. Density uses all extracted blocks, retaining identical text at distinct locations.</w:t>
      </w:r>
    </w:p>
    <w:p>
      <w:r>
        <w:br w:type="page"/>
      </w:r>
    </w:p>
    <w:p>
      <w:pPr>
        <w:pStyle w:val="Heading1"/>
      </w:pPr>
      <w:r>
        <w:t>Measured sensitivity comparison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440"/>
        <w:gridCol w:w="1512"/>
        <w:gridCol w:w="1512"/>
        <w:gridCol w:w="1512"/>
        <w:gridCol w:w="1512"/>
      </w:tblGrid>
      <w:tr>
        <w:trPr>
          <w:tblHeader/>
          <w:cantSplit/>
        </w:trPr>
        <w:tc>
          <w:tcPr>
            <w:tcW w:type="dxa" w:w="2736"/>
            <w:shd w:fill="E8EEF4"/>
            <w:vAlign w:val="center"/>
            <w:tcMar>
              <w:top w:w="85" w:type="dxa"/>
              <w:left w:w="85" w:type="dxa"/>
              <w:bottom w:w="85" w:type="dxa"/>
              <w:right w:w="85" w:type="dxa"/>
            </w:tcMar>
          </w:tcPr>
          <w:p>
            <w:pPr>
              <w:spacing w:after="0" w:line="240" w:lineRule="auto"/>
              <w:jc w:val="left"/>
            </w:pPr>
            <w:r>
              <w:rPr>
                <w:b/>
                <w:color w:val="000000"/>
                <w:sz w:val="20"/>
              </w:rPr>
              <w:t>Framework</w:t>
            </w:r>
          </w:p>
        </w:tc>
        <w:tc>
          <w:tcPr>
            <w:tcW w:type="dxa" w:w="1440"/>
            <w:shd w:fill="E8EEF4"/>
            <w:vAlign w:val="center"/>
            <w:tcMar>
              <w:top w:w="85" w:type="dxa"/>
              <w:left w:w="85" w:type="dxa"/>
              <w:bottom w:w="85" w:type="dxa"/>
              <w:right w:w="85" w:type="dxa"/>
            </w:tcMar>
          </w:tcPr>
          <w:p>
            <w:pPr>
              <w:spacing w:after="0" w:line="240" w:lineRule="auto"/>
              <w:jc w:val="center"/>
            </w:pPr>
            <w:r>
              <w:rPr>
                <w:b/>
                <w:color w:val="000000"/>
                <w:sz w:val="20"/>
              </w:rPr>
              <w:t>Blocks</w:t>
            </w:r>
          </w:p>
        </w:tc>
        <w:tc>
          <w:tcPr>
            <w:tcW w:type="dxa" w:w="1512"/>
            <w:shd w:fill="E8EEF4"/>
            <w:vAlign w:val="center"/>
            <w:tcMar>
              <w:top w:w="85" w:type="dxa"/>
              <w:left w:w="85" w:type="dxa"/>
              <w:bottom w:w="85" w:type="dxa"/>
              <w:right w:w="85" w:type="dxa"/>
            </w:tcMar>
          </w:tcPr>
          <w:p>
            <w:pPr>
              <w:spacing w:after="0" w:line="240" w:lineRule="auto"/>
              <w:jc w:val="center"/>
            </w:pPr>
            <w:r>
              <w:rPr>
                <w:b/>
                <w:color w:val="000000"/>
                <w:sz w:val="20"/>
              </w:rPr>
              <w:t>Strict plus D</w:t>
            </w:r>
          </w:p>
        </w:tc>
        <w:tc>
          <w:tcPr>
            <w:tcW w:type="dxa" w:w="1512"/>
            <w:shd w:fill="E8EEF4"/>
            <w:vAlign w:val="center"/>
            <w:tcMar>
              <w:top w:w="85" w:type="dxa"/>
              <w:left w:w="85" w:type="dxa"/>
              <w:bottom w:w="85" w:type="dxa"/>
              <w:right w:w="85" w:type="dxa"/>
            </w:tcMar>
          </w:tcPr>
          <w:p>
            <w:pPr>
              <w:spacing w:after="0" w:line="240" w:lineRule="auto"/>
              <w:jc w:val="center"/>
            </w:pPr>
            <w:r>
              <w:rPr>
                <w:b/>
                <w:color w:val="000000"/>
                <w:sz w:val="20"/>
              </w:rPr>
              <w:t>Strict no D</w:t>
            </w:r>
          </w:p>
        </w:tc>
        <w:tc>
          <w:tcPr>
            <w:tcW w:type="dxa" w:w="1512"/>
            <w:shd w:fill="E8EEF4"/>
            <w:vAlign w:val="center"/>
            <w:tcMar>
              <w:top w:w="85" w:type="dxa"/>
              <w:left w:w="85" w:type="dxa"/>
              <w:bottom w:w="85" w:type="dxa"/>
              <w:right w:w="85" w:type="dxa"/>
            </w:tcMar>
          </w:tcPr>
          <w:p>
            <w:pPr>
              <w:spacing w:after="0" w:line="240" w:lineRule="auto"/>
              <w:jc w:val="center"/>
            </w:pPr>
            <w:r>
              <w:rPr>
                <w:b/>
                <w:color w:val="000000"/>
                <w:sz w:val="20"/>
              </w:rPr>
              <w:t>Anchored</w:t>
            </w:r>
          </w:p>
        </w:tc>
        <w:tc>
          <w:tcPr>
            <w:tcW w:type="dxa" w:w="1512"/>
            <w:shd w:fill="E8EEF4"/>
            <w:vAlign w:val="center"/>
            <w:tcMar>
              <w:top w:w="85" w:type="dxa"/>
              <w:left w:w="85" w:type="dxa"/>
              <w:bottom w:w="85" w:type="dxa"/>
              <w:right w:w="85" w:type="dxa"/>
            </w:tcMar>
          </w:tcPr>
          <w:p>
            <w:pPr>
              <w:spacing w:after="0" w:line="240" w:lineRule="auto"/>
              <w:jc w:val="center"/>
            </w:pPr>
            <w:r>
              <w:rPr>
                <w:b/>
                <w:color w:val="000000"/>
                <w:sz w:val="20"/>
              </w:rPr>
              <w:t>Full no D</w:t>
            </w:r>
          </w:p>
        </w:tc>
      </w:tr>
      <w:tr>
        <w:trPr>
          <w:cantSplit/>
        </w:trPr>
        <w:tc>
          <w:tcPr>
            <w:tcW w:type="dxa" w:w="2736"/>
            <w:vAlign w:val="center"/>
            <w:tcMar>
              <w:top w:w="85" w:type="dxa"/>
              <w:left w:w="85" w:type="dxa"/>
              <w:bottom w:w="85" w:type="dxa"/>
              <w:right w:w="85" w:type="dxa"/>
            </w:tcMar>
          </w:tcPr>
          <w:p>
            <w:pPr>
              <w:spacing w:after="0" w:line="240" w:lineRule="auto"/>
              <w:jc w:val="left"/>
            </w:pPr>
            <w:r>
              <w:rPr>
                <w:b w:val="0"/>
                <w:color w:val="000000"/>
                <w:sz w:val="20"/>
              </w:rPr>
              <w:t>LlamaIndex</w:t>
            </w:r>
          </w:p>
        </w:tc>
        <w:tc>
          <w:tcPr>
            <w:tcW w:type="dxa" w:w="1440"/>
            <w:vAlign w:val="center"/>
            <w:tcMar>
              <w:top w:w="85" w:type="dxa"/>
              <w:left w:w="85" w:type="dxa"/>
              <w:bottom w:w="85" w:type="dxa"/>
              <w:right w:w="85" w:type="dxa"/>
            </w:tcMar>
          </w:tcPr>
          <w:p>
            <w:pPr>
              <w:spacing w:after="0" w:line="240" w:lineRule="auto"/>
              <w:jc w:val="center"/>
            </w:pPr>
            <w:r>
              <w:rPr>
                <w:b w:val="0"/>
                <w:color w:val="000000"/>
                <w:sz w:val="20"/>
              </w:rPr>
              <w:t>13,345</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313</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256</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244</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263</w:t>
            </w:r>
          </w:p>
        </w:tc>
      </w:tr>
      <w:tr>
        <w:trPr>
          <w:cantSplit/>
        </w:trPr>
        <w:tc>
          <w:tcPr>
            <w:tcW w:type="dxa" w:w="2736"/>
            <w:vAlign w:val="center"/>
            <w:tcMar>
              <w:top w:w="85" w:type="dxa"/>
              <w:left w:w="85" w:type="dxa"/>
              <w:bottom w:w="85" w:type="dxa"/>
              <w:right w:w="85" w:type="dxa"/>
            </w:tcMar>
          </w:tcPr>
          <w:p>
            <w:pPr>
              <w:spacing w:after="0" w:line="240" w:lineRule="auto"/>
              <w:jc w:val="left"/>
            </w:pPr>
            <w:r>
              <w:rPr>
                <w:b w:val="0"/>
                <w:color w:val="000000"/>
                <w:sz w:val="20"/>
              </w:rPr>
              <w:t>LangChain</w:t>
            </w:r>
          </w:p>
        </w:tc>
        <w:tc>
          <w:tcPr>
            <w:tcW w:type="dxa" w:w="1440"/>
            <w:vAlign w:val="center"/>
            <w:tcMar>
              <w:top w:w="85" w:type="dxa"/>
              <w:left w:w="85" w:type="dxa"/>
              <w:bottom w:w="85" w:type="dxa"/>
              <w:right w:w="85" w:type="dxa"/>
            </w:tcMar>
          </w:tcPr>
          <w:p>
            <w:pPr>
              <w:spacing w:after="0" w:line="240" w:lineRule="auto"/>
              <w:jc w:val="center"/>
            </w:pPr>
            <w:r>
              <w:rPr>
                <w:b w:val="0"/>
                <w:color w:val="000000"/>
                <w:sz w:val="20"/>
              </w:rPr>
              <w:t>11,602</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967</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89</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84</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109</w:t>
            </w:r>
          </w:p>
        </w:tc>
      </w:tr>
      <w:tr>
        <w:trPr>
          <w:cantSplit/>
        </w:trPr>
        <w:tc>
          <w:tcPr>
            <w:tcW w:type="dxa" w:w="2736"/>
            <w:vAlign w:val="center"/>
            <w:tcMar>
              <w:top w:w="85" w:type="dxa"/>
              <w:left w:w="85" w:type="dxa"/>
              <w:bottom w:w="85" w:type="dxa"/>
              <w:right w:w="85" w:type="dxa"/>
            </w:tcMar>
          </w:tcPr>
          <w:p>
            <w:pPr>
              <w:spacing w:after="0" w:line="240" w:lineRule="auto"/>
              <w:jc w:val="left"/>
            </w:pPr>
            <w:r>
              <w:rPr>
                <w:b w:val="0"/>
                <w:color w:val="000000"/>
                <w:sz w:val="20"/>
              </w:rPr>
              <w:t>AutoGen</w:t>
            </w:r>
          </w:p>
        </w:tc>
        <w:tc>
          <w:tcPr>
            <w:tcW w:type="dxa" w:w="1440"/>
            <w:vAlign w:val="center"/>
            <w:tcMar>
              <w:top w:w="85" w:type="dxa"/>
              <w:left w:w="85" w:type="dxa"/>
              <w:bottom w:w="85" w:type="dxa"/>
              <w:right w:w="85" w:type="dxa"/>
            </w:tcMar>
          </w:tcPr>
          <w:p>
            <w:pPr>
              <w:spacing w:after="0" w:line="240" w:lineRule="auto"/>
              <w:jc w:val="center"/>
            </w:pPr>
            <w:r>
              <w:rPr>
                <w:b w:val="0"/>
                <w:color w:val="000000"/>
                <w:sz w:val="20"/>
              </w:rPr>
              <w:t>6,816</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110</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100</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98</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101</w:t>
            </w:r>
          </w:p>
        </w:tc>
      </w:tr>
      <w:tr>
        <w:trPr>
          <w:cantSplit/>
        </w:trPr>
        <w:tc>
          <w:tcPr>
            <w:tcW w:type="dxa" w:w="2736"/>
            <w:vAlign w:val="center"/>
            <w:tcMar>
              <w:top w:w="85" w:type="dxa"/>
              <w:left w:w="85" w:type="dxa"/>
              <w:bottom w:w="85" w:type="dxa"/>
              <w:right w:w="85" w:type="dxa"/>
            </w:tcMar>
          </w:tcPr>
          <w:p>
            <w:pPr>
              <w:spacing w:after="0" w:line="240" w:lineRule="auto"/>
              <w:jc w:val="left"/>
            </w:pPr>
            <w:r>
              <w:rPr>
                <w:b w:val="0"/>
                <w:color w:val="000000"/>
                <w:sz w:val="20"/>
              </w:rPr>
              <w:t>OpenAI Agents SDK</w:t>
            </w:r>
          </w:p>
        </w:tc>
        <w:tc>
          <w:tcPr>
            <w:tcW w:type="dxa" w:w="1440"/>
            <w:vAlign w:val="center"/>
            <w:tcMar>
              <w:top w:w="85" w:type="dxa"/>
              <w:left w:w="85" w:type="dxa"/>
              <w:bottom w:w="85" w:type="dxa"/>
              <w:right w:w="85" w:type="dxa"/>
            </w:tcMar>
          </w:tcPr>
          <w:p>
            <w:pPr>
              <w:spacing w:after="0" w:line="240" w:lineRule="auto"/>
              <w:jc w:val="center"/>
            </w:pPr>
            <w:r>
              <w:rPr>
                <w:b w:val="0"/>
                <w:color w:val="000000"/>
                <w:sz w:val="20"/>
              </w:rPr>
              <w:t>7,700</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13</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13</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12</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15</w:t>
            </w:r>
          </w:p>
        </w:tc>
      </w:tr>
      <w:tr>
        <w:trPr>
          <w:cantSplit/>
        </w:trPr>
        <w:tc>
          <w:tcPr>
            <w:tcW w:type="dxa" w:w="2736"/>
            <w:vAlign w:val="center"/>
            <w:tcMar>
              <w:top w:w="85" w:type="dxa"/>
              <w:left w:w="85" w:type="dxa"/>
              <w:bottom w:w="85" w:type="dxa"/>
              <w:right w:w="85" w:type="dxa"/>
            </w:tcMar>
          </w:tcPr>
          <w:p>
            <w:pPr>
              <w:spacing w:after="0" w:line="240" w:lineRule="auto"/>
              <w:jc w:val="left"/>
            </w:pPr>
            <w:r>
              <w:rPr>
                <w:b w:val="0"/>
                <w:color w:val="000000"/>
                <w:sz w:val="20"/>
              </w:rPr>
              <w:t>LangGraph</w:t>
            </w:r>
          </w:p>
        </w:tc>
        <w:tc>
          <w:tcPr>
            <w:tcW w:type="dxa" w:w="1440"/>
            <w:vAlign w:val="center"/>
            <w:tcMar>
              <w:top w:w="85" w:type="dxa"/>
              <w:left w:w="85" w:type="dxa"/>
              <w:bottom w:w="85" w:type="dxa"/>
              <w:right w:w="85" w:type="dxa"/>
            </w:tcMar>
          </w:tcPr>
          <w:p>
            <w:pPr>
              <w:spacing w:after="0" w:line="240" w:lineRule="auto"/>
              <w:jc w:val="center"/>
            </w:pPr>
            <w:r>
              <w:rPr>
                <w:b w:val="0"/>
                <w:color w:val="000000"/>
                <w:sz w:val="20"/>
              </w:rPr>
              <w:t>6,031</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25</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10</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10</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13</w:t>
            </w:r>
          </w:p>
        </w:tc>
      </w:tr>
      <w:tr>
        <w:trPr>
          <w:cantSplit/>
        </w:trPr>
        <w:tc>
          <w:tcPr>
            <w:tcW w:type="dxa" w:w="2736"/>
            <w:vAlign w:val="center"/>
            <w:tcMar>
              <w:top w:w="85" w:type="dxa"/>
              <w:left w:w="85" w:type="dxa"/>
              <w:bottom w:w="85" w:type="dxa"/>
              <w:right w:w="85" w:type="dxa"/>
            </w:tcMar>
          </w:tcPr>
          <w:p>
            <w:pPr>
              <w:spacing w:after="0" w:line="240" w:lineRule="auto"/>
              <w:jc w:val="left"/>
            </w:pPr>
            <w:r>
              <w:rPr>
                <w:b w:val="0"/>
                <w:color w:val="000000"/>
                <w:sz w:val="20"/>
              </w:rPr>
              <w:t>MetaGPT</w:t>
            </w:r>
          </w:p>
        </w:tc>
        <w:tc>
          <w:tcPr>
            <w:tcW w:type="dxa" w:w="1440"/>
            <w:vAlign w:val="center"/>
            <w:tcMar>
              <w:top w:w="85" w:type="dxa"/>
              <w:left w:w="85" w:type="dxa"/>
              <w:bottom w:w="85" w:type="dxa"/>
              <w:right w:w="85" w:type="dxa"/>
            </w:tcMar>
          </w:tcPr>
          <w:p>
            <w:pPr>
              <w:spacing w:after="0" w:line="240" w:lineRule="auto"/>
              <w:jc w:val="center"/>
            </w:pPr>
            <w:r>
              <w:rPr>
                <w:b w:val="0"/>
                <w:color w:val="000000"/>
                <w:sz w:val="20"/>
              </w:rPr>
              <w:t>2,905</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98</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97</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81</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102</w:t>
            </w:r>
          </w:p>
        </w:tc>
      </w:tr>
      <w:tr>
        <w:trPr>
          <w:cantSplit/>
        </w:trPr>
        <w:tc>
          <w:tcPr>
            <w:tcW w:type="dxa" w:w="2736"/>
            <w:vAlign w:val="center"/>
            <w:tcMar>
              <w:top w:w="85" w:type="dxa"/>
              <w:left w:w="85" w:type="dxa"/>
              <w:bottom w:w="85" w:type="dxa"/>
              <w:right w:w="85" w:type="dxa"/>
            </w:tcMar>
          </w:tcPr>
          <w:p>
            <w:pPr>
              <w:spacing w:after="0" w:line="240" w:lineRule="auto"/>
              <w:jc w:val="left"/>
            </w:pPr>
            <w:r>
              <w:rPr>
                <w:b w:val="0"/>
                <w:color w:val="000000"/>
                <w:sz w:val="20"/>
              </w:rPr>
              <w:t>Semantic Kernel</w:t>
            </w:r>
          </w:p>
        </w:tc>
        <w:tc>
          <w:tcPr>
            <w:tcW w:type="dxa" w:w="1440"/>
            <w:vAlign w:val="center"/>
            <w:tcMar>
              <w:top w:w="85" w:type="dxa"/>
              <w:left w:w="85" w:type="dxa"/>
              <w:bottom w:w="85" w:type="dxa"/>
              <w:right w:w="85" w:type="dxa"/>
            </w:tcMar>
          </w:tcPr>
          <w:p>
            <w:pPr>
              <w:spacing w:after="0" w:line="240" w:lineRule="auto"/>
              <w:jc w:val="center"/>
            </w:pPr>
            <w:r>
              <w:rPr>
                <w:b w:val="0"/>
                <w:color w:val="000000"/>
                <w:sz w:val="20"/>
              </w:rPr>
              <w:t>7,818</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38</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36</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35</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40</w:t>
            </w:r>
          </w:p>
        </w:tc>
      </w:tr>
      <w:tr>
        <w:trPr>
          <w:cantSplit/>
        </w:trPr>
        <w:tc>
          <w:tcPr>
            <w:tcW w:type="dxa" w:w="2736"/>
            <w:vAlign w:val="center"/>
            <w:tcMar>
              <w:top w:w="85" w:type="dxa"/>
              <w:left w:w="85" w:type="dxa"/>
              <w:bottom w:w="85" w:type="dxa"/>
              <w:right w:w="85" w:type="dxa"/>
            </w:tcMar>
          </w:tcPr>
          <w:p>
            <w:pPr>
              <w:spacing w:after="0" w:line="240" w:lineRule="auto"/>
              <w:jc w:val="left"/>
            </w:pPr>
            <w:r>
              <w:rPr>
                <w:b w:val="0"/>
                <w:color w:val="000000"/>
                <w:sz w:val="20"/>
              </w:rPr>
              <w:t>CrewAI</w:t>
            </w:r>
          </w:p>
        </w:tc>
        <w:tc>
          <w:tcPr>
            <w:tcW w:type="dxa" w:w="1440"/>
            <w:vAlign w:val="center"/>
            <w:tcMar>
              <w:top w:w="85" w:type="dxa"/>
              <w:left w:w="85" w:type="dxa"/>
              <w:bottom w:w="85" w:type="dxa"/>
              <w:right w:w="85" w:type="dxa"/>
            </w:tcMar>
          </w:tcPr>
          <w:p>
            <w:pPr>
              <w:spacing w:after="0" w:line="240" w:lineRule="auto"/>
              <w:jc w:val="center"/>
            </w:pPr>
            <w:r>
              <w:rPr>
                <w:b w:val="0"/>
                <w:color w:val="000000"/>
                <w:sz w:val="20"/>
              </w:rPr>
              <w:t>3,926</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24</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17</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13</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26</w:t>
            </w:r>
          </w:p>
        </w:tc>
      </w:tr>
      <w:tr>
        <w:trPr>
          <w:cantSplit/>
        </w:trPr>
        <w:tc>
          <w:tcPr>
            <w:tcW w:type="dxa" w:w="2736"/>
            <w:vAlign w:val="center"/>
            <w:tcMar>
              <w:top w:w="85" w:type="dxa"/>
              <w:left w:w="85" w:type="dxa"/>
              <w:bottom w:w="85" w:type="dxa"/>
              <w:right w:w="85" w:type="dxa"/>
            </w:tcMar>
          </w:tcPr>
          <w:p>
            <w:pPr>
              <w:spacing w:after="0" w:line="240" w:lineRule="auto"/>
              <w:jc w:val="left"/>
            </w:pPr>
            <w:r>
              <w:rPr>
                <w:b w:val="0"/>
                <w:color w:val="000000"/>
                <w:sz w:val="20"/>
              </w:rPr>
              <w:t>Haystack</w:t>
            </w:r>
          </w:p>
        </w:tc>
        <w:tc>
          <w:tcPr>
            <w:tcW w:type="dxa" w:w="1440"/>
            <w:vAlign w:val="center"/>
            <w:tcMar>
              <w:top w:w="85" w:type="dxa"/>
              <w:left w:w="85" w:type="dxa"/>
              <w:bottom w:w="85" w:type="dxa"/>
              <w:right w:w="85" w:type="dxa"/>
            </w:tcMar>
          </w:tcPr>
          <w:p>
            <w:pPr>
              <w:spacing w:after="0" w:line="240" w:lineRule="auto"/>
              <w:jc w:val="center"/>
            </w:pPr>
            <w:r>
              <w:rPr>
                <w:b w:val="0"/>
                <w:color w:val="000000"/>
                <w:sz w:val="20"/>
              </w:rPr>
              <w:t>5,238</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3</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3</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2</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4</w:t>
            </w:r>
          </w:p>
        </w:tc>
      </w:tr>
      <w:tr>
        <w:trPr>
          <w:cantSplit/>
        </w:trPr>
        <w:tc>
          <w:tcPr>
            <w:tcW w:type="dxa" w:w="2736"/>
            <w:vAlign w:val="center"/>
            <w:tcMar>
              <w:top w:w="85" w:type="dxa"/>
              <w:left w:w="85" w:type="dxa"/>
              <w:bottom w:w="85" w:type="dxa"/>
              <w:right w:w="85" w:type="dxa"/>
            </w:tcMar>
          </w:tcPr>
          <w:p>
            <w:pPr>
              <w:spacing w:after="0" w:line="240" w:lineRule="auto"/>
              <w:jc w:val="left"/>
            </w:pPr>
            <w:r>
              <w:rPr>
                <w:b w:val="0"/>
                <w:color w:val="000000"/>
                <w:sz w:val="20"/>
              </w:rPr>
              <w:t>smolagents</w:t>
            </w:r>
          </w:p>
        </w:tc>
        <w:tc>
          <w:tcPr>
            <w:tcW w:type="dxa" w:w="1440"/>
            <w:vAlign w:val="center"/>
            <w:tcMar>
              <w:top w:w="85" w:type="dxa"/>
              <w:left w:w="85" w:type="dxa"/>
              <w:bottom w:w="85" w:type="dxa"/>
              <w:right w:w="85" w:type="dxa"/>
            </w:tcMar>
          </w:tcPr>
          <w:p>
            <w:pPr>
              <w:spacing w:after="0" w:line="240" w:lineRule="auto"/>
              <w:jc w:val="center"/>
            </w:pPr>
            <w:r>
              <w:rPr>
                <w:b w:val="0"/>
                <w:color w:val="000000"/>
                <w:sz w:val="20"/>
              </w:rPr>
              <w:t>1,373</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22</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20</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18</w:t>
            </w:r>
          </w:p>
        </w:tc>
        <w:tc>
          <w:tcPr>
            <w:tcW w:type="dxa" w:w="1512"/>
            <w:vAlign w:val="center"/>
            <w:tcMar>
              <w:top w:w="85" w:type="dxa"/>
              <w:left w:w="85" w:type="dxa"/>
              <w:bottom w:w="85" w:type="dxa"/>
              <w:right w:w="85" w:type="dxa"/>
            </w:tcMar>
          </w:tcPr>
          <w:p>
            <w:pPr>
              <w:spacing w:after="0" w:line="240" w:lineRule="auto"/>
              <w:jc w:val="center"/>
            </w:pPr>
            <w:r>
              <w:rPr>
                <w:b w:val="0"/>
                <w:color w:val="000000"/>
                <w:sz w:val="20"/>
              </w:rPr>
              <w:t>20</w:t>
            </w:r>
          </w:p>
        </w:tc>
      </w:tr>
      <w:tr>
        <w:trPr>
          <w:cantSplit/>
        </w:trPr>
        <w:tc>
          <w:tcPr>
            <w:tcW w:type="dxa" w:w="2736"/>
            <w:vAlign w:val="center"/>
            <w:tcMar>
              <w:top w:w="85" w:type="dxa"/>
              <w:left w:w="85" w:type="dxa"/>
              <w:bottom w:w="85" w:type="dxa"/>
              <w:right w:w="85" w:type="dxa"/>
            </w:tcMar>
          </w:tcPr>
          <w:p>
            <w:pPr>
              <w:spacing w:after="0" w:line="240" w:lineRule="auto"/>
              <w:jc w:val="left"/>
            </w:pPr>
            <w:r>
              <w:rPr>
                <w:b/>
                <w:color w:val="000000"/>
                <w:sz w:val="20"/>
              </w:rPr>
              <w:t>TOTAL</w:t>
            </w:r>
          </w:p>
        </w:tc>
        <w:tc>
          <w:tcPr>
            <w:tcW w:type="dxa" w:w="1440"/>
            <w:vAlign w:val="center"/>
            <w:tcMar>
              <w:top w:w="85" w:type="dxa"/>
              <w:left w:w="85" w:type="dxa"/>
              <w:bottom w:w="85" w:type="dxa"/>
              <w:right w:w="85" w:type="dxa"/>
            </w:tcMar>
          </w:tcPr>
          <w:p>
            <w:pPr>
              <w:spacing w:after="0" w:line="240" w:lineRule="auto"/>
              <w:jc w:val="center"/>
            </w:pPr>
            <w:r>
              <w:rPr>
                <w:b/>
                <w:color w:val="000000"/>
                <w:sz w:val="20"/>
              </w:rPr>
              <w:t>66,754</w:t>
            </w:r>
          </w:p>
        </w:tc>
        <w:tc>
          <w:tcPr>
            <w:tcW w:type="dxa" w:w="1512"/>
            <w:vAlign w:val="center"/>
            <w:tcMar>
              <w:top w:w="85" w:type="dxa"/>
              <w:left w:w="85" w:type="dxa"/>
              <w:bottom w:w="85" w:type="dxa"/>
              <w:right w:w="85" w:type="dxa"/>
            </w:tcMar>
          </w:tcPr>
          <w:p>
            <w:pPr>
              <w:spacing w:after="0" w:line="240" w:lineRule="auto"/>
              <w:jc w:val="center"/>
            </w:pPr>
            <w:r>
              <w:rPr>
                <w:b/>
                <w:color w:val="000000"/>
                <w:sz w:val="20"/>
              </w:rPr>
              <w:t>1613</w:t>
            </w:r>
          </w:p>
        </w:tc>
        <w:tc>
          <w:tcPr>
            <w:tcW w:type="dxa" w:w="1512"/>
            <w:vAlign w:val="center"/>
            <w:tcMar>
              <w:top w:w="85" w:type="dxa"/>
              <w:left w:w="85" w:type="dxa"/>
              <w:bottom w:w="85" w:type="dxa"/>
              <w:right w:w="85" w:type="dxa"/>
            </w:tcMar>
          </w:tcPr>
          <w:p>
            <w:pPr>
              <w:spacing w:after="0" w:line="240" w:lineRule="auto"/>
              <w:jc w:val="center"/>
            </w:pPr>
            <w:r>
              <w:rPr>
                <w:b/>
                <w:color w:val="000000"/>
                <w:sz w:val="20"/>
              </w:rPr>
              <w:t>641</w:t>
            </w:r>
          </w:p>
        </w:tc>
        <w:tc>
          <w:tcPr>
            <w:tcW w:type="dxa" w:w="1512"/>
            <w:vAlign w:val="center"/>
            <w:tcMar>
              <w:top w:w="85" w:type="dxa"/>
              <w:left w:w="85" w:type="dxa"/>
              <w:bottom w:w="85" w:type="dxa"/>
              <w:right w:w="85" w:type="dxa"/>
            </w:tcMar>
          </w:tcPr>
          <w:p>
            <w:pPr>
              <w:spacing w:after="0" w:line="240" w:lineRule="auto"/>
              <w:jc w:val="center"/>
            </w:pPr>
            <w:r>
              <w:rPr>
                <w:b/>
                <w:color w:val="000000"/>
                <w:sz w:val="20"/>
              </w:rPr>
              <w:t>597</w:t>
            </w:r>
          </w:p>
        </w:tc>
        <w:tc>
          <w:tcPr>
            <w:tcW w:type="dxa" w:w="1512"/>
            <w:vAlign w:val="center"/>
            <w:tcMar>
              <w:top w:w="85" w:type="dxa"/>
              <w:left w:w="85" w:type="dxa"/>
              <w:bottom w:w="85" w:type="dxa"/>
              <w:right w:w="85" w:type="dxa"/>
            </w:tcMar>
          </w:tcPr>
          <w:p>
            <w:pPr>
              <w:spacing w:after="0" w:line="240" w:lineRule="auto"/>
              <w:jc w:val="center"/>
            </w:pPr>
            <w:r>
              <w:rPr>
                <w:b/>
                <w:color w:val="000000"/>
                <w:sz w:val="20"/>
              </w:rPr>
              <w:t>693</w:t>
            </w:r>
          </w:p>
        </w:tc>
      </w:tr>
    </w:tbl>
    <w:p>
      <w:pPr>
        <w:spacing w:after="40"/>
      </w:pPr>
    </w:p>
    <w:p>
      <w:r>
        <w:t>D denotes the standalone DEPRECATED diagnostic. Relative to strict without D, adding D introduces 972 candidates; anchoring removes 44; the proposed loose phrases add 52. Total densities per 1,000 blocks are 24.16, 9.60, 8.94 and 10.38, respectively. The CSV retains per-framework density and added/removed counts. Strict candidate coverage is 641/693 = 92.50%; this is not SATD recall.</w:t>
      </w:r>
    </w:p>
    <w:p>
      <w:pPr>
        <w:pStyle w:val="Heading1"/>
      </w:pPr>
      <w:r>
        <w:t>Manual validation preparation</w:t>
      </w:r>
    </w:p>
    <w:p>
      <w:r>
        <w:t>With seed 6221, sample without replacement from two disjoint pools: 50 of 641 strict candidates and 50 of 52 loose-only candidates. Inclusion probabilities are 7.8003% and 96.1538%. All ten frameworks are represented, with 1 to 30 comments per framework; this is insufficient for reliable per-framework precision. Detector group is hidden from reviewer sheets and retained in the separate sampling administration file.</w:t>
      </w:r>
    </w:p>
    <w:p>
      <w:r>
        <w:t>Reviewer 1 labels all 100 comments. A second human independently labels the designated random 30-comment overlap before discussion or adjudication. Use SATD, non-SATD or uncertain and give a reason. SATD requires a developer acknowledgement of an existing compromise, deficiency, shortcut or deferred corrective work. Context should distinguish optional features, resolved issues, quoted markers, negations, tool identifiers and expected test failures. A separate 23-row targeted edge-case audit is not part of the random precision sample.</w:t>
      </w:r>
    </w:p>
    <w:p>
      <w:r>
        <w:t>No human labels have been supplied. Precision, Wilson intervals and Cohen’s kappa are pending. Once labels are complete, weight group precision by population sizes 641/693 and 52/693; do not average the equally sized samples. Preserve independent labels, use adjudication.csv for final decisions, report uncertainty bounds and paired binary N, and exclude uncertain pairs from kappa. Team targets of precision above 60% and kappa above 0.7 are evaluation goals, not universal thresholds.</w:t>
      </w:r>
    </w:p>
    <w:p>
      <w:r>
        <w:br w:type="page"/>
      </w:r>
    </w:p>
    <w:p>
      <w:pPr>
        <w:pStyle w:val="Heading1"/>
      </w:pPr>
      <w:r>
        <w:t>Reproducibility and scope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040"/>
      </w:tblGrid>
      <w:tr>
        <w:trPr>
          <w:tblHeader/>
          <w:cantSplit/>
        </w:trPr>
        <w:tc>
          <w:tcPr>
            <w:tcW w:type="dxa" w:w="5184"/>
            <w:shd w:fill="E8EEF4"/>
            <w:vAlign w:val="center"/>
            <w:tcMar>
              <w:top w:w="85" w:type="dxa"/>
              <w:left w:w="85" w:type="dxa"/>
              <w:bottom w:w="85" w:type="dxa"/>
              <w:right w:w="85" w:type="dxa"/>
            </w:tcMar>
          </w:tcPr>
          <w:p>
            <w:pPr>
              <w:spacing w:after="0" w:line="240" w:lineRule="auto"/>
              <w:jc w:val="left"/>
            </w:pPr>
            <w:r>
              <w:rPr>
                <w:b/>
                <w:color w:val="000000"/>
                <w:sz w:val="20"/>
              </w:rPr>
              <w:t>Framework</w:t>
            </w:r>
          </w:p>
        </w:tc>
        <w:tc>
          <w:tcPr>
            <w:tcW w:type="dxa" w:w="5040"/>
            <w:shd w:fill="E8EEF4"/>
            <w:vAlign w:val="center"/>
            <w:tcMar>
              <w:top w:w="85" w:type="dxa"/>
              <w:left w:w="85" w:type="dxa"/>
              <w:bottom w:w="85" w:type="dxa"/>
              <w:right w:w="85" w:type="dxa"/>
            </w:tcMar>
          </w:tcPr>
          <w:p>
            <w:pPr>
              <w:spacing w:after="0" w:line="240" w:lineRule="auto"/>
              <w:jc w:val="center"/>
            </w:pPr>
            <w:r>
              <w:rPr>
                <w:b/>
                <w:color w:val="000000"/>
                <w:sz w:val="20"/>
              </w:rPr>
              <w:t>Commit prefix</w:t>
            </w:r>
          </w:p>
        </w:tc>
      </w:tr>
      <w:tr>
        <w:trPr>
          <w:cantSplit/>
        </w:trPr>
        <w:tc>
          <w:tcPr>
            <w:tcW w:type="dxa" w:w="5184"/>
            <w:vAlign w:val="center"/>
            <w:tcMar>
              <w:top w:w="85" w:type="dxa"/>
              <w:left w:w="85" w:type="dxa"/>
              <w:bottom w:w="85" w:type="dxa"/>
              <w:right w:w="85" w:type="dxa"/>
            </w:tcMar>
          </w:tcPr>
          <w:p>
            <w:pPr>
              <w:spacing w:after="0" w:line="240" w:lineRule="auto"/>
              <w:jc w:val="left"/>
            </w:pPr>
            <w:r>
              <w:rPr>
                <w:b w:val="0"/>
                <w:color w:val="000000"/>
                <w:sz w:val="20"/>
              </w:rPr>
              <w:t>LlamaIndex</w:t>
            </w:r>
          </w:p>
        </w:tc>
        <w:tc>
          <w:tcPr>
            <w:tcW w:type="dxa" w:w="5040"/>
            <w:vAlign w:val="center"/>
            <w:tcMar>
              <w:top w:w="85" w:type="dxa"/>
              <w:left w:w="85" w:type="dxa"/>
              <w:bottom w:w="85" w:type="dxa"/>
              <w:right w:w="85" w:type="dxa"/>
            </w:tcMar>
          </w:tcPr>
          <w:p>
            <w:pPr>
              <w:spacing w:after="0" w:line="240" w:lineRule="auto"/>
              <w:jc w:val="center"/>
            </w:pPr>
            <w:r>
              <w:rPr>
                <w:b w:val="0"/>
                <w:color w:val="000000"/>
                <w:sz w:val="20"/>
              </w:rPr>
              <w:t>5b7b6e323e1d</w:t>
            </w:r>
          </w:p>
        </w:tc>
      </w:tr>
      <w:tr>
        <w:trPr>
          <w:cantSplit/>
        </w:trPr>
        <w:tc>
          <w:tcPr>
            <w:tcW w:type="dxa" w:w="5184"/>
            <w:vAlign w:val="center"/>
            <w:tcMar>
              <w:top w:w="85" w:type="dxa"/>
              <w:left w:w="85" w:type="dxa"/>
              <w:bottom w:w="85" w:type="dxa"/>
              <w:right w:w="85" w:type="dxa"/>
            </w:tcMar>
          </w:tcPr>
          <w:p>
            <w:pPr>
              <w:spacing w:after="0" w:line="240" w:lineRule="auto"/>
              <w:jc w:val="left"/>
            </w:pPr>
            <w:r>
              <w:rPr>
                <w:b w:val="0"/>
                <w:color w:val="000000"/>
                <w:sz w:val="20"/>
              </w:rPr>
              <w:t>LangChain</w:t>
            </w:r>
          </w:p>
        </w:tc>
        <w:tc>
          <w:tcPr>
            <w:tcW w:type="dxa" w:w="5040"/>
            <w:vAlign w:val="center"/>
            <w:tcMar>
              <w:top w:w="85" w:type="dxa"/>
              <w:left w:w="85" w:type="dxa"/>
              <w:bottom w:w="85" w:type="dxa"/>
              <w:right w:w="85" w:type="dxa"/>
            </w:tcMar>
          </w:tcPr>
          <w:p>
            <w:pPr>
              <w:spacing w:after="0" w:line="240" w:lineRule="auto"/>
              <w:jc w:val="center"/>
            </w:pPr>
            <w:r>
              <w:rPr>
                <w:b w:val="0"/>
                <w:color w:val="000000"/>
                <w:sz w:val="20"/>
              </w:rPr>
              <w:t>8ace87e7a649</w:t>
            </w:r>
          </w:p>
        </w:tc>
      </w:tr>
      <w:tr>
        <w:trPr>
          <w:cantSplit/>
        </w:trPr>
        <w:tc>
          <w:tcPr>
            <w:tcW w:type="dxa" w:w="5184"/>
            <w:vAlign w:val="center"/>
            <w:tcMar>
              <w:top w:w="85" w:type="dxa"/>
              <w:left w:w="85" w:type="dxa"/>
              <w:bottom w:w="85" w:type="dxa"/>
              <w:right w:w="85" w:type="dxa"/>
            </w:tcMar>
          </w:tcPr>
          <w:p>
            <w:pPr>
              <w:spacing w:after="0" w:line="240" w:lineRule="auto"/>
              <w:jc w:val="left"/>
            </w:pPr>
            <w:r>
              <w:rPr>
                <w:b w:val="0"/>
                <w:color w:val="000000"/>
                <w:sz w:val="20"/>
              </w:rPr>
              <w:t>AutoGen</w:t>
            </w:r>
          </w:p>
        </w:tc>
        <w:tc>
          <w:tcPr>
            <w:tcW w:type="dxa" w:w="5040"/>
            <w:vAlign w:val="center"/>
            <w:tcMar>
              <w:top w:w="85" w:type="dxa"/>
              <w:left w:w="85" w:type="dxa"/>
              <w:bottom w:w="85" w:type="dxa"/>
              <w:right w:w="85" w:type="dxa"/>
            </w:tcMar>
          </w:tcPr>
          <w:p>
            <w:pPr>
              <w:spacing w:after="0" w:line="240" w:lineRule="auto"/>
              <w:jc w:val="center"/>
            </w:pPr>
            <w:r>
              <w:rPr>
                <w:b w:val="0"/>
                <w:color w:val="000000"/>
                <w:sz w:val="20"/>
              </w:rPr>
              <w:t>027ecf0a379b</w:t>
            </w:r>
          </w:p>
        </w:tc>
      </w:tr>
      <w:tr>
        <w:trPr>
          <w:cantSplit/>
        </w:trPr>
        <w:tc>
          <w:tcPr>
            <w:tcW w:type="dxa" w:w="5184"/>
            <w:vAlign w:val="center"/>
            <w:tcMar>
              <w:top w:w="85" w:type="dxa"/>
              <w:left w:w="85" w:type="dxa"/>
              <w:bottom w:w="85" w:type="dxa"/>
              <w:right w:w="85" w:type="dxa"/>
            </w:tcMar>
          </w:tcPr>
          <w:p>
            <w:pPr>
              <w:spacing w:after="0" w:line="240" w:lineRule="auto"/>
              <w:jc w:val="left"/>
            </w:pPr>
            <w:r>
              <w:rPr>
                <w:b w:val="0"/>
                <w:color w:val="000000"/>
                <w:sz w:val="20"/>
              </w:rPr>
              <w:t>OpenAI Agents SDK</w:t>
            </w:r>
          </w:p>
        </w:tc>
        <w:tc>
          <w:tcPr>
            <w:tcW w:type="dxa" w:w="5040"/>
            <w:vAlign w:val="center"/>
            <w:tcMar>
              <w:top w:w="85" w:type="dxa"/>
              <w:left w:w="85" w:type="dxa"/>
              <w:bottom w:w="85" w:type="dxa"/>
              <w:right w:w="85" w:type="dxa"/>
            </w:tcMar>
          </w:tcPr>
          <w:p>
            <w:pPr>
              <w:spacing w:after="0" w:line="240" w:lineRule="auto"/>
              <w:jc w:val="center"/>
            </w:pPr>
            <w:r>
              <w:rPr>
                <w:b w:val="0"/>
                <w:color w:val="000000"/>
                <w:sz w:val="20"/>
              </w:rPr>
              <w:t>1c1a28df92f3</w:t>
            </w:r>
          </w:p>
        </w:tc>
      </w:tr>
      <w:tr>
        <w:trPr>
          <w:cantSplit/>
        </w:trPr>
        <w:tc>
          <w:tcPr>
            <w:tcW w:type="dxa" w:w="5184"/>
            <w:vAlign w:val="center"/>
            <w:tcMar>
              <w:top w:w="85" w:type="dxa"/>
              <w:left w:w="85" w:type="dxa"/>
              <w:bottom w:w="85" w:type="dxa"/>
              <w:right w:w="85" w:type="dxa"/>
            </w:tcMar>
          </w:tcPr>
          <w:p>
            <w:pPr>
              <w:spacing w:after="0" w:line="240" w:lineRule="auto"/>
              <w:jc w:val="left"/>
            </w:pPr>
            <w:r>
              <w:rPr>
                <w:b w:val="0"/>
                <w:color w:val="000000"/>
                <w:sz w:val="20"/>
              </w:rPr>
              <w:t>LangGraph</w:t>
            </w:r>
          </w:p>
        </w:tc>
        <w:tc>
          <w:tcPr>
            <w:tcW w:type="dxa" w:w="5040"/>
            <w:vAlign w:val="center"/>
            <w:tcMar>
              <w:top w:w="85" w:type="dxa"/>
              <w:left w:w="85" w:type="dxa"/>
              <w:bottom w:w="85" w:type="dxa"/>
              <w:right w:w="85" w:type="dxa"/>
            </w:tcMar>
          </w:tcPr>
          <w:p>
            <w:pPr>
              <w:spacing w:after="0" w:line="240" w:lineRule="auto"/>
              <w:jc w:val="center"/>
            </w:pPr>
            <w:r>
              <w:rPr>
                <w:b w:val="0"/>
                <w:color w:val="000000"/>
                <w:sz w:val="20"/>
              </w:rPr>
              <w:t>a6731f436700</w:t>
            </w:r>
          </w:p>
        </w:tc>
      </w:tr>
      <w:tr>
        <w:trPr>
          <w:cantSplit/>
        </w:trPr>
        <w:tc>
          <w:tcPr>
            <w:tcW w:type="dxa" w:w="5184"/>
            <w:vAlign w:val="center"/>
            <w:tcMar>
              <w:top w:w="85" w:type="dxa"/>
              <w:left w:w="85" w:type="dxa"/>
              <w:bottom w:w="85" w:type="dxa"/>
              <w:right w:w="85" w:type="dxa"/>
            </w:tcMar>
          </w:tcPr>
          <w:p>
            <w:pPr>
              <w:spacing w:after="0" w:line="240" w:lineRule="auto"/>
              <w:jc w:val="left"/>
            </w:pPr>
            <w:r>
              <w:rPr>
                <w:b w:val="0"/>
                <w:color w:val="000000"/>
                <w:sz w:val="20"/>
              </w:rPr>
              <w:t>MetaGPT</w:t>
            </w:r>
          </w:p>
        </w:tc>
        <w:tc>
          <w:tcPr>
            <w:tcW w:type="dxa" w:w="5040"/>
            <w:vAlign w:val="center"/>
            <w:tcMar>
              <w:top w:w="85" w:type="dxa"/>
              <w:left w:w="85" w:type="dxa"/>
              <w:bottom w:w="85" w:type="dxa"/>
              <w:right w:w="85" w:type="dxa"/>
            </w:tcMar>
          </w:tcPr>
          <w:p>
            <w:pPr>
              <w:spacing w:after="0" w:line="240" w:lineRule="auto"/>
              <w:jc w:val="center"/>
            </w:pPr>
            <w:r>
              <w:rPr>
                <w:b w:val="0"/>
                <w:color w:val="000000"/>
                <w:sz w:val="20"/>
              </w:rPr>
              <w:t>11cdf466d042</w:t>
            </w:r>
          </w:p>
        </w:tc>
      </w:tr>
      <w:tr>
        <w:trPr>
          <w:cantSplit/>
        </w:trPr>
        <w:tc>
          <w:tcPr>
            <w:tcW w:type="dxa" w:w="5184"/>
            <w:vAlign w:val="center"/>
            <w:tcMar>
              <w:top w:w="85" w:type="dxa"/>
              <w:left w:w="85" w:type="dxa"/>
              <w:bottom w:w="85" w:type="dxa"/>
              <w:right w:w="85" w:type="dxa"/>
            </w:tcMar>
          </w:tcPr>
          <w:p>
            <w:pPr>
              <w:spacing w:after="0" w:line="240" w:lineRule="auto"/>
              <w:jc w:val="left"/>
            </w:pPr>
            <w:r>
              <w:rPr>
                <w:b w:val="0"/>
                <w:color w:val="000000"/>
                <w:sz w:val="20"/>
              </w:rPr>
              <w:t>Semantic Kernel</w:t>
            </w:r>
          </w:p>
        </w:tc>
        <w:tc>
          <w:tcPr>
            <w:tcW w:type="dxa" w:w="5040"/>
            <w:vAlign w:val="center"/>
            <w:tcMar>
              <w:top w:w="85" w:type="dxa"/>
              <w:left w:w="85" w:type="dxa"/>
              <w:bottom w:w="85" w:type="dxa"/>
              <w:right w:w="85" w:type="dxa"/>
            </w:tcMar>
          </w:tcPr>
          <w:p>
            <w:pPr>
              <w:spacing w:after="0" w:line="240" w:lineRule="auto"/>
              <w:jc w:val="center"/>
            </w:pPr>
            <w:r>
              <w:rPr>
                <w:b w:val="0"/>
                <w:color w:val="000000"/>
                <w:sz w:val="20"/>
              </w:rPr>
              <w:t>5b4a3269a680</w:t>
            </w:r>
          </w:p>
        </w:tc>
      </w:tr>
      <w:tr>
        <w:trPr>
          <w:cantSplit/>
        </w:trPr>
        <w:tc>
          <w:tcPr>
            <w:tcW w:type="dxa" w:w="5184"/>
            <w:vAlign w:val="center"/>
            <w:tcMar>
              <w:top w:w="85" w:type="dxa"/>
              <w:left w:w="85" w:type="dxa"/>
              <w:bottom w:w="85" w:type="dxa"/>
              <w:right w:w="85" w:type="dxa"/>
            </w:tcMar>
          </w:tcPr>
          <w:p>
            <w:pPr>
              <w:spacing w:after="0" w:line="240" w:lineRule="auto"/>
              <w:jc w:val="left"/>
            </w:pPr>
            <w:r>
              <w:rPr>
                <w:b w:val="0"/>
                <w:color w:val="000000"/>
                <w:sz w:val="20"/>
              </w:rPr>
              <w:t>CrewAI</w:t>
            </w:r>
          </w:p>
        </w:tc>
        <w:tc>
          <w:tcPr>
            <w:tcW w:type="dxa" w:w="5040"/>
            <w:vAlign w:val="center"/>
            <w:tcMar>
              <w:top w:w="85" w:type="dxa"/>
              <w:left w:w="85" w:type="dxa"/>
              <w:bottom w:w="85" w:type="dxa"/>
              <w:right w:w="85" w:type="dxa"/>
            </w:tcMar>
          </w:tcPr>
          <w:p>
            <w:pPr>
              <w:spacing w:after="0" w:line="240" w:lineRule="auto"/>
              <w:jc w:val="center"/>
            </w:pPr>
            <w:r>
              <w:rPr>
                <w:b w:val="0"/>
                <w:color w:val="000000"/>
                <w:sz w:val="20"/>
              </w:rPr>
              <w:t>ba3674616912</w:t>
            </w:r>
          </w:p>
        </w:tc>
      </w:tr>
      <w:tr>
        <w:trPr>
          <w:cantSplit/>
        </w:trPr>
        <w:tc>
          <w:tcPr>
            <w:tcW w:type="dxa" w:w="5184"/>
            <w:vAlign w:val="center"/>
            <w:tcMar>
              <w:top w:w="85" w:type="dxa"/>
              <w:left w:w="85" w:type="dxa"/>
              <w:bottom w:w="85" w:type="dxa"/>
              <w:right w:w="85" w:type="dxa"/>
            </w:tcMar>
          </w:tcPr>
          <w:p>
            <w:pPr>
              <w:spacing w:after="0" w:line="240" w:lineRule="auto"/>
              <w:jc w:val="left"/>
            </w:pPr>
            <w:r>
              <w:rPr>
                <w:b w:val="0"/>
                <w:color w:val="000000"/>
                <w:sz w:val="20"/>
              </w:rPr>
              <w:t>Haystack</w:t>
            </w:r>
          </w:p>
        </w:tc>
        <w:tc>
          <w:tcPr>
            <w:tcW w:type="dxa" w:w="5040"/>
            <w:vAlign w:val="center"/>
            <w:tcMar>
              <w:top w:w="85" w:type="dxa"/>
              <w:left w:w="85" w:type="dxa"/>
              <w:bottom w:w="85" w:type="dxa"/>
              <w:right w:w="85" w:type="dxa"/>
            </w:tcMar>
          </w:tcPr>
          <w:p>
            <w:pPr>
              <w:spacing w:after="0" w:line="240" w:lineRule="auto"/>
              <w:jc w:val="center"/>
            </w:pPr>
            <w:r>
              <w:rPr>
                <w:b w:val="0"/>
                <w:color w:val="000000"/>
                <w:sz w:val="20"/>
              </w:rPr>
              <w:t>2b8e1d9f8360</w:t>
            </w:r>
          </w:p>
        </w:tc>
      </w:tr>
      <w:tr>
        <w:trPr>
          <w:cantSplit/>
        </w:trPr>
        <w:tc>
          <w:tcPr>
            <w:tcW w:type="dxa" w:w="5184"/>
            <w:vAlign w:val="center"/>
            <w:tcMar>
              <w:top w:w="85" w:type="dxa"/>
              <w:left w:w="85" w:type="dxa"/>
              <w:bottom w:w="85" w:type="dxa"/>
              <w:right w:w="85" w:type="dxa"/>
            </w:tcMar>
          </w:tcPr>
          <w:p>
            <w:pPr>
              <w:spacing w:after="0" w:line="240" w:lineRule="auto"/>
              <w:jc w:val="left"/>
            </w:pPr>
            <w:r>
              <w:rPr>
                <w:b w:val="0"/>
                <w:color w:val="000000"/>
                <w:sz w:val="20"/>
              </w:rPr>
              <w:t>smolagents</w:t>
            </w:r>
          </w:p>
        </w:tc>
        <w:tc>
          <w:tcPr>
            <w:tcW w:type="dxa" w:w="5040"/>
            <w:vAlign w:val="center"/>
            <w:tcMar>
              <w:top w:w="85" w:type="dxa"/>
              <w:left w:w="85" w:type="dxa"/>
              <w:bottom w:w="85" w:type="dxa"/>
              <w:right w:w="85" w:type="dxa"/>
            </w:tcMar>
          </w:tcPr>
          <w:p>
            <w:pPr>
              <w:spacing w:after="0" w:line="240" w:lineRule="auto"/>
              <w:jc w:val="center"/>
            </w:pPr>
            <w:r>
              <w:rPr>
                <w:b w:val="0"/>
                <w:color w:val="000000"/>
                <w:sz w:val="20"/>
              </w:rPr>
              <w:t>96f33faaf028</w:t>
            </w:r>
          </w:p>
        </w:tc>
      </w:tr>
    </w:tbl>
    <w:p>
      <w:pPr>
        <w:spacing w:after="40"/>
      </w:pPr>
    </w:p>
    <w:p>
      <w:r>
        <w:t>snapshots.json records full SHAs and acquisition times. The run and extraction manifests record detector 0.2.0, Python 3.12.14, seed 6221, hashes and scope. Fifteen synthetic tests passed. The package includes the corpus, matches and executable scripts; framework dependencies are unnecessary for tokenization.</w:t>
      </w:r>
    </w:p>
    <w:p>
      <w:r>
        <w:t>The pilot’s reported 62,905 blocks, 640 strict and 1,846 full candidates remain unverified. New snapshots and patterns prevent direct comparison; similar strict totals do not establish reproduction. Reconcile Person B’s documentation before adopting the new pool. The later 600-candidate taxonomy study and Fleiss’ kappa are separate from this binary validation and Cohen’s kappa.</w:t>
      </w:r>
    </w:p>
    <w:p>
      <w:pPr>
        <w:pStyle w:val="Heading1"/>
      </w:pPr>
      <w:r>
        <w:t>References and source status</w:t>
      </w:r>
    </w:p>
    <w:p>
      <w:r>
        <w:t>[1] Supplied Person C project context and satd-keyword-validation skill, retained in references/. These supply task requirements and literature leads, not verified dictionaries.</w:t>
      </w:r>
    </w:p>
    <w:p>
      <w:r>
        <w:t>[2] Guo et al. MAT A simple yet strong baseline for identifying self-admitted technical debt. arXiv:1910.13238. https://arxiv.org/abs/1910.13238. Source verification pending; no benchmark figures are used.</w:t>
      </w:r>
    </w:p>
    <w:p>
      <w:r>
        <w:t>[3] Vidoni. Self-Admitted Technical Debt in R Packages An Exploratory Study. MSR 2021. DOI 10.1109/MSR52588.2021.00030. The context points to Section IV-C, p.185: https://melvidoni.rbind.io/publication/2021-rsatd-msr.pdf. Source verification pending; R findings do not validate this Python detector.</w:t>
      </w:r>
    </w:p>
    <w:p>
      <w:pPr>
        <w:pStyle w:val="Heading1"/>
      </w:pPr>
      <w:r>
        <w:t>Limitations</w:t>
      </w:r>
    </w:p>
    <w:p>
      <w:r>
        <w:t>Candidate counts measure detector sensitivity, not confirmed debt. Human labels, agreement and original-paper verification are outstanding. The proposed loose set is narrower than the unavailable pilot dictionary; pattern selection remains provisional and must not be tuned repeatedly to pass team targets. Any revision after calibration needs a fresh held-out validation sample. Reviewing flagged comments alone does not estimate absolute recall. Source hosts returned proxy access denials; their proposed network additions are saved but runtime application is unconfirmed.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SOEN 6221 Person C SATD keyword validation</dc:title>
  <dc:subject>Fresh independent comparison and human review preparation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