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SATD keywords and sensitivity results</w:t>
      </w:r>
    </w:p>
    <w:p>
      <w:r>
        <w:t>SOEN 6221 Person C</w:t>
      </w:r>
    </w:p>
    <w:p>
      <w:r>
        <w:t>A fresh independent comparison across ten pinned Python framework repositories identified 641 strict candidates and 693 candidates when proposed loose phrases were included. The analysis covered 66,754 comment blocks.</w:t>
      </w:r>
    </w:p>
    <w:p>
      <w:pPr>
        <w:pStyle w:val="Heading1"/>
      </w:pPr>
      <w:r>
        <w:t>Keywords and matching rules</w:t>
      </w:r>
    </w:p>
    <w:p>
      <w:r>
        <w:rPr>
          <w:b/>
        </w:rPr>
        <w:t xml:space="preserve">Strict markers </w:t>
      </w:r>
      <w:r>
        <w:t>TODO, FIXME, XXX and HACK.</w:t>
      </w:r>
    </w:p>
    <w:p>
      <w:r>
        <w:rPr>
          <w:b/>
        </w:rPr>
        <w:t xml:space="preserve">Proposed loose phrases </w:t>
      </w:r>
      <w:r>
        <w:t>workaround, work around, work-around; hardcode, hardcoded and hardcoding (including spaced or hyphenated forms); temporary solution; kludge; ugly.</w:t>
      </w:r>
    </w:p>
    <w:p>
      <w:r>
        <w:rPr>
          <w:b/>
        </w:rPr>
        <w:t xml:space="preserve">Diagnostic marker </w:t>
      </w:r>
      <w:r>
        <w:t>DEPRECATED, tested separately because deprecation alone does not establish technical debt.</w:t>
      </w:r>
    </w:p>
    <w:p>
      <w:r>
        <w:t>Matching is case-insensitive with whole-word boundaries. Anchored strict requires a marker at the start of a comment line, after removing # and leading whitespace. Consecutive standalone lines at equal indentation form one block; anchoring checks each line. Inline comments and tests are retained; docstrings are excluded. Each block is counted once per variant.</w:t>
      </w:r>
    </w:p>
    <w:p>
      <w:pPr>
        <w:pStyle w:val="Heading1"/>
      </w:pPr>
      <w:r>
        <w:t>Sensitivity table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1368"/>
        <w:gridCol w:w="1944"/>
        <w:gridCol w:w="2160"/>
      </w:tblGrid>
      <w:tr>
        <w:trPr>
          <w:tblHeader/>
          <w:cantSplit/>
        </w:trPr>
        <w:tc>
          <w:tcPr>
            <w:tcW w:type="dxa" w:w="3096"/>
            <w:vAlign w:val="center"/>
            <w:tcMar>
              <w:top w:w="65" w:type="dxa"/>
              <w:bottom w:w="65" w:type="dxa"/>
              <w:left w:w="65" w:type="dxa"/>
              <w:right w:w="65" w:type="dxa"/>
            </w:tcMar>
            <w:shd w:fill="E8EEF4"/>
          </w:tcPr>
          <w:p>
            <w:pPr>
              <w:spacing w:after="0" w:line="240" w:lineRule="auto"/>
              <w:jc w:val="left"/>
            </w:pPr>
            <w:r>
              <w:rPr>
                <w:b/>
                <w:sz w:val="20"/>
              </w:rPr>
              <w:t>Framework</w:t>
            </w:r>
          </w:p>
        </w:tc>
        <w:tc>
          <w:tcPr>
            <w:tcW w:type="dxa" w:w="1800"/>
            <w:vAlign w:val="center"/>
            <w:tcMar>
              <w:top w:w="65" w:type="dxa"/>
              <w:bottom w:w="65" w:type="dxa"/>
              <w:left w:w="65" w:type="dxa"/>
              <w:right w:w="65" w:type="dxa"/>
            </w:tcMar>
            <w:shd w:fill="E8EEF4"/>
          </w:tcPr>
          <w:p>
            <w:pPr>
              <w:spacing w:after="0" w:line="240" w:lineRule="auto"/>
              <w:jc w:val="center"/>
            </w:pPr>
            <w:r>
              <w:rPr>
                <w:b/>
                <w:sz w:val="20"/>
              </w:rPr>
              <w:t>Strict plus D</w:t>
            </w:r>
          </w:p>
        </w:tc>
        <w:tc>
          <w:tcPr>
            <w:tcW w:type="dxa" w:w="1368"/>
            <w:vAlign w:val="center"/>
            <w:tcMar>
              <w:top w:w="65" w:type="dxa"/>
              <w:bottom w:w="65" w:type="dxa"/>
              <w:left w:w="65" w:type="dxa"/>
              <w:right w:w="65" w:type="dxa"/>
            </w:tcMar>
            <w:shd w:fill="E8EEF4"/>
          </w:tcPr>
          <w:p>
            <w:pPr>
              <w:spacing w:after="0" w:line="240" w:lineRule="auto"/>
              <w:jc w:val="center"/>
            </w:pPr>
            <w:r>
              <w:rPr>
                <w:b/>
                <w:sz w:val="20"/>
              </w:rPr>
              <w:t>Strict</w:t>
            </w:r>
          </w:p>
        </w:tc>
        <w:tc>
          <w:tcPr>
            <w:tcW w:type="dxa" w:w="1944"/>
            <w:vAlign w:val="center"/>
            <w:tcMar>
              <w:top w:w="65" w:type="dxa"/>
              <w:bottom w:w="65" w:type="dxa"/>
              <w:left w:w="65" w:type="dxa"/>
              <w:right w:w="65" w:type="dxa"/>
            </w:tcMar>
            <w:shd w:fill="E8EEF4"/>
          </w:tcPr>
          <w:p>
            <w:pPr>
              <w:spacing w:after="0" w:line="240" w:lineRule="auto"/>
              <w:jc w:val="center"/>
            </w:pPr>
            <w:r>
              <w:rPr>
                <w:b/>
                <w:sz w:val="20"/>
              </w:rPr>
              <w:t>Anchored strict</w:t>
            </w:r>
          </w:p>
        </w:tc>
        <w:tc>
          <w:tcPr>
            <w:tcW w:type="dxa" w:w="2160"/>
            <w:vAlign w:val="center"/>
            <w:tcMar>
              <w:top w:w="65" w:type="dxa"/>
              <w:bottom w:w="65" w:type="dxa"/>
              <w:left w:w="65" w:type="dxa"/>
              <w:right w:w="65" w:type="dxa"/>
            </w:tcMar>
            <w:shd w:fill="E8EEF4"/>
          </w:tcPr>
          <w:p>
            <w:pPr>
              <w:spacing w:after="0" w:line="240" w:lineRule="auto"/>
              <w:jc w:val="center"/>
            </w:pPr>
            <w:r>
              <w:rPr>
                <w:b/>
                <w:sz w:val="20"/>
              </w:rPr>
              <w:t>Strict plus loose</w:t>
            </w:r>
          </w:p>
        </w:tc>
      </w:tr>
      <w:tr>
        <w:trPr>
          <w:cantSplit/>
        </w:trPr>
        <w:tc>
          <w:tcPr>
            <w:tcW w:type="dxa" w:w="3096"/>
            <w:vAlign w:val="center"/>
            <w:tcMar>
              <w:top w:w="65" w:type="dxa"/>
              <w:bottom w:w="65" w:type="dxa"/>
              <w:left w:w="65" w:type="dxa"/>
              <w:right w:w="65" w:type="dxa"/>
            </w:tcMar>
          </w:tcPr>
          <w:p>
            <w:pPr>
              <w:spacing w:after="0" w:line="240" w:lineRule="auto"/>
              <w:jc w:val="left"/>
            </w:pPr>
            <w:r>
              <w:rPr>
                <w:b w:val="0"/>
                <w:sz w:val="20"/>
              </w:rPr>
              <w:t>LlamaIndex</w:t>
            </w:r>
          </w:p>
        </w:tc>
        <w:tc>
          <w:tcPr>
            <w:tcW w:type="dxa" w:w="1800"/>
            <w:vAlign w:val="center"/>
            <w:tcMar>
              <w:top w:w="65" w:type="dxa"/>
              <w:bottom w:w="65" w:type="dxa"/>
              <w:left w:w="65" w:type="dxa"/>
              <w:right w:w="65" w:type="dxa"/>
            </w:tcMar>
          </w:tcPr>
          <w:p>
            <w:pPr>
              <w:spacing w:after="0" w:line="240" w:lineRule="auto"/>
              <w:jc w:val="center"/>
            </w:pPr>
            <w:r>
              <w:rPr>
                <w:b w:val="0"/>
                <w:sz w:val="20"/>
              </w:rPr>
              <w:t>313</w:t>
            </w:r>
          </w:p>
        </w:tc>
        <w:tc>
          <w:tcPr>
            <w:tcW w:type="dxa" w:w="1368"/>
            <w:vAlign w:val="center"/>
            <w:tcMar>
              <w:top w:w="65" w:type="dxa"/>
              <w:bottom w:w="65" w:type="dxa"/>
              <w:left w:w="65" w:type="dxa"/>
              <w:right w:w="65" w:type="dxa"/>
            </w:tcMar>
          </w:tcPr>
          <w:p>
            <w:pPr>
              <w:spacing w:after="0" w:line="240" w:lineRule="auto"/>
              <w:jc w:val="center"/>
            </w:pPr>
            <w:r>
              <w:rPr>
                <w:b w:val="0"/>
                <w:sz w:val="20"/>
              </w:rPr>
              <w:t>256</w:t>
            </w:r>
          </w:p>
        </w:tc>
        <w:tc>
          <w:tcPr>
            <w:tcW w:type="dxa" w:w="1944"/>
            <w:vAlign w:val="center"/>
            <w:tcMar>
              <w:top w:w="65" w:type="dxa"/>
              <w:bottom w:w="65" w:type="dxa"/>
              <w:left w:w="65" w:type="dxa"/>
              <w:right w:w="65" w:type="dxa"/>
            </w:tcMar>
          </w:tcPr>
          <w:p>
            <w:pPr>
              <w:spacing w:after="0" w:line="240" w:lineRule="auto"/>
              <w:jc w:val="center"/>
            </w:pPr>
            <w:r>
              <w:rPr>
                <w:b w:val="0"/>
                <w:sz w:val="20"/>
              </w:rPr>
              <w:t>244</w:t>
            </w:r>
          </w:p>
        </w:tc>
        <w:tc>
          <w:tcPr>
            <w:tcW w:type="dxa" w:w="2160"/>
            <w:vAlign w:val="center"/>
            <w:tcMar>
              <w:top w:w="65" w:type="dxa"/>
              <w:bottom w:w="65" w:type="dxa"/>
              <w:left w:w="65" w:type="dxa"/>
              <w:right w:w="65" w:type="dxa"/>
            </w:tcMar>
          </w:tcPr>
          <w:p>
            <w:pPr>
              <w:spacing w:after="0" w:line="240" w:lineRule="auto"/>
              <w:jc w:val="center"/>
            </w:pPr>
            <w:r>
              <w:rPr>
                <w:b w:val="0"/>
                <w:sz w:val="20"/>
              </w:rPr>
              <w:t>263</w:t>
            </w:r>
          </w:p>
        </w:tc>
      </w:tr>
      <w:tr>
        <w:trPr>
          <w:cantSplit/>
        </w:trPr>
        <w:tc>
          <w:tcPr>
            <w:tcW w:type="dxa" w:w="3096"/>
            <w:vAlign w:val="center"/>
            <w:tcMar>
              <w:top w:w="65" w:type="dxa"/>
              <w:bottom w:w="65" w:type="dxa"/>
              <w:left w:w="65" w:type="dxa"/>
              <w:right w:w="65" w:type="dxa"/>
            </w:tcMar>
          </w:tcPr>
          <w:p>
            <w:pPr>
              <w:spacing w:after="0" w:line="240" w:lineRule="auto"/>
              <w:jc w:val="left"/>
            </w:pPr>
            <w:r>
              <w:rPr>
                <w:b w:val="0"/>
                <w:sz w:val="20"/>
              </w:rPr>
              <w:t>LangChain</w:t>
            </w:r>
          </w:p>
        </w:tc>
        <w:tc>
          <w:tcPr>
            <w:tcW w:type="dxa" w:w="1800"/>
            <w:vAlign w:val="center"/>
            <w:tcMar>
              <w:top w:w="65" w:type="dxa"/>
              <w:bottom w:w="65" w:type="dxa"/>
              <w:left w:w="65" w:type="dxa"/>
              <w:right w:w="65" w:type="dxa"/>
            </w:tcMar>
          </w:tcPr>
          <w:p>
            <w:pPr>
              <w:spacing w:after="0" w:line="240" w:lineRule="auto"/>
              <w:jc w:val="center"/>
            </w:pPr>
            <w:r>
              <w:rPr>
                <w:b w:val="0"/>
                <w:sz w:val="20"/>
              </w:rPr>
              <w:t>967</w:t>
            </w:r>
          </w:p>
        </w:tc>
        <w:tc>
          <w:tcPr>
            <w:tcW w:type="dxa" w:w="1368"/>
            <w:vAlign w:val="center"/>
            <w:tcMar>
              <w:top w:w="65" w:type="dxa"/>
              <w:bottom w:w="65" w:type="dxa"/>
              <w:left w:w="65" w:type="dxa"/>
              <w:right w:w="65" w:type="dxa"/>
            </w:tcMar>
          </w:tcPr>
          <w:p>
            <w:pPr>
              <w:spacing w:after="0" w:line="240" w:lineRule="auto"/>
              <w:jc w:val="center"/>
            </w:pPr>
            <w:r>
              <w:rPr>
                <w:b w:val="0"/>
                <w:sz w:val="20"/>
              </w:rPr>
              <w:t>89</w:t>
            </w:r>
          </w:p>
        </w:tc>
        <w:tc>
          <w:tcPr>
            <w:tcW w:type="dxa" w:w="1944"/>
            <w:vAlign w:val="center"/>
            <w:tcMar>
              <w:top w:w="65" w:type="dxa"/>
              <w:bottom w:w="65" w:type="dxa"/>
              <w:left w:w="65" w:type="dxa"/>
              <w:right w:w="65" w:type="dxa"/>
            </w:tcMar>
          </w:tcPr>
          <w:p>
            <w:pPr>
              <w:spacing w:after="0" w:line="240" w:lineRule="auto"/>
              <w:jc w:val="center"/>
            </w:pPr>
            <w:r>
              <w:rPr>
                <w:b w:val="0"/>
                <w:sz w:val="20"/>
              </w:rPr>
              <w:t>84</w:t>
            </w:r>
          </w:p>
        </w:tc>
        <w:tc>
          <w:tcPr>
            <w:tcW w:type="dxa" w:w="2160"/>
            <w:vAlign w:val="center"/>
            <w:tcMar>
              <w:top w:w="65" w:type="dxa"/>
              <w:bottom w:w="65" w:type="dxa"/>
              <w:left w:w="65" w:type="dxa"/>
              <w:right w:w="65" w:type="dxa"/>
            </w:tcMar>
          </w:tcPr>
          <w:p>
            <w:pPr>
              <w:spacing w:after="0" w:line="240" w:lineRule="auto"/>
              <w:jc w:val="center"/>
            </w:pPr>
            <w:r>
              <w:rPr>
                <w:b w:val="0"/>
                <w:sz w:val="20"/>
              </w:rPr>
              <w:t>109</w:t>
            </w:r>
          </w:p>
        </w:tc>
      </w:tr>
      <w:tr>
        <w:trPr>
          <w:cantSplit/>
        </w:trPr>
        <w:tc>
          <w:tcPr>
            <w:tcW w:type="dxa" w:w="3096"/>
            <w:vAlign w:val="center"/>
            <w:tcMar>
              <w:top w:w="65" w:type="dxa"/>
              <w:bottom w:w="65" w:type="dxa"/>
              <w:left w:w="65" w:type="dxa"/>
              <w:right w:w="65" w:type="dxa"/>
            </w:tcMar>
          </w:tcPr>
          <w:p>
            <w:pPr>
              <w:spacing w:after="0" w:line="240" w:lineRule="auto"/>
              <w:jc w:val="left"/>
            </w:pPr>
            <w:r>
              <w:rPr>
                <w:b w:val="0"/>
                <w:sz w:val="20"/>
              </w:rPr>
              <w:t>AutoGen</w:t>
            </w:r>
          </w:p>
        </w:tc>
        <w:tc>
          <w:tcPr>
            <w:tcW w:type="dxa" w:w="1800"/>
            <w:vAlign w:val="center"/>
            <w:tcMar>
              <w:top w:w="65" w:type="dxa"/>
              <w:bottom w:w="65" w:type="dxa"/>
              <w:left w:w="65" w:type="dxa"/>
              <w:right w:w="65" w:type="dxa"/>
            </w:tcMar>
          </w:tcPr>
          <w:p>
            <w:pPr>
              <w:spacing w:after="0" w:line="240" w:lineRule="auto"/>
              <w:jc w:val="center"/>
            </w:pPr>
            <w:r>
              <w:rPr>
                <w:b w:val="0"/>
                <w:sz w:val="20"/>
              </w:rPr>
              <w:t>110</w:t>
            </w:r>
          </w:p>
        </w:tc>
        <w:tc>
          <w:tcPr>
            <w:tcW w:type="dxa" w:w="1368"/>
            <w:vAlign w:val="center"/>
            <w:tcMar>
              <w:top w:w="65" w:type="dxa"/>
              <w:bottom w:w="65" w:type="dxa"/>
              <w:left w:w="65" w:type="dxa"/>
              <w:right w:w="65" w:type="dxa"/>
            </w:tcMar>
          </w:tcPr>
          <w:p>
            <w:pPr>
              <w:spacing w:after="0" w:line="240" w:lineRule="auto"/>
              <w:jc w:val="center"/>
            </w:pPr>
            <w:r>
              <w:rPr>
                <w:b w:val="0"/>
                <w:sz w:val="20"/>
              </w:rPr>
              <w:t>100</w:t>
            </w:r>
          </w:p>
        </w:tc>
        <w:tc>
          <w:tcPr>
            <w:tcW w:type="dxa" w:w="1944"/>
            <w:vAlign w:val="center"/>
            <w:tcMar>
              <w:top w:w="65" w:type="dxa"/>
              <w:bottom w:w="65" w:type="dxa"/>
              <w:left w:w="65" w:type="dxa"/>
              <w:right w:w="65" w:type="dxa"/>
            </w:tcMar>
          </w:tcPr>
          <w:p>
            <w:pPr>
              <w:spacing w:after="0" w:line="240" w:lineRule="auto"/>
              <w:jc w:val="center"/>
            </w:pPr>
            <w:r>
              <w:rPr>
                <w:b w:val="0"/>
                <w:sz w:val="20"/>
              </w:rPr>
              <w:t>98</w:t>
            </w:r>
          </w:p>
        </w:tc>
        <w:tc>
          <w:tcPr>
            <w:tcW w:type="dxa" w:w="2160"/>
            <w:vAlign w:val="center"/>
            <w:tcMar>
              <w:top w:w="65" w:type="dxa"/>
              <w:bottom w:w="65" w:type="dxa"/>
              <w:left w:w="65" w:type="dxa"/>
              <w:right w:w="65" w:type="dxa"/>
            </w:tcMar>
          </w:tcPr>
          <w:p>
            <w:pPr>
              <w:spacing w:after="0" w:line="240" w:lineRule="auto"/>
              <w:jc w:val="center"/>
            </w:pPr>
            <w:r>
              <w:rPr>
                <w:b w:val="0"/>
                <w:sz w:val="20"/>
              </w:rPr>
              <w:t>101</w:t>
            </w:r>
          </w:p>
        </w:tc>
      </w:tr>
      <w:tr>
        <w:trPr>
          <w:cantSplit/>
        </w:trPr>
        <w:tc>
          <w:tcPr>
            <w:tcW w:type="dxa" w:w="3096"/>
            <w:vAlign w:val="center"/>
            <w:tcMar>
              <w:top w:w="65" w:type="dxa"/>
              <w:bottom w:w="65" w:type="dxa"/>
              <w:left w:w="65" w:type="dxa"/>
              <w:right w:w="65" w:type="dxa"/>
            </w:tcMar>
          </w:tcPr>
          <w:p>
            <w:pPr>
              <w:spacing w:after="0" w:line="240" w:lineRule="auto"/>
              <w:jc w:val="left"/>
            </w:pPr>
            <w:r>
              <w:rPr>
                <w:b w:val="0"/>
                <w:sz w:val="20"/>
              </w:rPr>
              <w:t>OpenAI Agents SDK</w:t>
            </w:r>
          </w:p>
        </w:tc>
        <w:tc>
          <w:tcPr>
            <w:tcW w:type="dxa" w:w="1800"/>
            <w:vAlign w:val="center"/>
            <w:tcMar>
              <w:top w:w="65" w:type="dxa"/>
              <w:bottom w:w="65" w:type="dxa"/>
              <w:left w:w="65" w:type="dxa"/>
              <w:right w:w="65" w:type="dxa"/>
            </w:tcMar>
          </w:tcPr>
          <w:p>
            <w:pPr>
              <w:spacing w:after="0" w:line="240" w:lineRule="auto"/>
              <w:jc w:val="center"/>
            </w:pPr>
            <w:r>
              <w:rPr>
                <w:b w:val="0"/>
                <w:sz w:val="20"/>
              </w:rPr>
              <w:t>13</w:t>
            </w:r>
          </w:p>
        </w:tc>
        <w:tc>
          <w:tcPr>
            <w:tcW w:type="dxa" w:w="1368"/>
            <w:vAlign w:val="center"/>
            <w:tcMar>
              <w:top w:w="65" w:type="dxa"/>
              <w:bottom w:w="65" w:type="dxa"/>
              <w:left w:w="65" w:type="dxa"/>
              <w:right w:w="65" w:type="dxa"/>
            </w:tcMar>
          </w:tcPr>
          <w:p>
            <w:pPr>
              <w:spacing w:after="0" w:line="240" w:lineRule="auto"/>
              <w:jc w:val="center"/>
            </w:pPr>
            <w:r>
              <w:rPr>
                <w:b w:val="0"/>
                <w:sz w:val="20"/>
              </w:rPr>
              <w:t>13</w:t>
            </w:r>
          </w:p>
        </w:tc>
        <w:tc>
          <w:tcPr>
            <w:tcW w:type="dxa" w:w="1944"/>
            <w:vAlign w:val="center"/>
            <w:tcMar>
              <w:top w:w="65" w:type="dxa"/>
              <w:bottom w:w="65" w:type="dxa"/>
              <w:left w:w="65" w:type="dxa"/>
              <w:right w:w="65" w:type="dxa"/>
            </w:tcMar>
          </w:tcPr>
          <w:p>
            <w:pPr>
              <w:spacing w:after="0" w:line="240" w:lineRule="auto"/>
              <w:jc w:val="center"/>
            </w:pPr>
            <w:r>
              <w:rPr>
                <w:b w:val="0"/>
                <w:sz w:val="20"/>
              </w:rPr>
              <w:t>12</w:t>
            </w:r>
          </w:p>
        </w:tc>
        <w:tc>
          <w:tcPr>
            <w:tcW w:type="dxa" w:w="2160"/>
            <w:vAlign w:val="center"/>
            <w:tcMar>
              <w:top w:w="65" w:type="dxa"/>
              <w:bottom w:w="65" w:type="dxa"/>
              <w:left w:w="65" w:type="dxa"/>
              <w:right w:w="65" w:type="dxa"/>
            </w:tcMar>
          </w:tcPr>
          <w:p>
            <w:pPr>
              <w:spacing w:after="0" w:line="240" w:lineRule="auto"/>
              <w:jc w:val="center"/>
            </w:pPr>
            <w:r>
              <w:rPr>
                <w:b w:val="0"/>
                <w:sz w:val="20"/>
              </w:rPr>
              <w:t>15</w:t>
            </w:r>
          </w:p>
        </w:tc>
      </w:tr>
      <w:tr>
        <w:trPr>
          <w:cantSplit/>
        </w:trPr>
        <w:tc>
          <w:tcPr>
            <w:tcW w:type="dxa" w:w="3096"/>
            <w:vAlign w:val="center"/>
            <w:tcMar>
              <w:top w:w="65" w:type="dxa"/>
              <w:bottom w:w="65" w:type="dxa"/>
              <w:left w:w="65" w:type="dxa"/>
              <w:right w:w="65" w:type="dxa"/>
            </w:tcMar>
          </w:tcPr>
          <w:p>
            <w:pPr>
              <w:spacing w:after="0" w:line="240" w:lineRule="auto"/>
              <w:jc w:val="left"/>
            </w:pPr>
            <w:r>
              <w:rPr>
                <w:b w:val="0"/>
                <w:sz w:val="20"/>
              </w:rPr>
              <w:t>LangGraph</w:t>
            </w:r>
          </w:p>
        </w:tc>
        <w:tc>
          <w:tcPr>
            <w:tcW w:type="dxa" w:w="1800"/>
            <w:vAlign w:val="center"/>
            <w:tcMar>
              <w:top w:w="65" w:type="dxa"/>
              <w:bottom w:w="65" w:type="dxa"/>
              <w:left w:w="65" w:type="dxa"/>
              <w:right w:w="65" w:type="dxa"/>
            </w:tcMar>
          </w:tcPr>
          <w:p>
            <w:pPr>
              <w:spacing w:after="0" w:line="240" w:lineRule="auto"/>
              <w:jc w:val="center"/>
            </w:pPr>
            <w:r>
              <w:rPr>
                <w:b w:val="0"/>
                <w:sz w:val="20"/>
              </w:rPr>
              <w:t>25</w:t>
            </w:r>
          </w:p>
        </w:tc>
        <w:tc>
          <w:tcPr>
            <w:tcW w:type="dxa" w:w="1368"/>
            <w:vAlign w:val="center"/>
            <w:tcMar>
              <w:top w:w="65" w:type="dxa"/>
              <w:bottom w:w="65" w:type="dxa"/>
              <w:left w:w="65" w:type="dxa"/>
              <w:right w:w="65" w:type="dxa"/>
            </w:tcMar>
          </w:tcPr>
          <w:p>
            <w:pPr>
              <w:spacing w:after="0" w:line="240" w:lineRule="auto"/>
              <w:jc w:val="center"/>
            </w:pPr>
            <w:r>
              <w:rPr>
                <w:b w:val="0"/>
                <w:sz w:val="20"/>
              </w:rPr>
              <w:t>10</w:t>
            </w:r>
          </w:p>
        </w:tc>
        <w:tc>
          <w:tcPr>
            <w:tcW w:type="dxa" w:w="1944"/>
            <w:vAlign w:val="center"/>
            <w:tcMar>
              <w:top w:w="65" w:type="dxa"/>
              <w:bottom w:w="65" w:type="dxa"/>
              <w:left w:w="65" w:type="dxa"/>
              <w:right w:w="65" w:type="dxa"/>
            </w:tcMar>
          </w:tcPr>
          <w:p>
            <w:pPr>
              <w:spacing w:after="0" w:line="240" w:lineRule="auto"/>
              <w:jc w:val="center"/>
            </w:pPr>
            <w:r>
              <w:rPr>
                <w:b w:val="0"/>
                <w:sz w:val="20"/>
              </w:rPr>
              <w:t>10</w:t>
            </w:r>
          </w:p>
        </w:tc>
        <w:tc>
          <w:tcPr>
            <w:tcW w:type="dxa" w:w="2160"/>
            <w:vAlign w:val="center"/>
            <w:tcMar>
              <w:top w:w="65" w:type="dxa"/>
              <w:bottom w:w="65" w:type="dxa"/>
              <w:left w:w="65" w:type="dxa"/>
              <w:right w:w="65" w:type="dxa"/>
            </w:tcMar>
          </w:tcPr>
          <w:p>
            <w:pPr>
              <w:spacing w:after="0" w:line="240" w:lineRule="auto"/>
              <w:jc w:val="center"/>
            </w:pPr>
            <w:r>
              <w:rPr>
                <w:b w:val="0"/>
                <w:sz w:val="20"/>
              </w:rPr>
              <w:t>13</w:t>
            </w:r>
          </w:p>
        </w:tc>
      </w:tr>
      <w:tr>
        <w:trPr>
          <w:cantSplit/>
        </w:trPr>
        <w:tc>
          <w:tcPr>
            <w:tcW w:type="dxa" w:w="3096"/>
            <w:vAlign w:val="center"/>
            <w:tcMar>
              <w:top w:w="65" w:type="dxa"/>
              <w:bottom w:w="65" w:type="dxa"/>
              <w:left w:w="65" w:type="dxa"/>
              <w:right w:w="65" w:type="dxa"/>
            </w:tcMar>
          </w:tcPr>
          <w:p>
            <w:pPr>
              <w:spacing w:after="0" w:line="240" w:lineRule="auto"/>
              <w:jc w:val="left"/>
            </w:pPr>
            <w:r>
              <w:rPr>
                <w:b w:val="0"/>
                <w:sz w:val="20"/>
              </w:rPr>
              <w:t>MetaGPT</w:t>
            </w:r>
          </w:p>
        </w:tc>
        <w:tc>
          <w:tcPr>
            <w:tcW w:type="dxa" w:w="1800"/>
            <w:vAlign w:val="center"/>
            <w:tcMar>
              <w:top w:w="65" w:type="dxa"/>
              <w:bottom w:w="65" w:type="dxa"/>
              <w:left w:w="65" w:type="dxa"/>
              <w:right w:w="65" w:type="dxa"/>
            </w:tcMar>
          </w:tcPr>
          <w:p>
            <w:pPr>
              <w:spacing w:after="0" w:line="240" w:lineRule="auto"/>
              <w:jc w:val="center"/>
            </w:pPr>
            <w:r>
              <w:rPr>
                <w:b w:val="0"/>
                <w:sz w:val="20"/>
              </w:rPr>
              <w:t>98</w:t>
            </w:r>
          </w:p>
        </w:tc>
        <w:tc>
          <w:tcPr>
            <w:tcW w:type="dxa" w:w="1368"/>
            <w:vAlign w:val="center"/>
            <w:tcMar>
              <w:top w:w="65" w:type="dxa"/>
              <w:bottom w:w="65" w:type="dxa"/>
              <w:left w:w="65" w:type="dxa"/>
              <w:right w:w="65" w:type="dxa"/>
            </w:tcMar>
          </w:tcPr>
          <w:p>
            <w:pPr>
              <w:spacing w:after="0" w:line="240" w:lineRule="auto"/>
              <w:jc w:val="center"/>
            </w:pPr>
            <w:r>
              <w:rPr>
                <w:b w:val="0"/>
                <w:sz w:val="20"/>
              </w:rPr>
              <w:t>97</w:t>
            </w:r>
          </w:p>
        </w:tc>
        <w:tc>
          <w:tcPr>
            <w:tcW w:type="dxa" w:w="1944"/>
            <w:vAlign w:val="center"/>
            <w:tcMar>
              <w:top w:w="65" w:type="dxa"/>
              <w:bottom w:w="65" w:type="dxa"/>
              <w:left w:w="65" w:type="dxa"/>
              <w:right w:w="65" w:type="dxa"/>
            </w:tcMar>
          </w:tcPr>
          <w:p>
            <w:pPr>
              <w:spacing w:after="0" w:line="240" w:lineRule="auto"/>
              <w:jc w:val="center"/>
            </w:pPr>
            <w:r>
              <w:rPr>
                <w:b w:val="0"/>
                <w:sz w:val="20"/>
              </w:rPr>
              <w:t>81</w:t>
            </w:r>
          </w:p>
        </w:tc>
        <w:tc>
          <w:tcPr>
            <w:tcW w:type="dxa" w:w="2160"/>
            <w:vAlign w:val="center"/>
            <w:tcMar>
              <w:top w:w="65" w:type="dxa"/>
              <w:bottom w:w="65" w:type="dxa"/>
              <w:left w:w="65" w:type="dxa"/>
              <w:right w:w="65" w:type="dxa"/>
            </w:tcMar>
          </w:tcPr>
          <w:p>
            <w:pPr>
              <w:spacing w:after="0" w:line="240" w:lineRule="auto"/>
              <w:jc w:val="center"/>
            </w:pPr>
            <w:r>
              <w:rPr>
                <w:b w:val="0"/>
                <w:sz w:val="20"/>
              </w:rPr>
              <w:t>102</w:t>
            </w:r>
          </w:p>
        </w:tc>
      </w:tr>
      <w:tr>
        <w:trPr>
          <w:cantSplit/>
        </w:trPr>
        <w:tc>
          <w:tcPr>
            <w:tcW w:type="dxa" w:w="3096"/>
            <w:vAlign w:val="center"/>
            <w:tcMar>
              <w:top w:w="65" w:type="dxa"/>
              <w:bottom w:w="65" w:type="dxa"/>
              <w:left w:w="65" w:type="dxa"/>
              <w:right w:w="65" w:type="dxa"/>
            </w:tcMar>
          </w:tcPr>
          <w:p>
            <w:pPr>
              <w:spacing w:after="0" w:line="240" w:lineRule="auto"/>
              <w:jc w:val="left"/>
            </w:pPr>
            <w:r>
              <w:rPr>
                <w:b w:val="0"/>
                <w:sz w:val="20"/>
              </w:rPr>
              <w:t>Semantic Kernel</w:t>
            </w:r>
          </w:p>
        </w:tc>
        <w:tc>
          <w:tcPr>
            <w:tcW w:type="dxa" w:w="1800"/>
            <w:vAlign w:val="center"/>
            <w:tcMar>
              <w:top w:w="65" w:type="dxa"/>
              <w:bottom w:w="65" w:type="dxa"/>
              <w:left w:w="65" w:type="dxa"/>
              <w:right w:w="65" w:type="dxa"/>
            </w:tcMar>
          </w:tcPr>
          <w:p>
            <w:pPr>
              <w:spacing w:after="0" w:line="240" w:lineRule="auto"/>
              <w:jc w:val="center"/>
            </w:pPr>
            <w:r>
              <w:rPr>
                <w:b w:val="0"/>
                <w:sz w:val="20"/>
              </w:rPr>
              <w:t>38</w:t>
            </w:r>
          </w:p>
        </w:tc>
        <w:tc>
          <w:tcPr>
            <w:tcW w:type="dxa" w:w="1368"/>
            <w:vAlign w:val="center"/>
            <w:tcMar>
              <w:top w:w="65" w:type="dxa"/>
              <w:bottom w:w="65" w:type="dxa"/>
              <w:left w:w="65" w:type="dxa"/>
              <w:right w:w="65" w:type="dxa"/>
            </w:tcMar>
          </w:tcPr>
          <w:p>
            <w:pPr>
              <w:spacing w:after="0" w:line="240" w:lineRule="auto"/>
              <w:jc w:val="center"/>
            </w:pPr>
            <w:r>
              <w:rPr>
                <w:b w:val="0"/>
                <w:sz w:val="20"/>
              </w:rPr>
              <w:t>36</w:t>
            </w:r>
          </w:p>
        </w:tc>
        <w:tc>
          <w:tcPr>
            <w:tcW w:type="dxa" w:w="1944"/>
            <w:vAlign w:val="center"/>
            <w:tcMar>
              <w:top w:w="65" w:type="dxa"/>
              <w:bottom w:w="65" w:type="dxa"/>
              <w:left w:w="65" w:type="dxa"/>
              <w:right w:w="65" w:type="dxa"/>
            </w:tcMar>
          </w:tcPr>
          <w:p>
            <w:pPr>
              <w:spacing w:after="0" w:line="240" w:lineRule="auto"/>
              <w:jc w:val="center"/>
            </w:pPr>
            <w:r>
              <w:rPr>
                <w:b w:val="0"/>
                <w:sz w:val="20"/>
              </w:rPr>
              <w:t>35</w:t>
            </w:r>
          </w:p>
        </w:tc>
        <w:tc>
          <w:tcPr>
            <w:tcW w:type="dxa" w:w="2160"/>
            <w:vAlign w:val="center"/>
            <w:tcMar>
              <w:top w:w="65" w:type="dxa"/>
              <w:bottom w:w="65" w:type="dxa"/>
              <w:left w:w="65" w:type="dxa"/>
              <w:right w:w="65" w:type="dxa"/>
            </w:tcMar>
          </w:tcPr>
          <w:p>
            <w:pPr>
              <w:spacing w:after="0" w:line="240" w:lineRule="auto"/>
              <w:jc w:val="center"/>
            </w:pPr>
            <w:r>
              <w:rPr>
                <w:b w:val="0"/>
                <w:sz w:val="20"/>
              </w:rPr>
              <w:t>40</w:t>
            </w:r>
          </w:p>
        </w:tc>
      </w:tr>
      <w:tr>
        <w:trPr>
          <w:cantSplit/>
        </w:trPr>
        <w:tc>
          <w:tcPr>
            <w:tcW w:type="dxa" w:w="3096"/>
            <w:vAlign w:val="center"/>
            <w:tcMar>
              <w:top w:w="65" w:type="dxa"/>
              <w:bottom w:w="65" w:type="dxa"/>
              <w:left w:w="65" w:type="dxa"/>
              <w:right w:w="65" w:type="dxa"/>
            </w:tcMar>
          </w:tcPr>
          <w:p>
            <w:pPr>
              <w:spacing w:after="0" w:line="240" w:lineRule="auto"/>
              <w:jc w:val="left"/>
            </w:pPr>
            <w:r>
              <w:rPr>
                <w:b w:val="0"/>
                <w:sz w:val="20"/>
              </w:rPr>
              <w:t>CrewAI</w:t>
            </w:r>
          </w:p>
        </w:tc>
        <w:tc>
          <w:tcPr>
            <w:tcW w:type="dxa" w:w="1800"/>
            <w:vAlign w:val="center"/>
            <w:tcMar>
              <w:top w:w="65" w:type="dxa"/>
              <w:bottom w:w="65" w:type="dxa"/>
              <w:left w:w="65" w:type="dxa"/>
              <w:right w:w="65" w:type="dxa"/>
            </w:tcMar>
          </w:tcPr>
          <w:p>
            <w:pPr>
              <w:spacing w:after="0" w:line="240" w:lineRule="auto"/>
              <w:jc w:val="center"/>
            </w:pPr>
            <w:r>
              <w:rPr>
                <w:b w:val="0"/>
                <w:sz w:val="20"/>
              </w:rPr>
              <w:t>24</w:t>
            </w:r>
          </w:p>
        </w:tc>
        <w:tc>
          <w:tcPr>
            <w:tcW w:type="dxa" w:w="1368"/>
            <w:vAlign w:val="center"/>
            <w:tcMar>
              <w:top w:w="65" w:type="dxa"/>
              <w:bottom w:w="65" w:type="dxa"/>
              <w:left w:w="65" w:type="dxa"/>
              <w:right w:w="65" w:type="dxa"/>
            </w:tcMar>
          </w:tcPr>
          <w:p>
            <w:pPr>
              <w:spacing w:after="0" w:line="240" w:lineRule="auto"/>
              <w:jc w:val="center"/>
            </w:pPr>
            <w:r>
              <w:rPr>
                <w:b w:val="0"/>
                <w:sz w:val="20"/>
              </w:rPr>
              <w:t>17</w:t>
            </w:r>
          </w:p>
        </w:tc>
        <w:tc>
          <w:tcPr>
            <w:tcW w:type="dxa" w:w="1944"/>
            <w:vAlign w:val="center"/>
            <w:tcMar>
              <w:top w:w="65" w:type="dxa"/>
              <w:bottom w:w="65" w:type="dxa"/>
              <w:left w:w="65" w:type="dxa"/>
              <w:right w:w="65" w:type="dxa"/>
            </w:tcMar>
          </w:tcPr>
          <w:p>
            <w:pPr>
              <w:spacing w:after="0" w:line="240" w:lineRule="auto"/>
              <w:jc w:val="center"/>
            </w:pPr>
            <w:r>
              <w:rPr>
                <w:b w:val="0"/>
                <w:sz w:val="20"/>
              </w:rPr>
              <w:t>13</w:t>
            </w:r>
          </w:p>
        </w:tc>
        <w:tc>
          <w:tcPr>
            <w:tcW w:type="dxa" w:w="2160"/>
            <w:vAlign w:val="center"/>
            <w:tcMar>
              <w:top w:w="65" w:type="dxa"/>
              <w:bottom w:w="65" w:type="dxa"/>
              <w:left w:w="65" w:type="dxa"/>
              <w:right w:w="65" w:type="dxa"/>
            </w:tcMar>
          </w:tcPr>
          <w:p>
            <w:pPr>
              <w:spacing w:after="0" w:line="240" w:lineRule="auto"/>
              <w:jc w:val="center"/>
            </w:pPr>
            <w:r>
              <w:rPr>
                <w:b w:val="0"/>
                <w:sz w:val="20"/>
              </w:rPr>
              <w:t>26</w:t>
            </w:r>
          </w:p>
        </w:tc>
      </w:tr>
      <w:tr>
        <w:trPr>
          <w:cantSplit/>
        </w:trPr>
        <w:tc>
          <w:tcPr>
            <w:tcW w:type="dxa" w:w="3096"/>
            <w:vAlign w:val="center"/>
            <w:tcMar>
              <w:top w:w="65" w:type="dxa"/>
              <w:bottom w:w="65" w:type="dxa"/>
              <w:left w:w="65" w:type="dxa"/>
              <w:right w:w="65" w:type="dxa"/>
            </w:tcMar>
          </w:tcPr>
          <w:p>
            <w:pPr>
              <w:spacing w:after="0" w:line="240" w:lineRule="auto"/>
              <w:jc w:val="left"/>
            </w:pPr>
            <w:r>
              <w:rPr>
                <w:b w:val="0"/>
                <w:sz w:val="20"/>
              </w:rPr>
              <w:t>Haystack</w:t>
            </w:r>
          </w:p>
        </w:tc>
        <w:tc>
          <w:tcPr>
            <w:tcW w:type="dxa" w:w="1800"/>
            <w:vAlign w:val="center"/>
            <w:tcMar>
              <w:top w:w="65" w:type="dxa"/>
              <w:bottom w:w="65" w:type="dxa"/>
              <w:left w:w="65" w:type="dxa"/>
              <w:right w:w="65" w:type="dxa"/>
            </w:tcMar>
          </w:tcPr>
          <w:p>
            <w:pPr>
              <w:spacing w:after="0" w:line="240" w:lineRule="auto"/>
              <w:jc w:val="center"/>
            </w:pPr>
            <w:r>
              <w:rPr>
                <w:b w:val="0"/>
                <w:sz w:val="20"/>
              </w:rPr>
              <w:t>3</w:t>
            </w:r>
          </w:p>
        </w:tc>
        <w:tc>
          <w:tcPr>
            <w:tcW w:type="dxa" w:w="1368"/>
            <w:vAlign w:val="center"/>
            <w:tcMar>
              <w:top w:w="65" w:type="dxa"/>
              <w:bottom w:w="65" w:type="dxa"/>
              <w:left w:w="65" w:type="dxa"/>
              <w:right w:w="65" w:type="dxa"/>
            </w:tcMar>
          </w:tcPr>
          <w:p>
            <w:pPr>
              <w:spacing w:after="0" w:line="240" w:lineRule="auto"/>
              <w:jc w:val="center"/>
            </w:pPr>
            <w:r>
              <w:rPr>
                <w:b w:val="0"/>
                <w:sz w:val="20"/>
              </w:rPr>
              <w:t>3</w:t>
            </w:r>
          </w:p>
        </w:tc>
        <w:tc>
          <w:tcPr>
            <w:tcW w:type="dxa" w:w="1944"/>
            <w:vAlign w:val="center"/>
            <w:tcMar>
              <w:top w:w="65" w:type="dxa"/>
              <w:bottom w:w="65" w:type="dxa"/>
              <w:left w:w="65" w:type="dxa"/>
              <w:right w:w="65" w:type="dxa"/>
            </w:tcMar>
          </w:tcPr>
          <w:p>
            <w:pPr>
              <w:spacing w:after="0" w:line="240" w:lineRule="auto"/>
              <w:jc w:val="center"/>
            </w:pPr>
            <w:r>
              <w:rPr>
                <w:b w:val="0"/>
                <w:sz w:val="20"/>
              </w:rPr>
              <w:t>2</w:t>
            </w:r>
          </w:p>
        </w:tc>
        <w:tc>
          <w:tcPr>
            <w:tcW w:type="dxa" w:w="2160"/>
            <w:vAlign w:val="center"/>
            <w:tcMar>
              <w:top w:w="65" w:type="dxa"/>
              <w:bottom w:w="65" w:type="dxa"/>
              <w:left w:w="65" w:type="dxa"/>
              <w:right w:w="65" w:type="dxa"/>
            </w:tcMar>
          </w:tcPr>
          <w:p>
            <w:pPr>
              <w:spacing w:after="0" w:line="240" w:lineRule="auto"/>
              <w:jc w:val="center"/>
            </w:pPr>
            <w:r>
              <w:rPr>
                <w:b w:val="0"/>
                <w:sz w:val="20"/>
              </w:rPr>
              <w:t>4</w:t>
            </w:r>
          </w:p>
        </w:tc>
      </w:tr>
      <w:tr>
        <w:trPr>
          <w:cantSplit/>
        </w:trPr>
        <w:tc>
          <w:tcPr>
            <w:tcW w:type="dxa" w:w="3096"/>
            <w:vAlign w:val="center"/>
            <w:tcMar>
              <w:top w:w="65" w:type="dxa"/>
              <w:bottom w:w="65" w:type="dxa"/>
              <w:left w:w="65" w:type="dxa"/>
              <w:right w:w="65" w:type="dxa"/>
            </w:tcMar>
          </w:tcPr>
          <w:p>
            <w:pPr>
              <w:spacing w:after="0" w:line="240" w:lineRule="auto"/>
              <w:jc w:val="left"/>
            </w:pPr>
            <w:r>
              <w:rPr>
                <w:b w:val="0"/>
                <w:sz w:val="20"/>
              </w:rPr>
              <w:t>smolagents</w:t>
            </w:r>
          </w:p>
        </w:tc>
        <w:tc>
          <w:tcPr>
            <w:tcW w:type="dxa" w:w="1800"/>
            <w:vAlign w:val="center"/>
            <w:tcMar>
              <w:top w:w="65" w:type="dxa"/>
              <w:bottom w:w="65" w:type="dxa"/>
              <w:left w:w="65" w:type="dxa"/>
              <w:right w:w="65" w:type="dxa"/>
            </w:tcMar>
          </w:tcPr>
          <w:p>
            <w:pPr>
              <w:spacing w:after="0" w:line="240" w:lineRule="auto"/>
              <w:jc w:val="center"/>
            </w:pPr>
            <w:r>
              <w:rPr>
                <w:b w:val="0"/>
                <w:sz w:val="20"/>
              </w:rPr>
              <w:t>22</w:t>
            </w:r>
          </w:p>
        </w:tc>
        <w:tc>
          <w:tcPr>
            <w:tcW w:type="dxa" w:w="1368"/>
            <w:vAlign w:val="center"/>
            <w:tcMar>
              <w:top w:w="65" w:type="dxa"/>
              <w:bottom w:w="65" w:type="dxa"/>
              <w:left w:w="65" w:type="dxa"/>
              <w:right w:w="65" w:type="dxa"/>
            </w:tcMar>
          </w:tcPr>
          <w:p>
            <w:pPr>
              <w:spacing w:after="0" w:line="240" w:lineRule="auto"/>
              <w:jc w:val="center"/>
            </w:pPr>
            <w:r>
              <w:rPr>
                <w:b w:val="0"/>
                <w:sz w:val="20"/>
              </w:rPr>
              <w:t>20</w:t>
            </w:r>
          </w:p>
        </w:tc>
        <w:tc>
          <w:tcPr>
            <w:tcW w:type="dxa" w:w="1944"/>
            <w:vAlign w:val="center"/>
            <w:tcMar>
              <w:top w:w="65" w:type="dxa"/>
              <w:bottom w:w="65" w:type="dxa"/>
              <w:left w:w="65" w:type="dxa"/>
              <w:right w:w="65" w:type="dxa"/>
            </w:tcMar>
          </w:tcPr>
          <w:p>
            <w:pPr>
              <w:spacing w:after="0" w:line="240" w:lineRule="auto"/>
              <w:jc w:val="center"/>
            </w:pPr>
            <w:r>
              <w:rPr>
                <w:b w:val="0"/>
                <w:sz w:val="20"/>
              </w:rPr>
              <w:t>18</w:t>
            </w:r>
          </w:p>
        </w:tc>
        <w:tc>
          <w:tcPr>
            <w:tcW w:type="dxa" w:w="2160"/>
            <w:vAlign w:val="center"/>
            <w:tcMar>
              <w:top w:w="65" w:type="dxa"/>
              <w:bottom w:w="65" w:type="dxa"/>
              <w:left w:w="65" w:type="dxa"/>
              <w:right w:w="65" w:type="dxa"/>
            </w:tcMar>
          </w:tcPr>
          <w:p>
            <w:pPr>
              <w:spacing w:after="0" w:line="240" w:lineRule="auto"/>
              <w:jc w:val="center"/>
            </w:pPr>
            <w:r>
              <w:rPr>
                <w:b w:val="0"/>
                <w:sz w:val="20"/>
              </w:rPr>
              <w:t>20</w:t>
            </w:r>
          </w:p>
        </w:tc>
      </w:tr>
      <w:tr>
        <w:trPr>
          <w:cantSplit/>
        </w:trPr>
        <w:tc>
          <w:tcPr>
            <w:tcW w:type="dxa" w:w="3096"/>
            <w:vAlign w:val="center"/>
            <w:tcMar>
              <w:top w:w="65" w:type="dxa"/>
              <w:bottom w:w="65" w:type="dxa"/>
              <w:left w:w="65" w:type="dxa"/>
              <w:right w:w="65" w:type="dxa"/>
            </w:tcMar>
          </w:tcPr>
          <w:p>
            <w:pPr>
              <w:spacing w:after="0" w:line="240" w:lineRule="auto"/>
              <w:jc w:val="left"/>
            </w:pPr>
            <w:r>
              <w:rPr>
                <w:b/>
                <w:sz w:val="20"/>
              </w:rPr>
              <w:t>Total</w:t>
            </w:r>
          </w:p>
        </w:tc>
        <w:tc>
          <w:tcPr>
            <w:tcW w:type="dxa" w:w="1800"/>
            <w:vAlign w:val="center"/>
            <w:tcMar>
              <w:top w:w="65" w:type="dxa"/>
              <w:bottom w:w="65" w:type="dxa"/>
              <w:left w:w="65" w:type="dxa"/>
              <w:right w:w="65" w:type="dxa"/>
            </w:tcMar>
          </w:tcPr>
          <w:p>
            <w:pPr>
              <w:spacing w:after="0" w:line="240" w:lineRule="auto"/>
              <w:jc w:val="center"/>
            </w:pPr>
            <w:r>
              <w:rPr>
                <w:b/>
                <w:sz w:val="20"/>
              </w:rPr>
              <w:t>1,613</w:t>
            </w:r>
          </w:p>
        </w:tc>
        <w:tc>
          <w:tcPr>
            <w:tcW w:type="dxa" w:w="1368"/>
            <w:vAlign w:val="center"/>
            <w:tcMar>
              <w:top w:w="65" w:type="dxa"/>
              <w:bottom w:w="65" w:type="dxa"/>
              <w:left w:w="65" w:type="dxa"/>
              <w:right w:w="65" w:type="dxa"/>
            </w:tcMar>
          </w:tcPr>
          <w:p>
            <w:pPr>
              <w:spacing w:after="0" w:line="240" w:lineRule="auto"/>
              <w:jc w:val="center"/>
            </w:pPr>
            <w:r>
              <w:rPr>
                <w:b/>
                <w:sz w:val="20"/>
              </w:rPr>
              <w:t>641</w:t>
            </w:r>
          </w:p>
        </w:tc>
        <w:tc>
          <w:tcPr>
            <w:tcW w:type="dxa" w:w="1944"/>
            <w:vAlign w:val="center"/>
            <w:tcMar>
              <w:top w:w="65" w:type="dxa"/>
              <w:bottom w:w="65" w:type="dxa"/>
              <w:left w:w="65" w:type="dxa"/>
              <w:right w:w="65" w:type="dxa"/>
            </w:tcMar>
          </w:tcPr>
          <w:p>
            <w:pPr>
              <w:spacing w:after="0" w:line="240" w:lineRule="auto"/>
              <w:jc w:val="center"/>
            </w:pPr>
            <w:r>
              <w:rPr>
                <w:b/>
                <w:sz w:val="20"/>
              </w:rPr>
              <w:t>597</w:t>
            </w:r>
          </w:p>
        </w:tc>
        <w:tc>
          <w:tcPr>
            <w:tcW w:type="dxa" w:w="2160"/>
            <w:vAlign w:val="center"/>
            <w:tcMar>
              <w:top w:w="65" w:type="dxa"/>
              <w:bottom w:w="65" w:type="dxa"/>
              <w:left w:w="65" w:type="dxa"/>
              <w:right w:w="65" w:type="dxa"/>
            </w:tcMar>
          </w:tcPr>
          <w:p>
            <w:pPr>
              <w:spacing w:after="0" w:line="240" w:lineRule="auto"/>
              <w:jc w:val="center"/>
            </w:pPr>
            <w:r>
              <w:rPr>
                <w:b/>
                <w:sz w:val="20"/>
              </w:rPr>
              <w:t>693</w:t>
            </w:r>
          </w:p>
        </w:tc>
      </w:tr>
    </w:tbl>
    <w:p>
      <w:pPr>
        <w:spacing w:before="100"/>
      </w:pPr>
      <w:r>
        <w:rPr>
          <w:sz w:val="20"/>
        </w:rPr>
        <w:t>D = DEPRECATED. All columns except Strict plus D exclude the standalone deprecation marker.</w:t>
      </w:r>
    </w:p>
    <w:p>
      <w:pPr>
        <w:pStyle w:val="Heading1"/>
      </w:pPr>
      <w:r>
        <w:t>What the results mean</w:t>
      </w:r>
    </w:p>
    <w:p>
      <w:r>
        <w:t>Adding DEPRECATED introduces 972 additional candidates, including 878 in LangChain. This large increase supports keeping deprecation separate for contextual review. Anchoring removes 44 strict candidates by excluding markers later in a comment line; some genuine admissions may also be removed. The loose phrases add 52 candidates beyond strict matching, broadening the review pool to 693.</w:t>
      </w:r>
    </w:p>
    <w:p>
      <w:r>
        <w:t>Strict candidates account for 92.50% of the full candidate pool. This measures candidate coverage, not SATD recall. The keywords remain proposed: candidate counts do not establish confirmed debt, and manual validation is needed to estimate precision. These results use new pinned snapshots and do not reproduce the unavailable pilot.</w:t>
      </w:r>
    </w:p>
    <w:p>
      <w:r>
        <w:br w:type="page"/>
      </w:r>
    </w:p>
    <w:p>
      <w:pPr>
        <w:pStyle w:val="Heading1"/>
      </w:pPr>
      <w:r>
        <w:t>Contextual review of two repositories</w:t>
      </w:r>
    </w:p>
    <w:p>
      <w:r>
        <w:t>AI-assisted assessment of LangChain and LlamaIndex</w:t>
      </w:r>
    </w:p>
    <w:p>
      <w:r>
        <w:t>Each sampled comment was read with its source-code context and assigned SATD, non-SATD or uncertain, with a written reason. Expanded context was inspected for ambiguous cases. SATD required an acknowledgement of an existing compromise, deficiency, shortcut or deferred corrective work. These are Codex judgments, not independent human labels.</w:t>
      </w:r>
    </w:p>
    <w:p>
      <w:pPr>
        <w:pStyle w:val="Heading1"/>
      </w:pPr>
      <w:r>
        <w:t>Review results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1728"/>
        <w:gridCol w:w="1584"/>
        <w:gridCol w:w="1944"/>
        <w:gridCol w:w="1944"/>
      </w:tblGrid>
      <w:tr>
        <w:trPr>
          <w:tblHeader/>
          <w:cantSplit/>
        </w:trPr>
        <w:tc>
          <w:tcPr>
            <w:tcW w:type="dxa" w:w="3168"/>
            <w:vAlign w:val="center"/>
            <w:tcMar>
              <w:top w:w="85" w:type="dxa"/>
              <w:bottom w:w="85" w:type="dxa"/>
              <w:left w:w="85" w:type="dxa"/>
              <w:right w:w="85" w:type="dxa"/>
            </w:tcMar>
            <w:shd w:fill="E8EEF4"/>
          </w:tcPr>
          <w:p>
            <w:pPr>
              <w:spacing w:after="0"/>
              <w:jc w:val="left"/>
            </w:pPr>
            <w:r>
              <w:rPr>
                <w:b/>
                <w:sz w:val="20"/>
              </w:rPr>
              <w:t>Repository</w:t>
            </w:r>
          </w:p>
        </w:tc>
        <w:tc>
          <w:tcPr>
            <w:tcW w:type="dxa" w:w="1728"/>
            <w:vAlign w:val="center"/>
            <w:tcMar>
              <w:top w:w="85" w:type="dxa"/>
              <w:bottom w:w="85" w:type="dxa"/>
              <w:left w:w="85" w:type="dxa"/>
              <w:right w:w="85" w:type="dxa"/>
            </w:tcMar>
            <w:shd w:fill="E8EEF4"/>
          </w:tcPr>
          <w:p>
            <w:pPr>
              <w:spacing w:after="0"/>
              <w:jc w:val="center"/>
            </w:pPr>
            <w:r>
              <w:rPr>
                <w:b/>
                <w:sz w:val="20"/>
              </w:rPr>
              <w:t>Reviewed</w:t>
            </w:r>
          </w:p>
        </w:tc>
        <w:tc>
          <w:tcPr>
            <w:tcW w:type="dxa" w:w="1584"/>
            <w:vAlign w:val="center"/>
            <w:tcMar>
              <w:top w:w="85" w:type="dxa"/>
              <w:bottom w:w="85" w:type="dxa"/>
              <w:left w:w="85" w:type="dxa"/>
              <w:right w:w="85" w:type="dxa"/>
            </w:tcMar>
            <w:shd w:fill="E8EEF4"/>
          </w:tcPr>
          <w:p>
            <w:pPr>
              <w:spacing w:after="0"/>
              <w:jc w:val="center"/>
            </w:pPr>
            <w:r>
              <w:rPr>
                <w:b/>
                <w:sz w:val="20"/>
              </w:rPr>
              <w:t>SATD</w:t>
            </w:r>
          </w:p>
        </w:tc>
        <w:tc>
          <w:tcPr>
            <w:tcW w:type="dxa" w:w="1944"/>
            <w:vAlign w:val="center"/>
            <w:tcMar>
              <w:top w:w="85" w:type="dxa"/>
              <w:bottom w:w="85" w:type="dxa"/>
              <w:left w:w="85" w:type="dxa"/>
              <w:right w:w="85" w:type="dxa"/>
            </w:tcMar>
            <w:shd w:fill="E8EEF4"/>
          </w:tcPr>
          <w:p>
            <w:pPr>
              <w:spacing w:after="0"/>
              <w:jc w:val="center"/>
            </w:pPr>
            <w:r>
              <w:rPr>
                <w:b/>
                <w:sz w:val="20"/>
              </w:rPr>
              <w:t>Non-SATD</w:t>
            </w:r>
          </w:p>
        </w:tc>
        <w:tc>
          <w:tcPr>
            <w:tcW w:type="dxa" w:w="1944"/>
            <w:vAlign w:val="center"/>
            <w:tcMar>
              <w:top w:w="85" w:type="dxa"/>
              <w:bottom w:w="85" w:type="dxa"/>
              <w:left w:w="85" w:type="dxa"/>
              <w:right w:w="85" w:type="dxa"/>
            </w:tcMar>
            <w:shd w:fill="E8EEF4"/>
          </w:tcPr>
          <w:p>
            <w:pPr>
              <w:spacing w:after="0"/>
              <w:jc w:val="center"/>
            </w:pPr>
            <w:r>
              <w:rPr>
                <w:b/>
                <w:sz w:val="20"/>
              </w:rPr>
              <w:t>Uncertain</w:t>
            </w:r>
          </w:p>
        </w:tc>
      </w:tr>
      <w:tr>
        <w:trPr>
          <w:cantSplit/>
        </w:trPr>
        <w:tc>
          <w:tcPr>
            <w:tcW w:type="dxa" w:w="3168"/>
            <w:vAlign w:val="center"/>
            <w:tcMar>
              <w:top w:w="85" w:type="dxa"/>
              <w:bottom w:w="85" w:type="dxa"/>
              <w:left w:w="85" w:type="dxa"/>
              <w:right w:w="85" w:type="dxa"/>
            </w:tcMar>
          </w:tcPr>
          <w:p>
            <w:pPr>
              <w:spacing w:after="0"/>
              <w:jc w:val="left"/>
            </w:pPr>
            <w:r>
              <w:rPr>
                <w:b w:val="0"/>
                <w:sz w:val="20"/>
              </w:rPr>
              <w:t>LangChain</w:t>
            </w:r>
          </w:p>
        </w:tc>
        <w:tc>
          <w:tcPr>
            <w:tcW w:type="dxa" w:w="1728"/>
            <w:vAlign w:val="center"/>
            <w:tcMar>
              <w:top w:w="85" w:type="dxa"/>
              <w:bottom w:w="85" w:type="dxa"/>
              <w:left w:w="85" w:type="dxa"/>
              <w:right w:w="85" w:type="dxa"/>
            </w:tcMar>
          </w:tcPr>
          <w:p>
            <w:pPr>
              <w:spacing w:after="0"/>
              <w:jc w:val="center"/>
            </w:pPr>
            <w:r>
              <w:rPr>
                <w:b w:val="0"/>
                <w:sz w:val="20"/>
              </w:rPr>
              <w:t>27</w:t>
            </w:r>
          </w:p>
        </w:tc>
        <w:tc>
          <w:tcPr>
            <w:tcW w:type="dxa" w:w="1584"/>
            <w:vAlign w:val="center"/>
            <w:tcMar>
              <w:top w:w="85" w:type="dxa"/>
              <w:bottom w:w="85" w:type="dxa"/>
              <w:left w:w="85" w:type="dxa"/>
              <w:right w:w="85" w:type="dxa"/>
            </w:tcMar>
          </w:tcPr>
          <w:p>
            <w:pPr>
              <w:spacing w:after="0"/>
              <w:jc w:val="center"/>
            </w:pPr>
            <w:r>
              <w:rPr>
                <w:b w:val="0"/>
                <w:sz w:val="20"/>
              </w:rPr>
              <w:t>17</w:t>
            </w:r>
          </w:p>
        </w:tc>
        <w:tc>
          <w:tcPr>
            <w:tcW w:type="dxa" w:w="1944"/>
            <w:vAlign w:val="center"/>
            <w:tcMar>
              <w:top w:w="85" w:type="dxa"/>
              <w:bottom w:w="85" w:type="dxa"/>
              <w:left w:w="85" w:type="dxa"/>
              <w:right w:w="85" w:type="dxa"/>
            </w:tcMar>
          </w:tcPr>
          <w:p>
            <w:pPr>
              <w:spacing w:after="0"/>
              <w:jc w:val="center"/>
            </w:pPr>
            <w:r>
              <w:rPr>
                <w:b w:val="0"/>
                <w:sz w:val="20"/>
              </w:rPr>
              <w:t>9</w:t>
            </w:r>
          </w:p>
        </w:tc>
        <w:tc>
          <w:tcPr>
            <w:tcW w:type="dxa" w:w="1944"/>
            <w:vAlign w:val="center"/>
            <w:tcMar>
              <w:top w:w="85" w:type="dxa"/>
              <w:bottom w:w="85" w:type="dxa"/>
              <w:left w:w="85" w:type="dxa"/>
              <w:right w:w="85" w:type="dxa"/>
            </w:tcMar>
          </w:tcPr>
          <w:p>
            <w:pPr>
              <w:spacing w:after="0"/>
              <w:jc w:val="center"/>
            </w:pPr>
            <w:r>
              <w:rPr>
                <w:b w:val="0"/>
                <w:sz w:val="20"/>
              </w:rPr>
              <w:t>1</w:t>
            </w:r>
          </w:p>
        </w:tc>
      </w:tr>
      <w:tr>
        <w:trPr>
          <w:cantSplit/>
        </w:trPr>
        <w:tc>
          <w:tcPr>
            <w:tcW w:type="dxa" w:w="3168"/>
            <w:vAlign w:val="center"/>
            <w:tcMar>
              <w:top w:w="85" w:type="dxa"/>
              <w:bottom w:w="85" w:type="dxa"/>
              <w:left w:w="85" w:type="dxa"/>
              <w:right w:w="85" w:type="dxa"/>
            </w:tcMar>
          </w:tcPr>
          <w:p>
            <w:pPr>
              <w:spacing w:after="0"/>
              <w:jc w:val="left"/>
            </w:pPr>
            <w:r>
              <w:rPr>
                <w:b w:val="0"/>
                <w:sz w:val="20"/>
              </w:rPr>
              <w:t>LlamaIndex</w:t>
            </w:r>
          </w:p>
        </w:tc>
        <w:tc>
          <w:tcPr>
            <w:tcW w:type="dxa" w:w="1728"/>
            <w:vAlign w:val="center"/>
            <w:tcMar>
              <w:top w:w="85" w:type="dxa"/>
              <w:bottom w:w="85" w:type="dxa"/>
              <w:left w:w="85" w:type="dxa"/>
              <w:right w:w="85" w:type="dxa"/>
            </w:tcMar>
          </w:tcPr>
          <w:p>
            <w:pPr>
              <w:spacing w:after="0"/>
              <w:jc w:val="center"/>
            </w:pPr>
            <w:r>
              <w:rPr>
                <w:b w:val="0"/>
                <w:sz w:val="20"/>
              </w:rPr>
              <w:t>30</w:t>
            </w:r>
          </w:p>
        </w:tc>
        <w:tc>
          <w:tcPr>
            <w:tcW w:type="dxa" w:w="1584"/>
            <w:vAlign w:val="center"/>
            <w:tcMar>
              <w:top w:w="85" w:type="dxa"/>
              <w:bottom w:w="85" w:type="dxa"/>
              <w:left w:w="85" w:type="dxa"/>
              <w:right w:w="85" w:type="dxa"/>
            </w:tcMar>
          </w:tcPr>
          <w:p>
            <w:pPr>
              <w:spacing w:after="0"/>
              <w:jc w:val="center"/>
            </w:pPr>
            <w:r>
              <w:rPr>
                <w:b w:val="0"/>
                <w:sz w:val="20"/>
              </w:rPr>
              <w:t>13</w:t>
            </w:r>
          </w:p>
        </w:tc>
        <w:tc>
          <w:tcPr>
            <w:tcW w:type="dxa" w:w="1944"/>
            <w:vAlign w:val="center"/>
            <w:tcMar>
              <w:top w:w="85" w:type="dxa"/>
              <w:bottom w:w="85" w:type="dxa"/>
              <w:left w:w="85" w:type="dxa"/>
              <w:right w:w="85" w:type="dxa"/>
            </w:tcMar>
          </w:tcPr>
          <w:p>
            <w:pPr>
              <w:spacing w:after="0"/>
              <w:jc w:val="center"/>
            </w:pPr>
            <w:r>
              <w:rPr>
                <w:b w:val="0"/>
                <w:sz w:val="20"/>
              </w:rPr>
              <w:t>6</w:t>
            </w:r>
          </w:p>
        </w:tc>
        <w:tc>
          <w:tcPr>
            <w:tcW w:type="dxa" w:w="1944"/>
            <w:vAlign w:val="center"/>
            <w:tcMar>
              <w:top w:w="85" w:type="dxa"/>
              <w:bottom w:w="85" w:type="dxa"/>
              <w:left w:w="85" w:type="dxa"/>
              <w:right w:w="85" w:type="dxa"/>
            </w:tcMar>
          </w:tcPr>
          <w:p>
            <w:pPr>
              <w:spacing w:after="0"/>
              <w:jc w:val="center"/>
            </w:pPr>
            <w:r>
              <w:rPr>
                <w:b w:val="0"/>
                <w:sz w:val="20"/>
              </w:rPr>
              <w:t>11</w:t>
            </w:r>
          </w:p>
        </w:tc>
      </w:tr>
      <w:tr>
        <w:trPr>
          <w:cantSplit/>
        </w:trPr>
        <w:tc>
          <w:tcPr>
            <w:tcW w:type="dxa" w:w="3168"/>
            <w:vAlign w:val="center"/>
            <w:tcMar>
              <w:top w:w="85" w:type="dxa"/>
              <w:bottom w:w="85" w:type="dxa"/>
              <w:left w:w="85" w:type="dxa"/>
              <w:right w:w="85" w:type="dxa"/>
            </w:tcMar>
          </w:tcPr>
          <w:p>
            <w:pPr>
              <w:spacing w:after="0"/>
              <w:jc w:val="left"/>
            </w:pPr>
            <w:r>
              <w:rPr>
                <w:b/>
                <w:sz w:val="20"/>
              </w:rPr>
              <w:t>Total</w:t>
            </w:r>
          </w:p>
        </w:tc>
        <w:tc>
          <w:tcPr>
            <w:tcW w:type="dxa" w:w="1728"/>
            <w:vAlign w:val="center"/>
            <w:tcMar>
              <w:top w:w="85" w:type="dxa"/>
              <w:bottom w:w="85" w:type="dxa"/>
              <w:left w:w="85" w:type="dxa"/>
              <w:right w:w="85" w:type="dxa"/>
            </w:tcMar>
          </w:tcPr>
          <w:p>
            <w:pPr>
              <w:spacing w:after="0"/>
              <w:jc w:val="center"/>
            </w:pPr>
            <w:r>
              <w:rPr>
                <w:b/>
                <w:sz w:val="20"/>
              </w:rPr>
              <w:t>57</w:t>
            </w:r>
          </w:p>
        </w:tc>
        <w:tc>
          <w:tcPr>
            <w:tcW w:type="dxa" w:w="1584"/>
            <w:vAlign w:val="center"/>
            <w:tcMar>
              <w:top w:w="85" w:type="dxa"/>
              <w:bottom w:w="85" w:type="dxa"/>
              <w:left w:w="85" w:type="dxa"/>
              <w:right w:w="85" w:type="dxa"/>
            </w:tcMar>
          </w:tcPr>
          <w:p>
            <w:pPr>
              <w:spacing w:after="0"/>
              <w:jc w:val="center"/>
            </w:pPr>
            <w:r>
              <w:rPr>
                <w:b/>
                <w:sz w:val="20"/>
              </w:rPr>
              <w:t>30</w:t>
            </w:r>
          </w:p>
        </w:tc>
        <w:tc>
          <w:tcPr>
            <w:tcW w:type="dxa" w:w="1944"/>
            <w:vAlign w:val="center"/>
            <w:tcMar>
              <w:top w:w="85" w:type="dxa"/>
              <w:bottom w:w="85" w:type="dxa"/>
              <w:left w:w="85" w:type="dxa"/>
              <w:right w:w="85" w:type="dxa"/>
            </w:tcMar>
          </w:tcPr>
          <w:p>
            <w:pPr>
              <w:spacing w:after="0"/>
              <w:jc w:val="center"/>
            </w:pPr>
            <w:r>
              <w:rPr>
                <w:b/>
                <w:sz w:val="20"/>
              </w:rPr>
              <w:t>15</w:t>
            </w:r>
          </w:p>
        </w:tc>
        <w:tc>
          <w:tcPr>
            <w:tcW w:type="dxa" w:w="1944"/>
            <w:vAlign w:val="center"/>
            <w:tcMar>
              <w:top w:w="85" w:type="dxa"/>
              <w:bottom w:w="85" w:type="dxa"/>
              <w:left w:w="85" w:type="dxa"/>
              <w:right w:w="85" w:type="dxa"/>
            </w:tcMar>
          </w:tcPr>
          <w:p>
            <w:pPr>
              <w:spacing w:after="0"/>
              <w:jc w:val="center"/>
            </w:pPr>
            <w:r>
              <w:rPr>
                <w:b/>
                <w:sz w:val="20"/>
              </w:rPr>
              <w:t>12</w:t>
            </w:r>
          </w:p>
        </w:tc>
      </w:tr>
    </w:tbl>
    <w:p>
      <w:pPr>
        <w:spacing w:before="120"/>
      </w:pPr>
      <w:r>
        <w:t>Scope: 57 comments from the existing seeded 100-comment review sample, not all 372 candidates in these two repositories. The ten-repository sensitivity counts remain unchanged.</w:t>
      </w:r>
    </w:p>
    <w:p>
      <w:pPr>
        <w:pStyle w:val="Heading1"/>
      </w:pPr>
      <w:r>
        <w:t>Implications for keyword selection</w:t>
      </w:r>
    </w:p>
    <w:p>
      <w:r>
        <w:t>The review supports using keywords to find candidates for contextual assessment rather than treating every match as confirmed debt. Thirty comments received SATD labels, while 15 received non-SATD labels. For example, LangChain comments explicitly describing temporary async workarounds and a LlamaIndex comment admitting missing streaming-output validation were labelled SATD. A hard-coded response in a fake test model and hard-coded security allowlists were labelled non-SATD because they described intentional behavior without an admitted deficiency.</w:t>
      </w:r>
    </w:p>
    <w:p>
      <w:r>
        <w:t>The 12 uncertain cases show why TODO alone is insufficient. Some request optional features; others may be stale or do not explain the remaining deficiency. LlamaIndex accounted for 11 uncertain cases, so its comments particularly need human adjudication. Uncertain cases should remain visible rather than being forced into either binary category.</w:t>
      </w:r>
    </w:p>
    <w:p>
      <w:pPr>
        <w:pStyle w:val="Heading1"/>
      </w:pPr>
      <w:r>
        <w:t>What can be claimed in the report</w:t>
      </w:r>
    </w:p>
    <w:p>
      <w:r>
        <w:t>The study demonstrates that candidate counts are sensitive to keyword and anchoring choices, and the contextual AI assessment identifies both plausible debt admissions and false-positive matches. It does not establish human-validated detector precision. The original 100-comment sample deliberately oversampled loose-only candidates, and these 57 comments are a subset of that stratified sample; a simple 30/57 ratio is therefore not an overall precision estimate. Reviewing only flagged comments also cannot establish absolute recall.</w:t>
      </w:r>
    </w:p>
    <w:p>
      <w:r>
        <w:t>Retain the current keyword configuration as provisional until human reviewers confirm labels and adjudicate uncertainty. No reviewer agreement or Cohen's kappa can be reported from a single AI assessment. If the patterns change after calibration, evaluate a fresh held-out sample before reporting validation results.</w:t>
      </w:r>
    </w:p>
    <w:p>
      <w:pPr>
        <w:spacing w:before="120"/>
      </w:pPr>
      <w:r>
        <w:rPr>
          <w:sz w:val="20"/>
        </w:rPr>
        <w:t>Evidence: AI_review_LangChain_LlamaIndex.csv retains all 57 comment IDs, pinned source links, reviewed context, AI labels and reasons. The original human-review sheets remain blank.</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SATD keywords and sensitivity results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