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0251D"/>
          <w:sz w:val="60"/>
        </w:rPr>
        <w:t>RETAIL</w:t>
      </w:r>
      <w:r>
        <w:rPr>
          <w:b/>
          <w:color w:val="16865A"/>
          <w:sz w:val="60"/>
        </w:rPr>
        <w:t>IQ</w:t>
      </w:r>
    </w:p>
    <w:p>
      <w:pPr>
        <w:jc w:val="center"/>
      </w:pPr>
      <w:r>
        <w:rPr>
          <w:b/>
          <w:color w:val="16865A"/>
          <w:sz w:val="46"/>
        </w:rPr>
        <w:t>Revenue &amp; Customer Intelligence</w:t>
      </w:r>
    </w:p>
    <w:p>
      <w:pPr>
        <w:jc w:val="center"/>
      </w:pPr>
      <w:r>
        <w:rPr>
          <w:color w:val="5B6B63"/>
          <w:sz w:val="30"/>
        </w:rPr>
        <w:t>Business Project Documentation</w:t>
      </w:r>
    </w:p>
    <w:p/>
    <w:tbl>
      <w:tblPr>
        <w:tblW w:type="auto" w:w="0"/>
        <w:jc w:val="center"/>
        <w:tblLook w:firstColumn="1" w:firstRow="1" w:lastColumn="0" w:lastRow="0" w:noHBand="0" w:noVBand="1" w:val="04A0"/>
      </w:tblPr>
      <w:tblGrid>
        <w:gridCol w:w="10080"/>
      </w:tblGrid>
      <w:tr>
        <w:tc>
          <w:tcPr>
            <w:tcW w:type="dxa" w:w="10080"/>
            <w:shd w:fill="DDF7E9"/>
          </w:tcPr>
          <w:p>
            <w:r>
              <w:rPr>
                <w:b/>
                <w:color w:val="16865A"/>
                <w:sz w:val="22"/>
              </w:rPr>
              <w:t>THE PROJECT IN ONE SENTENCE</w:t>
              <w:br/>
            </w:r>
            <w:r>
              <w:rPr>
                <w:color w:val="10251D"/>
                <w:sz w:val="20"/>
              </w:rPr>
              <w:t>We transformed messy online retail transaction data into a business intelligence product that explains revenue, customer value, product performance, returns, anomalies and the actions management should investigate next.</w:t>
            </w:r>
          </w:p>
        </w:tc>
      </w:tr>
    </w:tbl>
    <w:p/>
    <w:p>
      <w:pPr>
        <w:jc w:val="center"/>
      </w:pPr>
      <w:r>
        <w:rPr>
          <w:color w:val="5B6B63"/>
          <w:sz w:val="20"/>
        </w:rPr>
        <w:t>Domain: E-commerce / Retail Analytics  •  Dataset: UCI Online Retail II</w:t>
      </w:r>
    </w:p>
    <w:p>
      <w:r>
        <w:br w:type="page"/>
      </w:r>
    </w:p>
    <w:p>
      <w:pPr>
        <w:pStyle w:val="Heading1"/>
      </w:pPr>
      <w:r>
        <w:t>1. Executive Summary</w:t>
      </w:r>
    </w:p>
    <w:p>
      <w:r>
        <w:t>RetailIQ was created to answer a practical business question: “What is really driving revenue, where is customer value concentrated, and where are we losing or risking revenue?” The project starts with raw online retail transactions and ends with an interactive management dashboard.</w:t>
      </w:r>
    </w:p>
    <w:p>
      <w:r>
        <w:t>The focus was deliberately business-first. We did not simply make charts. We cleaned the transaction history, separated normal sales from cancellations and operational records, created business-friendly fields, segmented customers, measured product return risk, investigated anomalies and translated the findings into decision-oriented recommendations.</w:t>
      </w:r>
    </w:p>
    <w:tbl>
      <w:tblPr>
        <w:tblW w:type="auto" w:w="0"/>
        <w:jc w:val="center"/>
        <w:tblLook w:firstColumn="1" w:firstRow="1" w:lastColumn="0" w:lastRow="0" w:noHBand="0" w:noVBand="1" w:val="04A0"/>
      </w:tblPr>
      <w:tblGrid>
        <w:gridCol w:w="10080"/>
      </w:tblGrid>
      <w:tr>
        <w:tc>
          <w:tcPr>
            <w:tcW w:type="dxa" w:w="10080"/>
            <w:shd w:fill="DDF7E9"/>
          </w:tcPr>
          <w:p>
            <w:r>
              <w:rPr>
                <w:b/>
                <w:color w:val="16865A"/>
                <w:sz w:val="22"/>
              </w:rPr>
              <w:t>WHAT THE FINAL PRODUCT DOES</w:t>
              <w:br/>
            </w:r>
            <w:r>
              <w:rPr>
                <w:color w:val="10251D"/>
                <w:sz w:val="20"/>
              </w:rPr>
              <w:t>A manager can filter the business by time, market, customer segment and sales scope, then move from overall performance → customer economics → product/return risk → recommended actions.</w:t>
            </w:r>
          </w:p>
        </w:tc>
      </w:tr>
    </w:tbl>
    <w:p/>
    <w:p>
      <w:pPr>
        <w:pStyle w:val="Heading2"/>
      </w:pPr>
      <w:r>
        <w:t>Project outcome at a glance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865A"/>
          </w:tcPr>
          <w:p>
            <w:r/>
            <w:r>
              <w:rPr>
                <w:rFonts w:ascii="Aptos" w:hAnsi="Aptos"/>
                <w:b/>
                <w:color w:val="FFFFFF"/>
                <w:sz w:val="18"/>
              </w:rPr>
              <w:t>Area</w:t>
            </w:r>
          </w:p>
        </w:tc>
        <w:tc>
          <w:tcPr>
            <w:tcW w:type="dxa" w:w="5040"/>
            <w:vAlign w:val="center"/>
            <w:shd w:fill="16865A"/>
          </w:tcPr>
          <w:p>
            <w:r/>
            <w:r>
              <w:rPr>
                <w:rFonts w:ascii="Aptos" w:hAnsi="Aptos"/>
                <w:b/>
                <w:color w:val="FFFFFF"/>
                <w:sz w:val="18"/>
              </w:rPr>
              <w:t>What we delivered</w:t>
            </w:r>
          </w:p>
        </w:tc>
      </w:tr>
      <w:tr>
        <w:tc>
          <w:tcPr>
            <w:tcW w:type="dxa" w:w="5040"/>
            <w:vAlign w:val="center"/>
            <w:shd w:fill="F3FAF6"/>
          </w:tcPr>
          <w:p>
            <w:r/>
            <w:r>
              <w:rPr>
                <w:rFonts w:ascii="Aptos" w:hAnsi="Aptos"/>
                <w:b w:val="0"/>
                <w:color w:val="10251D"/>
                <w:sz w:val="18"/>
              </w:rPr>
              <w:t>Business question</w:t>
            </w:r>
          </w:p>
        </w:tc>
        <w:tc>
          <w:tcPr>
            <w:tcW w:type="dxa" w:w="5040"/>
            <w:vAlign w:val="center"/>
            <w:shd w:fill="F3FAF6"/>
          </w:tcPr>
          <w:p>
            <w:r/>
            <w:r>
              <w:rPr>
                <w:rFonts w:ascii="Aptos" w:hAnsi="Aptos"/>
                <w:b w:val="0"/>
                <w:color w:val="10251D"/>
                <w:sz w:val="18"/>
              </w:rPr>
              <w:t>Revenue quality, customer value, product performance and revenue leakage</w:t>
            </w:r>
          </w:p>
        </w:tc>
      </w:tr>
      <w:tr>
        <w:tc>
          <w:tcPr>
            <w:tcW w:type="dxa" w:w="5040"/>
            <w:vAlign w:val="center"/>
          </w:tcPr>
          <w:p>
            <w:r/>
            <w:r>
              <w:rPr>
                <w:rFonts w:ascii="Aptos" w:hAnsi="Aptos"/>
                <w:b w:val="0"/>
                <w:color w:val="10251D"/>
                <w:sz w:val="18"/>
              </w:rPr>
              <w:t>Data preparation</w:t>
            </w:r>
          </w:p>
        </w:tc>
        <w:tc>
          <w:tcPr>
            <w:tcW w:type="dxa" w:w="5040"/>
            <w:vAlign w:val="center"/>
          </w:tcPr>
          <w:p>
            <w:r/>
            <w:r>
              <w:rPr>
                <w:rFonts w:ascii="Aptos" w:hAnsi="Aptos"/>
                <w:b w:val="0"/>
                <w:color w:val="10251D"/>
                <w:sz w:val="18"/>
              </w:rPr>
              <w:t>Combined two yearly sheets, removed exact duplicates, standardized fields and preserved suspicious records with flags</w:t>
            </w:r>
          </w:p>
        </w:tc>
      </w:tr>
      <w:tr>
        <w:tc>
          <w:tcPr>
            <w:tcW w:type="dxa" w:w="5040"/>
            <w:vAlign w:val="center"/>
            <w:shd w:fill="F3FAF6"/>
          </w:tcPr>
          <w:p>
            <w:r/>
            <w:r>
              <w:rPr>
                <w:rFonts w:ascii="Aptos" w:hAnsi="Aptos"/>
                <w:b w:val="0"/>
                <w:color w:val="10251D"/>
                <w:sz w:val="18"/>
              </w:rPr>
              <w:t>Business fields</w:t>
            </w:r>
          </w:p>
        </w:tc>
        <w:tc>
          <w:tcPr>
            <w:tcW w:type="dxa" w:w="5040"/>
            <w:vAlign w:val="center"/>
            <w:shd w:fill="F3FAF6"/>
          </w:tcPr>
          <w:p>
            <w:r/>
            <w:r>
              <w:rPr>
                <w:rFonts w:ascii="Aptos" w:hAnsi="Aptos"/>
                <w:b w:val="0"/>
                <w:color w:val="10251D"/>
                <w:sz w:val="18"/>
              </w:rPr>
              <w:t>Sales/return indicators, sales revenue, return value, order ID, product type, time fields and customer status</w:t>
            </w:r>
          </w:p>
        </w:tc>
      </w:tr>
      <w:tr>
        <w:tc>
          <w:tcPr>
            <w:tcW w:type="dxa" w:w="5040"/>
            <w:vAlign w:val="center"/>
          </w:tcPr>
          <w:p>
            <w:r/>
            <w:r>
              <w:rPr>
                <w:rFonts w:ascii="Aptos" w:hAnsi="Aptos"/>
                <w:b w:val="0"/>
                <w:color w:val="10251D"/>
                <w:sz w:val="18"/>
              </w:rPr>
              <w:t>Customer analysis</w:t>
            </w:r>
          </w:p>
        </w:tc>
        <w:tc>
          <w:tcPr>
            <w:tcW w:type="dxa" w:w="5040"/>
            <w:vAlign w:val="center"/>
          </w:tcPr>
          <w:p>
            <w:r/>
            <w:r>
              <w:rPr>
                <w:rFonts w:ascii="Aptos" w:hAnsi="Aptos"/>
                <w:b w:val="0"/>
                <w:color w:val="10251D"/>
                <w:sz w:val="18"/>
              </w:rPr>
              <w:t>RFM segmentation, customer concentration, new vs returning revenue</w:t>
            </w:r>
          </w:p>
        </w:tc>
      </w:tr>
      <w:tr>
        <w:tc>
          <w:tcPr>
            <w:tcW w:type="dxa" w:w="5040"/>
            <w:vAlign w:val="center"/>
            <w:shd w:fill="F3FAF6"/>
          </w:tcPr>
          <w:p>
            <w:r/>
            <w:r>
              <w:rPr>
                <w:rFonts w:ascii="Aptos" w:hAnsi="Aptos"/>
                <w:b w:val="0"/>
                <w:color w:val="10251D"/>
                <w:sz w:val="18"/>
              </w:rPr>
              <w:t>Product analysis</w:t>
            </w:r>
          </w:p>
        </w:tc>
        <w:tc>
          <w:tcPr>
            <w:tcW w:type="dxa" w:w="5040"/>
            <w:vAlign w:val="center"/>
            <w:shd w:fill="F3FAF6"/>
          </w:tcPr>
          <w:p>
            <w:r/>
            <w:r>
              <w:rPr>
                <w:rFonts w:ascii="Aptos" w:hAnsi="Aptos"/>
                <w:b w:val="0"/>
                <w:color w:val="10251D"/>
                <w:sz w:val="18"/>
              </w:rPr>
              <w:t>Top products, return-rate risk and anomaly investigation</w:t>
            </w:r>
          </w:p>
        </w:tc>
      </w:tr>
      <w:tr>
        <w:tc>
          <w:tcPr>
            <w:tcW w:type="dxa" w:w="5040"/>
            <w:vAlign w:val="center"/>
          </w:tcPr>
          <w:p>
            <w:r/>
            <w:r>
              <w:rPr>
                <w:rFonts w:ascii="Aptos" w:hAnsi="Aptos"/>
                <w:b w:val="0"/>
                <w:color w:val="10251D"/>
                <w:sz w:val="18"/>
              </w:rPr>
              <w:t>Dashboard</w:t>
            </w:r>
          </w:p>
        </w:tc>
        <w:tc>
          <w:tcPr>
            <w:tcW w:type="dxa" w:w="5040"/>
            <w:vAlign w:val="center"/>
          </w:tcPr>
          <w:p>
            <w:r/>
            <w:r>
              <w:rPr>
                <w:rFonts w:ascii="Aptos" w:hAnsi="Aptos"/>
                <w:b w:val="0"/>
                <w:color w:val="10251D"/>
                <w:sz w:val="18"/>
              </w:rPr>
              <w:t>Executive Overview, Customer Intelligence and Product &amp; Revenue Risk</w:t>
            </w:r>
          </w:p>
        </w:tc>
      </w:tr>
      <w:tr>
        <w:tc>
          <w:tcPr>
            <w:tcW w:type="dxa" w:w="5040"/>
            <w:vAlign w:val="center"/>
            <w:shd w:fill="F3FAF6"/>
          </w:tcPr>
          <w:p>
            <w:r/>
            <w:r>
              <w:rPr>
                <w:rFonts w:ascii="Aptos" w:hAnsi="Aptos"/>
                <w:b w:val="0"/>
                <w:color w:val="10251D"/>
                <w:sz w:val="18"/>
              </w:rPr>
              <w:t>Decision layer</w:t>
            </w:r>
          </w:p>
        </w:tc>
        <w:tc>
          <w:tcPr>
            <w:tcW w:type="dxa" w:w="5040"/>
            <w:vAlign w:val="center"/>
            <w:shd w:fill="F3FAF6"/>
          </w:tcPr>
          <w:p>
            <w:r/>
            <w:r>
              <w:rPr>
                <w:rFonts w:ascii="Aptos" w:hAnsi="Aptos"/>
                <w:b w:val="0"/>
                <w:color w:val="10251D"/>
                <w:sz w:val="18"/>
              </w:rPr>
              <w:t>Business recommendations tied to measurable evidence</w:t>
            </w:r>
          </w:p>
        </w:tc>
      </w:tr>
    </w:tbl>
    <w:p/>
    <w:p>
      <w:pPr>
        <w:pStyle w:val="Heading1"/>
      </w:pPr>
      <w:r>
        <w:t>2. Business Problem &amp; Objectives</w:t>
      </w:r>
    </w:p>
    <w:p>
      <w:r>
        <w:t>The raw dataset contains transaction-level records, but raw transactions do not directly answer management questions. The project therefore converted the transaction history into a structured business story.</w:t>
      </w:r>
    </w:p>
    <w:p>
      <w:pPr>
        <w:pStyle w:val="Heading2"/>
      </w:pPr>
      <w:r>
        <w:t>Questions we wanted the project to answer</w:t>
      </w:r>
    </w:p>
    <w:p>
      <w:pPr>
        <w:pStyle w:val="ListNumber"/>
        <w:spacing w:after="60"/>
      </w:pPr>
      <w:r>
        <w:t>How much revenue is being generated and how does it change over time?</w:t>
      </w:r>
    </w:p>
    <w:p>
      <w:pPr>
        <w:pStyle w:val="ListNumber"/>
        <w:spacing w:after="60"/>
      </w:pPr>
      <w:r>
        <w:t>Is revenue being driven by more customers, more orders, or larger orders?</w:t>
      </w:r>
    </w:p>
    <w:p>
      <w:pPr>
        <w:pStyle w:val="ListNumber"/>
        <w:spacing w:after="60"/>
      </w:pPr>
      <w:r>
        <w:t>How dependent is the business on a small group of high-value customers?</w:t>
      </w:r>
    </w:p>
    <w:p>
      <w:pPr>
        <w:pStyle w:val="ListNumber"/>
        <w:spacing w:after="60"/>
      </w:pPr>
      <w:r>
        <w:t>Which customer groups deserve the most attention from a value perspective?</w:t>
      </w:r>
    </w:p>
    <w:p>
      <w:pPr>
        <w:pStyle w:val="ListNumber"/>
        <w:spacing w:after="60"/>
      </w:pPr>
      <w:r>
        <w:t>Which products generate meaningful revenue?</w:t>
      </w:r>
    </w:p>
    <w:p>
      <w:pPr>
        <w:pStyle w:val="ListNumber"/>
        <w:spacing w:after="60"/>
      </w:pPr>
      <w:r>
        <w:t>Which products show unusually high return behaviour?</w:t>
      </w:r>
    </w:p>
    <w:p>
      <w:pPr>
        <w:pStyle w:val="ListNumber"/>
        <w:spacing w:after="60"/>
      </w:pPr>
      <w:r>
        <w:t>How much sales value is exposed to returns and transaction anomalies?</w:t>
      </w:r>
    </w:p>
    <w:p>
      <w:pPr>
        <w:pStyle w:val="ListNumber"/>
        <w:spacing w:after="60"/>
      </w:pPr>
      <w:r>
        <w:t>Which findings should become business questions or actions rather than just charts?</w:t>
      </w:r>
    </w:p>
    <w:p>
      <w:pPr>
        <w:pStyle w:val="Heading2"/>
      </w:pPr>
      <w:r>
        <w:t>Success definition</w:t>
      </w:r>
    </w:p>
    <w:p>
      <w:r>
        <w:t>The project is successful if someone can open the dashboard, understand the business position within minutes, identify the important risks and opportunities, and explain why each recommendation is supported by the data.</w:t>
      </w:r>
    </w:p>
    <w:p>
      <w:pPr>
        <w:pStyle w:val="Heading1"/>
      </w:pPr>
      <w:r>
        <w:t>3. Data We Started With</w:t>
      </w:r>
    </w:p>
    <w:p>
      <w:r>
        <w:t>The project uses the UCI Online Retail II dataset. The Excel workbook contained two yearly sheets that were combined into one transaction history.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865A"/>
          </w:tcPr>
          <w:p>
            <w:r/>
            <w:r>
              <w:rPr>
                <w:rFonts w:ascii="Aptos" w:hAnsi="Aptos"/>
                <w:b/>
                <w:color w:val="FFFFFF"/>
                <w:sz w:val="18"/>
              </w:rPr>
              <w:t>Item</w:t>
            </w:r>
          </w:p>
        </w:tc>
        <w:tc>
          <w:tcPr>
            <w:tcW w:type="dxa" w:w="5040"/>
            <w:vAlign w:val="center"/>
            <w:shd w:fill="16865A"/>
          </w:tcPr>
          <w:p>
            <w:r/>
            <w:r>
              <w:rPr>
                <w:rFonts w:ascii="Aptos" w:hAnsi="Aptos"/>
                <w:b/>
                <w:color w:val="FFFFFF"/>
                <w:sz w:val="18"/>
              </w:rPr>
              <w:t>Value</w:t>
            </w:r>
          </w:p>
        </w:tc>
      </w:tr>
      <w:tr>
        <w:tc>
          <w:tcPr>
            <w:tcW w:type="dxa" w:w="5040"/>
            <w:vAlign w:val="center"/>
            <w:shd w:fill="F3FAF6"/>
          </w:tcPr>
          <w:p>
            <w:r/>
            <w:r>
              <w:rPr>
                <w:rFonts w:ascii="Aptos" w:hAnsi="Aptos"/>
                <w:b w:val="0"/>
                <w:color w:val="10251D"/>
                <w:sz w:val="18"/>
              </w:rPr>
              <w:t>Source</w:t>
            </w:r>
          </w:p>
        </w:tc>
        <w:tc>
          <w:tcPr>
            <w:tcW w:type="dxa" w:w="5040"/>
            <w:vAlign w:val="center"/>
            <w:shd w:fill="F3FAF6"/>
          </w:tcPr>
          <w:p>
            <w:r/>
            <w:r>
              <w:rPr>
                <w:rFonts w:ascii="Aptos" w:hAnsi="Aptos"/>
                <w:b w:val="0"/>
                <w:color w:val="10251D"/>
                <w:sz w:val="18"/>
              </w:rPr>
              <w:t>UCI Online Retail II</w:t>
            </w:r>
          </w:p>
        </w:tc>
      </w:tr>
      <w:tr>
        <w:tc>
          <w:tcPr>
            <w:tcW w:type="dxa" w:w="5040"/>
            <w:vAlign w:val="center"/>
          </w:tcPr>
          <w:p>
            <w:r/>
            <w:r>
              <w:rPr>
                <w:rFonts w:ascii="Aptos" w:hAnsi="Aptos"/>
                <w:b w:val="0"/>
                <w:color w:val="10251D"/>
                <w:sz w:val="18"/>
              </w:rPr>
              <w:t>Sheets</w:t>
            </w:r>
          </w:p>
        </w:tc>
        <w:tc>
          <w:tcPr>
            <w:tcW w:type="dxa" w:w="5040"/>
            <w:vAlign w:val="center"/>
          </w:tcPr>
          <w:p>
            <w:r/>
            <w:r>
              <w:rPr>
                <w:rFonts w:ascii="Aptos" w:hAnsi="Aptos"/>
                <w:b w:val="0"/>
                <w:color w:val="10251D"/>
                <w:sz w:val="18"/>
              </w:rPr>
              <w:t>Year 2009-2010 and Year 2010-2011</w:t>
            </w:r>
          </w:p>
        </w:tc>
      </w:tr>
      <w:tr>
        <w:tc>
          <w:tcPr>
            <w:tcW w:type="dxa" w:w="5040"/>
            <w:vAlign w:val="center"/>
            <w:shd w:fill="F3FAF6"/>
          </w:tcPr>
          <w:p>
            <w:r/>
            <w:r>
              <w:rPr>
                <w:rFonts w:ascii="Aptos" w:hAnsi="Aptos"/>
                <w:b w:val="0"/>
                <w:color w:val="10251D"/>
                <w:sz w:val="18"/>
              </w:rPr>
              <w:t>Raw rows</w:t>
            </w:r>
          </w:p>
        </w:tc>
        <w:tc>
          <w:tcPr>
            <w:tcW w:type="dxa" w:w="5040"/>
            <w:vAlign w:val="center"/>
            <w:shd w:fill="F3FAF6"/>
          </w:tcPr>
          <w:p>
            <w:r/>
            <w:r>
              <w:rPr>
                <w:rFonts w:ascii="Aptos" w:hAnsi="Aptos"/>
                <w:b w:val="0"/>
                <w:color w:val="10251D"/>
                <w:sz w:val="18"/>
              </w:rPr>
              <w:t>1,067,371</w:t>
            </w:r>
          </w:p>
        </w:tc>
      </w:tr>
      <w:tr>
        <w:tc>
          <w:tcPr>
            <w:tcW w:type="dxa" w:w="5040"/>
            <w:vAlign w:val="center"/>
          </w:tcPr>
          <w:p>
            <w:r/>
            <w:r>
              <w:rPr>
                <w:rFonts w:ascii="Aptos" w:hAnsi="Aptos"/>
                <w:b w:val="0"/>
                <w:color w:val="10251D"/>
                <w:sz w:val="18"/>
              </w:rPr>
              <w:t>Columns</w:t>
            </w:r>
          </w:p>
        </w:tc>
        <w:tc>
          <w:tcPr>
            <w:tcW w:type="dxa" w:w="5040"/>
            <w:vAlign w:val="center"/>
          </w:tcPr>
          <w:p>
            <w:r/>
            <w:r>
              <w:rPr>
                <w:rFonts w:ascii="Aptos" w:hAnsi="Aptos"/>
                <w:b w:val="0"/>
                <w:color w:val="10251D"/>
                <w:sz w:val="18"/>
              </w:rPr>
              <w:t>8</w:t>
            </w:r>
          </w:p>
        </w:tc>
      </w:tr>
      <w:tr>
        <w:tc>
          <w:tcPr>
            <w:tcW w:type="dxa" w:w="5040"/>
            <w:vAlign w:val="center"/>
            <w:shd w:fill="F3FAF6"/>
          </w:tcPr>
          <w:p>
            <w:r/>
            <w:r>
              <w:rPr>
                <w:rFonts w:ascii="Aptos" w:hAnsi="Aptos"/>
                <w:b w:val="0"/>
                <w:color w:val="10251D"/>
                <w:sz w:val="18"/>
              </w:rPr>
              <w:t>Date range</w:t>
            </w:r>
          </w:p>
        </w:tc>
        <w:tc>
          <w:tcPr>
            <w:tcW w:type="dxa" w:w="5040"/>
            <w:vAlign w:val="center"/>
            <w:shd w:fill="F3FAF6"/>
          </w:tcPr>
          <w:p>
            <w:r/>
            <w:r>
              <w:rPr>
                <w:rFonts w:ascii="Aptos" w:hAnsi="Aptos"/>
                <w:b w:val="0"/>
                <w:color w:val="10251D"/>
                <w:sz w:val="18"/>
              </w:rPr>
              <w:t>1 Dec 2009 to 9 Dec 2011</w:t>
            </w:r>
          </w:p>
        </w:tc>
      </w:tr>
      <w:tr>
        <w:tc>
          <w:tcPr>
            <w:tcW w:type="dxa" w:w="5040"/>
            <w:vAlign w:val="center"/>
          </w:tcPr>
          <w:p>
            <w:r/>
            <w:r>
              <w:rPr>
                <w:rFonts w:ascii="Aptos" w:hAnsi="Aptos"/>
                <w:b w:val="0"/>
                <w:color w:val="10251D"/>
                <w:sz w:val="18"/>
              </w:rPr>
              <w:t>Unique invoices</w:t>
            </w:r>
          </w:p>
        </w:tc>
        <w:tc>
          <w:tcPr>
            <w:tcW w:type="dxa" w:w="5040"/>
            <w:vAlign w:val="center"/>
          </w:tcPr>
          <w:p>
            <w:r/>
            <w:r>
              <w:rPr>
                <w:rFonts w:ascii="Aptos" w:hAnsi="Aptos"/>
                <w:b w:val="0"/>
                <w:color w:val="10251D"/>
                <w:sz w:val="18"/>
              </w:rPr>
              <w:t>53,628</w:t>
            </w:r>
          </w:p>
        </w:tc>
      </w:tr>
      <w:tr>
        <w:tc>
          <w:tcPr>
            <w:tcW w:type="dxa" w:w="5040"/>
            <w:vAlign w:val="center"/>
            <w:shd w:fill="F3FAF6"/>
          </w:tcPr>
          <w:p>
            <w:r/>
            <w:r>
              <w:rPr>
                <w:rFonts w:ascii="Aptos" w:hAnsi="Aptos"/>
                <w:b w:val="0"/>
                <w:color w:val="10251D"/>
                <w:sz w:val="18"/>
              </w:rPr>
              <w:t>Unique products</w:t>
            </w:r>
          </w:p>
        </w:tc>
        <w:tc>
          <w:tcPr>
            <w:tcW w:type="dxa" w:w="5040"/>
            <w:vAlign w:val="center"/>
            <w:shd w:fill="F3FAF6"/>
          </w:tcPr>
          <w:p>
            <w:r/>
            <w:r>
              <w:rPr>
                <w:rFonts w:ascii="Aptos" w:hAnsi="Aptos"/>
                <w:b w:val="0"/>
                <w:color w:val="10251D"/>
                <w:sz w:val="18"/>
              </w:rPr>
              <w:t>5,305</w:t>
            </w:r>
          </w:p>
        </w:tc>
      </w:tr>
      <w:tr>
        <w:tc>
          <w:tcPr>
            <w:tcW w:type="dxa" w:w="5040"/>
            <w:vAlign w:val="center"/>
          </w:tcPr>
          <w:p>
            <w:r/>
            <w:r>
              <w:rPr>
                <w:rFonts w:ascii="Aptos" w:hAnsi="Aptos"/>
                <w:b w:val="0"/>
                <w:color w:val="10251D"/>
                <w:sz w:val="18"/>
              </w:rPr>
              <w:t>Unique customers</w:t>
            </w:r>
          </w:p>
        </w:tc>
        <w:tc>
          <w:tcPr>
            <w:tcW w:type="dxa" w:w="5040"/>
            <w:vAlign w:val="center"/>
          </w:tcPr>
          <w:p>
            <w:r/>
            <w:r>
              <w:rPr>
                <w:rFonts w:ascii="Aptos" w:hAnsi="Aptos"/>
                <w:b w:val="0"/>
                <w:color w:val="10251D"/>
                <w:sz w:val="18"/>
              </w:rPr>
              <w:t>5,942</w:t>
            </w:r>
          </w:p>
        </w:tc>
      </w:tr>
      <w:tr>
        <w:tc>
          <w:tcPr>
            <w:tcW w:type="dxa" w:w="5040"/>
            <w:vAlign w:val="center"/>
            <w:shd w:fill="F3FAF6"/>
          </w:tcPr>
          <w:p>
            <w:r/>
            <w:r>
              <w:rPr>
                <w:rFonts w:ascii="Aptos" w:hAnsi="Aptos"/>
                <w:b w:val="0"/>
                <w:color w:val="10251D"/>
                <w:sz w:val="18"/>
              </w:rPr>
              <w:t>Countries</w:t>
            </w:r>
          </w:p>
        </w:tc>
        <w:tc>
          <w:tcPr>
            <w:tcW w:type="dxa" w:w="5040"/>
            <w:vAlign w:val="center"/>
            <w:shd w:fill="F3FAF6"/>
          </w:tcPr>
          <w:p>
            <w:r/>
            <w:r>
              <w:rPr>
                <w:rFonts w:ascii="Aptos" w:hAnsi="Aptos"/>
                <w:b w:val="0"/>
                <w:color w:val="10251D"/>
                <w:sz w:val="18"/>
              </w:rPr>
              <w:t>43</w:t>
            </w:r>
          </w:p>
        </w:tc>
      </w:tr>
    </w:tbl>
    <w:p/>
    <w:p>
      <w:pPr>
        <w:pStyle w:val="Heading2"/>
      </w:pPr>
      <w:r>
        <w:t>Original business fields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865A"/>
          </w:tcPr>
          <w:p>
            <w:r/>
            <w:r>
              <w:rPr>
                <w:rFonts w:ascii="Aptos" w:hAnsi="Aptos"/>
                <w:b/>
                <w:color w:val="FFFFFF"/>
                <w:sz w:val="18"/>
              </w:rPr>
              <w:t>Field</w:t>
            </w:r>
          </w:p>
        </w:tc>
        <w:tc>
          <w:tcPr>
            <w:tcW w:type="dxa" w:w="5040"/>
            <w:vAlign w:val="center"/>
            <w:shd w:fill="16865A"/>
          </w:tcPr>
          <w:p>
            <w:r/>
            <w:r>
              <w:rPr>
                <w:rFonts w:ascii="Aptos" w:hAnsi="Aptos"/>
                <w:b/>
                <w:color w:val="FFFFFF"/>
                <w:sz w:val="18"/>
              </w:rPr>
              <w:t>Business meaning</w:t>
            </w:r>
          </w:p>
        </w:tc>
      </w:tr>
      <w:tr>
        <w:tc>
          <w:tcPr>
            <w:tcW w:type="dxa" w:w="5040"/>
            <w:vAlign w:val="center"/>
            <w:shd w:fill="F3FAF6"/>
          </w:tcPr>
          <w:p>
            <w:r/>
            <w:r>
              <w:rPr>
                <w:rFonts w:ascii="Aptos" w:hAnsi="Aptos"/>
                <w:b w:val="0"/>
                <w:color w:val="10251D"/>
                <w:sz w:val="18"/>
              </w:rPr>
              <w:t>Invoice</w:t>
            </w:r>
          </w:p>
        </w:tc>
        <w:tc>
          <w:tcPr>
            <w:tcW w:type="dxa" w:w="5040"/>
            <w:vAlign w:val="center"/>
            <w:shd w:fill="F3FAF6"/>
          </w:tcPr>
          <w:p>
            <w:r/>
            <w:r>
              <w:rPr>
                <w:rFonts w:ascii="Aptos" w:hAnsi="Aptos"/>
                <w:b w:val="0"/>
                <w:color w:val="10251D"/>
                <w:sz w:val="18"/>
              </w:rPr>
              <w:t>Transaction / invoice identifier</w:t>
            </w:r>
          </w:p>
        </w:tc>
      </w:tr>
      <w:tr>
        <w:tc>
          <w:tcPr>
            <w:tcW w:type="dxa" w:w="5040"/>
            <w:vAlign w:val="center"/>
          </w:tcPr>
          <w:p>
            <w:r/>
            <w:r>
              <w:rPr>
                <w:rFonts w:ascii="Aptos" w:hAnsi="Aptos"/>
                <w:b w:val="0"/>
                <w:color w:val="10251D"/>
                <w:sz w:val="18"/>
              </w:rPr>
              <w:t>StockCode</w:t>
            </w:r>
          </w:p>
        </w:tc>
        <w:tc>
          <w:tcPr>
            <w:tcW w:type="dxa" w:w="5040"/>
            <w:vAlign w:val="center"/>
          </w:tcPr>
          <w:p>
            <w:r/>
            <w:r>
              <w:rPr>
                <w:rFonts w:ascii="Aptos" w:hAnsi="Aptos"/>
                <w:b w:val="0"/>
                <w:color w:val="10251D"/>
                <w:sz w:val="18"/>
              </w:rPr>
              <w:t>Product or transaction item code</w:t>
            </w:r>
          </w:p>
        </w:tc>
      </w:tr>
      <w:tr>
        <w:tc>
          <w:tcPr>
            <w:tcW w:type="dxa" w:w="5040"/>
            <w:vAlign w:val="center"/>
            <w:shd w:fill="F3FAF6"/>
          </w:tcPr>
          <w:p>
            <w:r/>
            <w:r>
              <w:rPr>
                <w:rFonts w:ascii="Aptos" w:hAnsi="Aptos"/>
                <w:b w:val="0"/>
                <w:color w:val="10251D"/>
                <w:sz w:val="18"/>
              </w:rPr>
              <w:t>Description</w:t>
            </w:r>
          </w:p>
        </w:tc>
        <w:tc>
          <w:tcPr>
            <w:tcW w:type="dxa" w:w="5040"/>
            <w:vAlign w:val="center"/>
            <w:shd w:fill="F3FAF6"/>
          </w:tcPr>
          <w:p>
            <w:r/>
            <w:r>
              <w:rPr>
                <w:rFonts w:ascii="Aptos" w:hAnsi="Aptos"/>
                <w:b w:val="0"/>
                <w:color w:val="10251D"/>
                <w:sz w:val="18"/>
              </w:rPr>
              <w:t>Product description</w:t>
            </w:r>
          </w:p>
        </w:tc>
      </w:tr>
      <w:tr>
        <w:tc>
          <w:tcPr>
            <w:tcW w:type="dxa" w:w="5040"/>
            <w:vAlign w:val="center"/>
          </w:tcPr>
          <w:p>
            <w:r/>
            <w:r>
              <w:rPr>
                <w:rFonts w:ascii="Aptos" w:hAnsi="Aptos"/>
                <w:b w:val="0"/>
                <w:color w:val="10251D"/>
                <w:sz w:val="18"/>
              </w:rPr>
              <w:t>Quantity</w:t>
            </w:r>
          </w:p>
        </w:tc>
        <w:tc>
          <w:tcPr>
            <w:tcW w:type="dxa" w:w="5040"/>
            <w:vAlign w:val="center"/>
          </w:tcPr>
          <w:p>
            <w:r/>
            <w:r>
              <w:rPr>
                <w:rFonts w:ascii="Aptos" w:hAnsi="Aptos"/>
                <w:b w:val="0"/>
                <w:color w:val="10251D"/>
                <w:sz w:val="18"/>
              </w:rPr>
              <w:t>Units recorded on the transaction</w:t>
            </w:r>
          </w:p>
        </w:tc>
      </w:tr>
      <w:tr>
        <w:tc>
          <w:tcPr>
            <w:tcW w:type="dxa" w:w="5040"/>
            <w:vAlign w:val="center"/>
            <w:shd w:fill="F3FAF6"/>
          </w:tcPr>
          <w:p>
            <w:r/>
            <w:r>
              <w:rPr>
                <w:rFonts w:ascii="Aptos" w:hAnsi="Aptos"/>
                <w:b w:val="0"/>
                <w:color w:val="10251D"/>
                <w:sz w:val="18"/>
              </w:rPr>
              <w:t>InvoiceDate</w:t>
            </w:r>
          </w:p>
        </w:tc>
        <w:tc>
          <w:tcPr>
            <w:tcW w:type="dxa" w:w="5040"/>
            <w:vAlign w:val="center"/>
            <w:shd w:fill="F3FAF6"/>
          </w:tcPr>
          <w:p>
            <w:r/>
            <w:r>
              <w:rPr>
                <w:rFonts w:ascii="Aptos" w:hAnsi="Aptos"/>
                <w:b w:val="0"/>
                <w:color w:val="10251D"/>
                <w:sz w:val="18"/>
              </w:rPr>
              <w:t>Transaction date and time</w:t>
            </w:r>
          </w:p>
        </w:tc>
      </w:tr>
      <w:tr>
        <w:tc>
          <w:tcPr>
            <w:tcW w:type="dxa" w:w="5040"/>
            <w:vAlign w:val="center"/>
          </w:tcPr>
          <w:p>
            <w:r/>
            <w:r>
              <w:rPr>
                <w:rFonts w:ascii="Aptos" w:hAnsi="Aptos"/>
                <w:b w:val="0"/>
                <w:color w:val="10251D"/>
                <w:sz w:val="18"/>
              </w:rPr>
              <w:t>Price</w:t>
            </w:r>
          </w:p>
        </w:tc>
        <w:tc>
          <w:tcPr>
            <w:tcW w:type="dxa" w:w="5040"/>
            <w:vAlign w:val="center"/>
          </w:tcPr>
          <w:p>
            <w:r/>
            <w:r>
              <w:rPr>
                <w:rFonts w:ascii="Aptos" w:hAnsi="Aptos"/>
                <w:b w:val="0"/>
                <w:color w:val="10251D"/>
                <w:sz w:val="18"/>
              </w:rPr>
              <w:t>Recorded unit price</w:t>
            </w:r>
          </w:p>
        </w:tc>
      </w:tr>
      <w:tr>
        <w:tc>
          <w:tcPr>
            <w:tcW w:type="dxa" w:w="5040"/>
            <w:vAlign w:val="center"/>
            <w:shd w:fill="F3FAF6"/>
          </w:tcPr>
          <w:p>
            <w:r/>
            <w:r>
              <w:rPr>
                <w:rFonts w:ascii="Aptos" w:hAnsi="Aptos"/>
                <w:b w:val="0"/>
                <w:color w:val="10251D"/>
                <w:sz w:val="18"/>
              </w:rPr>
              <w:t>Customer ID</w:t>
            </w:r>
          </w:p>
        </w:tc>
        <w:tc>
          <w:tcPr>
            <w:tcW w:type="dxa" w:w="5040"/>
            <w:vAlign w:val="center"/>
            <w:shd w:fill="F3FAF6"/>
          </w:tcPr>
          <w:p>
            <w:r/>
            <w:r>
              <w:rPr>
                <w:rFonts w:ascii="Aptos" w:hAnsi="Aptos"/>
                <w:b w:val="0"/>
                <w:color w:val="10251D"/>
                <w:sz w:val="18"/>
              </w:rPr>
              <w:t>Customer identifier where available</w:t>
            </w:r>
          </w:p>
        </w:tc>
      </w:tr>
      <w:tr>
        <w:tc>
          <w:tcPr>
            <w:tcW w:type="dxa" w:w="5040"/>
            <w:vAlign w:val="center"/>
          </w:tcPr>
          <w:p>
            <w:r/>
            <w:r>
              <w:rPr>
                <w:rFonts w:ascii="Aptos" w:hAnsi="Aptos"/>
                <w:b w:val="0"/>
                <w:color w:val="10251D"/>
                <w:sz w:val="18"/>
              </w:rPr>
              <w:t>Country</w:t>
            </w:r>
          </w:p>
        </w:tc>
        <w:tc>
          <w:tcPr>
            <w:tcW w:type="dxa" w:w="5040"/>
            <w:vAlign w:val="center"/>
          </w:tcPr>
          <w:p>
            <w:r/>
            <w:r>
              <w:rPr>
                <w:rFonts w:ascii="Aptos" w:hAnsi="Aptos"/>
                <w:b w:val="0"/>
                <w:color w:val="10251D"/>
                <w:sz w:val="18"/>
              </w:rPr>
              <w:t>Customer market/country</w:t>
            </w:r>
          </w:p>
        </w:tc>
      </w:tr>
    </w:tbl>
    <w:p/>
    <w:tbl>
      <w:tblPr>
        <w:tblW w:type="auto" w:w="0"/>
        <w:jc w:val="center"/>
        <w:tblLook w:firstColumn="1" w:firstRow="1" w:lastColumn="0" w:lastRow="0" w:noHBand="0" w:noVBand="1" w:val="04A0"/>
      </w:tblPr>
      <w:tblGrid>
        <w:gridCol w:w="10080"/>
      </w:tblGrid>
      <w:tr>
        <w:tc>
          <w:tcPr>
            <w:tcW w:type="dxa" w:w="10080"/>
            <w:shd w:fill="DDF7E9"/>
          </w:tcPr>
          <w:p>
            <w:r>
              <w:rPr>
                <w:b/>
                <w:color w:val="16865A"/>
                <w:sz w:val="22"/>
              </w:rPr>
              <w:t>IMPORTANT</w:t>
              <w:br/>
            </w:r>
            <w:r>
              <w:rPr>
                <w:color w:val="10251D"/>
                <w:sz w:val="20"/>
              </w:rPr>
              <w:t>Customer ID was missing for 243,007 raw records. We did not pretend those records belonged to known customers. Customer-level analysis therefore uses identifiable customers, while overall sales analysis can still use valid sales transactions.</w:t>
            </w:r>
          </w:p>
        </w:tc>
      </w:tr>
    </w:tbl>
    <w:p/>
    <w:p>
      <w:pPr>
        <w:pStyle w:val="Heading1"/>
      </w:pPr>
      <w:r>
        <w:t>4. Data Cleaning — What We Changed and Why</w:t>
      </w:r>
    </w:p>
    <w:p>
      <w:r>
        <w:t>The cleaning philosophy was conservative: remove only what is clearly duplicated or invalid for the intended calculation, and preserve suspicious business records when they may contain useful operational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865A"/>
          </w:tcPr>
          <w:p>
            <w:r/>
            <w:r>
              <w:rPr>
                <w:rFonts w:ascii="Aptos" w:hAnsi="Aptos"/>
                <w:b/>
                <w:color w:val="FFFFFF"/>
                <w:sz w:val="18"/>
              </w:rPr>
              <w:t>Issue found</w:t>
            </w:r>
          </w:p>
        </w:tc>
        <w:tc>
          <w:tcPr>
            <w:tcW w:type="dxa" w:w="3360"/>
            <w:vAlign w:val="center"/>
            <w:shd w:fill="16865A"/>
          </w:tcPr>
          <w:p>
            <w:r/>
            <w:r>
              <w:rPr>
                <w:rFonts w:ascii="Aptos" w:hAnsi="Aptos"/>
                <w:b/>
                <w:color w:val="FFFFFF"/>
                <w:sz w:val="18"/>
              </w:rPr>
              <w:t>What we did</w:t>
            </w:r>
          </w:p>
        </w:tc>
        <w:tc>
          <w:tcPr>
            <w:tcW w:type="dxa" w:w="3360"/>
            <w:vAlign w:val="center"/>
            <w:shd w:fill="16865A"/>
          </w:tcPr>
          <w:p>
            <w:r/>
            <w:r>
              <w:rPr>
                <w:rFonts w:ascii="Aptos" w:hAnsi="Aptos"/>
                <w:b/>
                <w:color w:val="FFFFFF"/>
                <w:sz w:val="18"/>
              </w:rPr>
              <w:t>Why</w:t>
            </w:r>
          </w:p>
        </w:tc>
      </w:tr>
      <w:tr>
        <w:tc>
          <w:tcPr>
            <w:tcW w:type="dxa" w:w="3360"/>
            <w:vAlign w:val="center"/>
            <w:shd w:fill="F3FAF6"/>
          </w:tcPr>
          <w:p>
            <w:r/>
            <w:r>
              <w:rPr>
                <w:rFonts w:ascii="Aptos" w:hAnsi="Aptos"/>
                <w:b w:val="0"/>
                <w:color w:val="10251D"/>
                <w:sz w:val="18"/>
              </w:rPr>
              <w:t>34,335 exact duplicate rows</w:t>
            </w:r>
          </w:p>
        </w:tc>
        <w:tc>
          <w:tcPr>
            <w:tcW w:type="dxa" w:w="3360"/>
            <w:vAlign w:val="center"/>
            <w:shd w:fill="F3FAF6"/>
          </w:tcPr>
          <w:p>
            <w:r/>
            <w:r>
              <w:rPr>
                <w:rFonts w:ascii="Aptos" w:hAnsi="Aptos"/>
                <w:b w:val="0"/>
                <w:color w:val="10251D"/>
                <w:sz w:val="18"/>
              </w:rPr>
              <w:t>Removed exact duplicates</w:t>
            </w:r>
          </w:p>
        </w:tc>
        <w:tc>
          <w:tcPr>
            <w:tcW w:type="dxa" w:w="3360"/>
            <w:vAlign w:val="center"/>
            <w:shd w:fill="F3FAF6"/>
          </w:tcPr>
          <w:p>
            <w:r/>
            <w:r>
              <w:rPr>
                <w:rFonts w:ascii="Aptos" w:hAnsi="Aptos"/>
                <w:b w:val="0"/>
                <w:color w:val="10251D"/>
                <w:sz w:val="18"/>
              </w:rPr>
              <w:t>Prevents the same transaction record from being counted twice</w:t>
            </w:r>
          </w:p>
        </w:tc>
      </w:tr>
      <w:tr>
        <w:tc>
          <w:tcPr>
            <w:tcW w:type="dxa" w:w="3360"/>
            <w:vAlign w:val="center"/>
          </w:tcPr>
          <w:p>
            <w:r/>
            <w:r>
              <w:rPr>
                <w:rFonts w:ascii="Aptos" w:hAnsi="Aptos"/>
                <w:b w:val="0"/>
                <w:color w:val="10251D"/>
                <w:sz w:val="18"/>
              </w:rPr>
              <w:t>Missing descriptions</w:t>
            </w:r>
          </w:p>
        </w:tc>
        <w:tc>
          <w:tcPr>
            <w:tcW w:type="dxa" w:w="3360"/>
            <w:vAlign w:val="center"/>
          </w:tcPr>
          <w:p>
            <w:r/>
            <w:r>
              <w:rPr>
                <w:rFonts w:ascii="Aptos" w:hAnsi="Aptos"/>
                <w:b w:val="0"/>
                <w:color w:val="10251D"/>
                <w:sz w:val="18"/>
              </w:rPr>
              <w:t>Kept the records</w:t>
            </w:r>
          </w:p>
        </w:tc>
        <w:tc>
          <w:tcPr>
            <w:tcW w:type="dxa" w:w="3360"/>
            <w:vAlign w:val="center"/>
          </w:tcPr>
          <w:p>
            <w:r/>
            <w:r>
              <w:rPr>
                <w:rFonts w:ascii="Aptos" w:hAnsi="Aptos"/>
                <w:b w:val="0"/>
                <w:color w:val="10251D"/>
                <w:sz w:val="18"/>
              </w:rPr>
              <w:t>Missing description does not automatically mean the transaction is invalid</w:t>
            </w:r>
          </w:p>
        </w:tc>
      </w:tr>
      <w:tr>
        <w:tc>
          <w:tcPr>
            <w:tcW w:type="dxa" w:w="3360"/>
            <w:vAlign w:val="center"/>
            <w:shd w:fill="F3FAF6"/>
          </w:tcPr>
          <w:p>
            <w:r/>
            <w:r>
              <w:rPr>
                <w:rFonts w:ascii="Aptos" w:hAnsi="Aptos"/>
                <w:b w:val="0"/>
                <w:color w:val="10251D"/>
                <w:sz w:val="18"/>
              </w:rPr>
              <w:t>Missing Customer ID</w:t>
            </w:r>
          </w:p>
        </w:tc>
        <w:tc>
          <w:tcPr>
            <w:tcW w:type="dxa" w:w="3360"/>
            <w:vAlign w:val="center"/>
            <w:shd w:fill="F3FAF6"/>
          </w:tcPr>
          <w:p>
            <w:r/>
            <w:r>
              <w:rPr>
                <w:rFonts w:ascii="Aptos" w:hAnsi="Aptos"/>
                <w:b w:val="0"/>
                <w:color w:val="10251D"/>
                <w:sz w:val="18"/>
              </w:rPr>
              <w:t>Kept the records</w:t>
            </w:r>
          </w:p>
        </w:tc>
        <w:tc>
          <w:tcPr>
            <w:tcW w:type="dxa" w:w="3360"/>
            <w:vAlign w:val="center"/>
            <w:shd w:fill="F3FAF6"/>
          </w:tcPr>
          <w:p>
            <w:r/>
            <w:r>
              <w:rPr>
                <w:rFonts w:ascii="Aptos" w:hAnsi="Aptos"/>
                <w:b w:val="0"/>
                <w:color w:val="10251D"/>
                <w:sz w:val="18"/>
              </w:rPr>
              <w:t>Useful for overall revenue; excluded from customer-specific analysis</w:t>
            </w:r>
          </w:p>
        </w:tc>
      </w:tr>
      <w:tr>
        <w:tc>
          <w:tcPr>
            <w:tcW w:type="dxa" w:w="3360"/>
            <w:vAlign w:val="center"/>
          </w:tcPr>
          <w:p>
            <w:r/>
            <w:r>
              <w:rPr>
                <w:rFonts w:ascii="Aptos" w:hAnsi="Aptos"/>
                <w:b w:val="0"/>
                <w:color w:val="10251D"/>
                <w:sz w:val="18"/>
              </w:rPr>
              <w:t>Negative quantities</w:t>
            </w:r>
          </w:p>
        </w:tc>
        <w:tc>
          <w:tcPr>
            <w:tcW w:type="dxa" w:w="3360"/>
            <w:vAlign w:val="center"/>
          </w:tcPr>
          <w:p>
            <w:r/>
            <w:r>
              <w:rPr>
                <w:rFonts w:ascii="Aptos" w:hAnsi="Aptos"/>
                <w:b w:val="0"/>
                <w:color w:val="10251D"/>
                <w:sz w:val="18"/>
              </w:rPr>
              <w:t>Kept and flagged as returns/cancellations</w:t>
            </w:r>
          </w:p>
        </w:tc>
        <w:tc>
          <w:tcPr>
            <w:tcW w:type="dxa" w:w="3360"/>
            <w:vAlign w:val="center"/>
          </w:tcPr>
          <w:p>
            <w:r/>
            <w:r>
              <w:rPr>
                <w:rFonts w:ascii="Aptos" w:hAnsi="Aptos"/>
                <w:b w:val="0"/>
                <w:color w:val="10251D"/>
                <w:sz w:val="18"/>
              </w:rPr>
              <w:t>These may represent genuine reversals and are business information</w:t>
            </w:r>
          </w:p>
        </w:tc>
      </w:tr>
      <w:tr>
        <w:tc>
          <w:tcPr>
            <w:tcW w:type="dxa" w:w="3360"/>
            <w:vAlign w:val="center"/>
            <w:shd w:fill="F3FAF6"/>
          </w:tcPr>
          <w:p>
            <w:r/>
            <w:r>
              <w:rPr>
                <w:rFonts w:ascii="Aptos" w:hAnsi="Aptos"/>
                <w:b w:val="0"/>
                <w:color w:val="10251D"/>
                <w:sz w:val="18"/>
              </w:rPr>
              <w:t>Negative prices</w:t>
            </w:r>
          </w:p>
        </w:tc>
        <w:tc>
          <w:tcPr>
            <w:tcW w:type="dxa" w:w="3360"/>
            <w:vAlign w:val="center"/>
            <w:shd w:fill="F3FAF6"/>
          </w:tcPr>
          <w:p>
            <w:r/>
            <w:r>
              <w:rPr>
                <w:rFonts w:ascii="Aptos" w:hAnsi="Aptos"/>
                <w:b w:val="0"/>
                <w:color w:val="10251D"/>
                <w:sz w:val="18"/>
              </w:rPr>
              <w:t>Kept and flagged; excluded from normal sales revenue</w:t>
            </w:r>
          </w:p>
        </w:tc>
        <w:tc>
          <w:tcPr>
            <w:tcW w:type="dxa" w:w="3360"/>
            <w:vAlign w:val="center"/>
            <w:shd w:fill="F3FAF6"/>
          </w:tcPr>
          <w:p>
            <w:r/>
            <w:r>
              <w:rPr>
                <w:rFonts w:ascii="Aptos" w:hAnsi="Aptos"/>
                <w:b w:val="0"/>
                <w:color w:val="10251D"/>
                <w:sz w:val="18"/>
              </w:rPr>
              <w:t>They were accounting-style 'Adjust bad debt' records, not normal product sales</w:t>
            </w:r>
          </w:p>
        </w:tc>
      </w:tr>
      <w:tr>
        <w:tc>
          <w:tcPr>
            <w:tcW w:type="dxa" w:w="3360"/>
            <w:vAlign w:val="center"/>
          </w:tcPr>
          <w:p>
            <w:r/>
            <w:r>
              <w:rPr>
                <w:rFonts w:ascii="Aptos" w:hAnsi="Aptos"/>
                <w:b w:val="0"/>
                <w:color w:val="10251D"/>
                <w:sz w:val="18"/>
              </w:rPr>
              <w:t>Zero prices</w:t>
            </w:r>
          </w:p>
        </w:tc>
        <w:tc>
          <w:tcPr>
            <w:tcW w:type="dxa" w:w="3360"/>
            <w:vAlign w:val="center"/>
          </w:tcPr>
          <w:p>
            <w:r/>
            <w:r>
              <w:rPr>
                <w:rFonts w:ascii="Aptos" w:hAnsi="Aptos"/>
                <w:b w:val="0"/>
                <w:color w:val="10251D"/>
                <w:sz w:val="18"/>
              </w:rPr>
              <w:t>Kept and flagged</w:t>
            </w:r>
          </w:p>
        </w:tc>
        <w:tc>
          <w:tcPr>
            <w:tcW w:type="dxa" w:w="3360"/>
            <w:vAlign w:val="center"/>
          </w:tcPr>
          <w:p>
            <w:r/>
            <w:r>
              <w:rPr>
                <w:rFonts w:ascii="Aptos" w:hAnsi="Aptos"/>
                <w:b w:val="0"/>
                <w:color w:val="10251D"/>
                <w:sz w:val="18"/>
              </w:rPr>
              <w:t>Some were operational/inventory adjustments; deleting them blindly could remove useful evidence</w:t>
            </w:r>
          </w:p>
        </w:tc>
      </w:tr>
      <w:tr>
        <w:tc>
          <w:tcPr>
            <w:tcW w:type="dxa" w:w="3360"/>
            <w:vAlign w:val="center"/>
            <w:shd w:fill="F3FAF6"/>
          </w:tcPr>
          <w:p>
            <w:r/>
            <w:r>
              <w:rPr>
                <w:rFonts w:ascii="Aptos" w:hAnsi="Aptos"/>
                <w:b w:val="0"/>
                <w:color w:val="10251D"/>
                <w:sz w:val="18"/>
              </w:rPr>
              <w:t>Cancellation invoices</w:t>
            </w:r>
          </w:p>
        </w:tc>
        <w:tc>
          <w:tcPr>
            <w:tcW w:type="dxa" w:w="3360"/>
            <w:vAlign w:val="center"/>
            <w:shd w:fill="F3FAF6"/>
          </w:tcPr>
          <w:p>
            <w:r/>
            <w:r>
              <w:rPr>
                <w:rFonts w:ascii="Aptos" w:hAnsi="Aptos"/>
                <w:b w:val="0"/>
                <w:color w:val="10251D"/>
                <w:sz w:val="18"/>
              </w:rPr>
              <w:t>Flagged using invoice pattern and quantity</w:t>
            </w:r>
          </w:p>
        </w:tc>
        <w:tc>
          <w:tcPr>
            <w:tcW w:type="dxa" w:w="3360"/>
            <w:vAlign w:val="center"/>
            <w:shd w:fill="F3FAF6"/>
          </w:tcPr>
          <w:p>
            <w:r/>
            <w:r>
              <w:rPr>
                <w:rFonts w:ascii="Aptos" w:hAnsi="Aptos"/>
                <w:b w:val="0"/>
                <w:color w:val="10251D"/>
                <w:sz w:val="18"/>
              </w:rPr>
              <w:t>Allows cancellation/return behaviour to be analysed separately</w:t>
            </w:r>
          </w:p>
        </w:tc>
      </w:tr>
      <w:tr>
        <w:tc>
          <w:tcPr>
            <w:tcW w:type="dxa" w:w="3360"/>
            <w:vAlign w:val="center"/>
          </w:tcPr>
          <w:p>
            <w:r/>
            <w:r>
              <w:rPr>
                <w:rFonts w:ascii="Aptos" w:hAnsi="Aptos"/>
                <w:b w:val="0"/>
                <w:color w:val="10251D"/>
                <w:sz w:val="18"/>
              </w:rPr>
              <w:t>Text fields</w:t>
            </w:r>
          </w:p>
        </w:tc>
        <w:tc>
          <w:tcPr>
            <w:tcW w:type="dxa" w:w="3360"/>
            <w:vAlign w:val="center"/>
          </w:tcPr>
          <w:p>
            <w:r/>
            <w:r>
              <w:rPr>
                <w:rFonts w:ascii="Aptos" w:hAnsi="Aptos"/>
                <w:b w:val="0"/>
                <w:color w:val="10251D"/>
                <w:sz w:val="18"/>
              </w:rPr>
              <w:t>Standardized/trimmed</w:t>
            </w:r>
          </w:p>
        </w:tc>
        <w:tc>
          <w:tcPr>
            <w:tcW w:type="dxa" w:w="3360"/>
            <w:vAlign w:val="center"/>
          </w:tcPr>
          <w:p>
            <w:r/>
            <w:r>
              <w:rPr>
                <w:rFonts w:ascii="Aptos" w:hAnsi="Aptos"/>
                <w:b w:val="0"/>
                <w:color w:val="10251D"/>
                <w:sz w:val="18"/>
              </w:rPr>
              <w:t>Makes grouping and filtering more reliable</w:t>
            </w:r>
          </w:p>
        </w:tc>
      </w:tr>
      <w:tr>
        <w:tc>
          <w:tcPr>
            <w:tcW w:type="dxa" w:w="3360"/>
            <w:vAlign w:val="center"/>
            <w:shd w:fill="F3FAF6"/>
          </w:tcPr>
          <w:p>
            <w:r/>
            <w:r>
              <w:rPr>
                <w:rFonts w:ascii="Aptos" w:hAnsi="Aptos"/>
                <w:b w:val="0"/>
                <w:color w:val="10251D"/>
                <w:sz w:val="18"/>
              </w:rPr>
              <w:t>Customer ID</w:t>
            </w:r>
          </w:p>
        </w:tc>
        <w:tc>
          <w:tcPr>
            <w:tcW w:type="dxa" w:w="3360"/>
            <w:vAlign w:val="center"/>
            <w:shd w:fill="F3FAF6"/>
          </w:tcPr>
          <w:p>
            <w:r/>
            <w:r>
              <w:rPr>
                <w:rFonts w:ascii="Aptos" w:hAnsi="Aptos"/>
                <w:b w:val="0"/>
                <w:color w:val="10251D"/>
                <w:sz w:val="18"/>
              </w:rPr>
              <w:t>Converted to a consistent nullable numeric type</w:t>
            </w:r>
          </w:p>
        </w:tc>
        <w:tc>
          <w:tcPr>
            <w:tcW w:type="dxa" w:w="3360"/>
            <w:vAlign w:val="center"/>
            <w:shd w:fill="F3FAF6"/>
          </w:tcPr>
          <w:p>
            <w:r/>
            <w:r>
              <w:rPr>
                <w:rFonts w:ascii="Aptos" w:hAnsi="Aptos"/>
                <w:b w:val="0"/>
                <w:color w:val="10251D"/>
                <w:sz w:val="18"/>
              </w:rPr>
              <w:t>Supports reliable customer-level analysis</w:t>
            </w:r>
          </w:p>
        </w:tc>
      </w:tr>
    </w:tbl>
    <w:p/>
    <w:p>
      <w:pPr>
        <w:pStyle w:val="Heading2"/>
      </w:pPr>
      <w:r>
        <w:t>Important cleaning decisions</w:t>
      </w:r>
    </w:p>
    <w:p>
      <w:pPr>
        <w:pStyle w:val="ListBullet"/>
        <w:spacing w:after="60"/>
      </w:pPr>
      <w:r>
        <w:t>We did not invent missing product prices, weights, suppliers or status values.</w:t>
      </w:r>
    </w:p>
    <w:p>
      <w:pPr>
        <w:pStyle w:val="ListBullet"/>
        <w:spacing w:after="60"/>
      </w:pPr>
      <w:r>
        <w:t>We did not delete all negative quantities because many represent genuine returns/cancellations.</w:t>
      </w:r>
    </w:p>
    <w:p>
      <w:pPr>
        <w:pStyle w:val="ListBullet"/>
        <w:spacing w:after="60"/>
      </w:pPr>
      <w:r>
        <w:t>We did not treat every zero-price transaction as a normal sale.</w:t>
      </w:r>
    </w:p>
    <w:p>
      <w:pPr>
        <w:pStyle w:val="ListBullet"/>
        <w:spacing w:after="60"/>
      </w:pPr>
      <w:r>
        <w:t>We excluded negative-price accounting adjustments from normal sales-revenue calculations.</w:t>
      </w:r>
    </w:p>
    <w:p>
      <w:pPr>
        <w:pStyle w:val="ListBullet"/>
        <w:spacing w:after="60"/>
      </w:pPr>
      <w:r>
        <w:t>Suspicious records were preserved wherever possible so they could be investigated rather than silently disappearing.</w:t>
      </w:r>
    </w:p>
    <w:p>
      <w:pPr>
        <w:pStyle w:val="Heading1"/>
      </w:pPr>
      <w:r>
        <w:t>5. Business Columns We Created</w:t>
      </w:r>
    </w:p>
    <w:p>
      <w:r>
        <w:t>The cleaned transaction data was then turned into an analytical dataset. These fields make the data easier to interpret and allow the dashboard to answer business questions directly.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865A"/>
          </w:tcPr>
          <w:p>
            <w:r/>
            <w:r>
              <w:rPr>
                <w:rFonts w:ascii="Aptos" w:hAnsi="Aptos"/>
                <w:b/>
                <w:color w:val="FFFFFF"/>
                <w:sz w:val="18"/>
              </w:rPr>
              <w:t>Created field</w:t>
            </w:r>
          </w:p>
        </w:tc>
        <w:tc>
          <w:tcPr>
            <w:tcW w:type="dxa" w:w="3360"/>
            <w:vAlign w:val="center"/>
            <w:shd w:fill="16865A"/>
          </w:tcPr>
          <w:p>
            <w:r/>
            <w:r>
              <w:rPr>
                <w:rFonts w:ascii="Aptos" w:hAnsi="Aptos"/>
                <w:b/>
                <w:color w:val="FFFFFF"/>
                <w:sz w:val="18"/>
              </w:rPr>
              <w:t>What it means</w:t>
            </w:r>
          </w:p>
        </w:tc>
        <w:tc>
          <w:tcPr>
            <w:tcW w:type="dxa" w:w="3360"/>
            <w:vAlign w:val="center"/>
            <w:shd w:fill="16865A"/>
          </w:tcPr>
          <w:p>
            <w:r/>
            <w:r>
              <w:rPr>
                <w:rFonts w:ascii="Aptos" w:hAnsi="Aptos"/>
                <w:b/>
                <w:color w:val="FFFFFF"/>
                <w:sz w:val="18"/>
              </w:rPr>
              <w:t>Business use</w:t>
            </w:r>
          </w:p>
        </w:tc>
      </w:tr>
      <w:tr>
        <w:tc>
          <w:tcPr>
            <w:tcW w:type="dxa" w:w="3360"/>
            <w:vAlign w:val="center"/>
            <w:shd w:fill="F3FAF6"/>
          </w:tcPr>
          <w:p>
            <w:r/>
            <w:r>
              <w:rPr>
                <w:rFonts w:ascii="Aptos" w:hAnsi="Aptos"/>
                <w:b w:val="0"/>
                <w:color w:val="10251D"/>
                <w:sz w:val="18"/>
              </w:rPr>
              <w:t>is_cancelled</w:t>
            </w:r>
          </w:p>
        </w:tc>
        <w:tc>
          <w:tcPr>
            <w:tcW w:type="dxa" w:w="3360"/>
            <w:vAlign w:val="center"/>
            <w:shd w:fill="F3FAF6"/>
          </w:tcPr>
          <w:p>
            <w:r/>
            <w:r>
              <w:rPr>
                <w:rFonts w:ascii="Aptos" w:hAnsi="Aptos"/>
                <w:b w:val="0"/>
                <w:color w:val="10251D"/>
                <w:sz w:val="18"/>
              </w:rPr>
              <w:t>Marks cancellation-style transactions</w:t>
            </w:r>
          </w:p>
        </w:tc>
        <w:tc>
          <w:tcPr>
            <w:tcW w:type="dxa" w:w="3360"/>
            <w:vAlign w:val="center"/>
            <w:shd w:fill="F3FAF6"/>
          </w:tcPr>
          <w:p>
            <w:r/>
            <w:r>
              <w:rPr>
                <w:rFonts w:ascii="Aptos" w:hAnsi="Aptos"/>
                <w:b w:val="0"/>
                <w:color w:val="10251D"/>
                <w:sz w:val="18"/>
              </w:rPr>
              <w:t>Cancellation/return monitoring</w:t>
            </w:r>
          </w:p>
        </w:tc>
      </w:tr>
      <w:tr>
        <w:tc>
          <w:tcPr>
            <w:tcW w:type="dxa" w:w="3360"/>
            <w:vAlign w:val="center"/>
          </w:tcPr>
          <w:p>
            <w:r/>
            <w:r>
              <w:rPr>
                <w:rFonts w:ascii="Aptos" w:hAnsi="Aptos"/>
                <w:b w:val="0"/>
                <w:color w:val="10251D"/>
                <w:sz w:val="18"/>
              </w:rPr>
              <w:t>is_negative_quantity</w:t>
            </w:r>
          </w:p>
        </w:tc>
        <w:tc>
          <w:tcPr>
            <w:tcW w:type="dxa" w:w="3360"/>
            <w:vAlign w:val="center"/>
          </w:tcPr>
          <w:p>
            <w:r/>
            <w:r>
              <w:rPr>
                <w:rFonts w:ascii="Aptos" w:hAnsi="Aptos"/>
                <w:b w:val="0"/>
                <w:color w:val="10251D"/>
                <w:sz w:val="18"/>
              </w:rPr>
              <w:t>Marks negative-quantity records</w:t>
            </w:r>
          </w:p>
        </w:tc>
        <w:tc>
          <w:tcPr>
            <w:tcW w:type="dxa" w:w="3360"/>
            <w:vAlign w:val="center"/>
          </w:tcPr>
          <w:p>
            <w:r/>
            <w:r>
              <w:rPr>
                <w:rFonts w:ascii="Aptos" w:hAnsi="Aptos"/>
                <w:b w:val="0"/>
                <w:color w:val="10251D"/>
                <w:sz w:val="18"/>
              </w:rPr>
              <w:t>Return and reversal analysis</w:t>
            </w:r>
          </w:p>
        </w:tc>
      </w:tr>
      <w:tr>
        <w:tc>
          <w:tcPr>
            <w:tcW w:type="dxa" w:w="3360"/>
            <w:vAlign w:val="center"/>
            <w:shd w:fill="F3FAF6"/>
          </w:tcPr>
          <w:p>
            <w:r/>
            <w:r>
              <w:rPr>
                <w:rFonts w:ascii="Aptos" w:hAnsi="Aptos"/>
                <w:b w:val="0"/>
                <w:color w:val="10251D"/>
                <w:sz w:val="18"/>
              </w:rPr>
              <w:t>is_zero_price</w:t>
            </w:r>
          </w:p>
        </w:tc>
        <w:tc>
          <w:tcPr>
            <w:tcW w:type="dxa" w:w="3360"/>
            <w:vAlign w:val="center"/>
            <w:shd w:fill="F3FAF6"/>
          </w:tcPr>
          <w:p>
            <w:r/>
            <w:r>
              <w:rPr>
                <w:rFonts w:ascii="Aptos" w:hAnsi="Aptos"/>
                <w:b w:val="0"/>
                <w:color w:val="10251D"/>
                <w:sz w:val="18"/>
              </w:rPr>
              <w:t>Marks zero-price records</w:t>
            </w:r>
          </w:p>
        </w:tc>
        <w:tc>
          <w:tcPr>
            <w:tcW w:type="dxa" w:w="3360"/>
            <w:vAlign w:val="center"/>
            <w:shd w:fill="F3FAF6"/>
          </w:tcPr>
          <w:p>
            <w:r/>
            <w:r>
              <w:rPr>
                <w:rFonts w:ascii="Aptos" w:hAnsi="Aptos"/>
                <w:b w:val="0"/>
                <w:color w:val="10251D"/>
                <w:sz w:val="18"/>
              </w:rPr>
              <w:t>Operational/anomaly review</w:t>
            </w:r>
          </w:p>
        </w:tc>
      </w:tr>
      <w:tr>
        <w:tc>
          <w:tcPr>
            <w:tcW w:type="dxa" w:w="3360"/>
            <w:vAlign w:val="center"/>
          </w:tcPr>
          <w:p>
            <w:r/>
            <w:r>
              <w:rPr>
                <w:rFonts w:ascii="Aptos" w:hAnsi="Aptos"/>
                <w:b w:val="0"/>
                <w:color w:val="10251D"/>
                <w:sz w:val="18"/>
              </w:rPr>
              <w:t>is_invalid_price</w:t>
            </w:r>
          </w:p>
        </w:tc>
        <w:tc>
          <w:tcPr>
            <w:tcW w:type="dxa" w:w="3360"/>
            <w:vAlign w:val="center"/>
          </w:tcPr>
          <w:p>
            <w:r/>
            <w:r>
              <w:rPr>
                <w:rFonts w:ascii="Aptos" w:hAnsi="Aptos"/>
                <w:b w:val="0"/>
                <w:color w:val="10251D"/>
                <w:sz w:val="18"/>
              </w:rPr>
              <w:t>Marks invalid price records</w:t>
            </w:r>
          </w:p>
        </w:tc>
        <w:tc>
          <w:tcPr>
            <w:tcW w:type="dxa" w:w="3360"/>
            <w:vAlign w:val="center"/>
          </w:tcPr>
          <w:p>
            <w:r/>
            <w:r>
              <w:rPr>
                <w:rFonts w:ascii="Aptos" w:hAnsi="Aptos"/>
                <w:b w:val="0"/>
                <w:color w:val="10251D"/>
                <w:sz w:val="18"/>
              </w:rPr>
              <w:t>Protects revenue calculations</w:t>
            </w:r>
          </w:p>
        </w:tc>
      </w:tr>
      <w:tr>
        <w:tc>
          <w:tcPr>
            <w:tcW w:type="dxa" w:w="3360"/>
            <w:vAlign w:val="center"/>
            <w:shd w:fill="F3FAF6"/>
          </w:tcPr>
          <w:p>
            <w:r/>
            <w:r>
              <w:rPr>
                <w:rFonts w:ascii="Aptos" w:hAnsi="Aptos"/>
                <w:b w:val="0"/>
                <w:color w:val="10251D"/>
                <w:sz w:val="18"/>
              </w:rPr>
              <w:t>revenue</w:t>
            </w:r>
          </w:p>
        </w:tc>
        <w:tc>
          <w:tcPr>
            <w:tcW w:type="dxa" w:w="3360"/>
            <w:vAlign w:val="center"/>
            <w:shd w:fill="F3FAF6"/>
          </w:tcPr>
          <w:p>
            <w:r/>
            <w:r>
              <w:rPr>
                <w:rFonts w:ascii="Aptos" w:hAnsi="Aptos"/>
                <w:b w:val="0"/>
                <w:color w:val="10251D"/>
                <w:sz w:val="18"/>
              </w:rPr>
              <w:t>Quantity × Price</w:t>
            </w:r>
          </w:p>
        </w:tc>
        <w:tc>
          <w:tcPr>
            <w:tcW w:type="dxa" w:w="3360"/>
            <w:vAlign w:val="center"/>
            <w:shd w:fill="F3FAF6"/>
          </w:tcPr>
          <w:p>
            <w:r/>
            <w:r>
              <w:rPr>
                <w:rFonts w:ascii="Aptos" w:hAnsi="Aptos"/>
                <w:b w:val="0"/>
                <w:color w:val="10251D"/>
                <w:sz w:val="18"/>
              </w:rPr>
              <w:t>Base transaction value</w:t>
            </w:r>
          </w:p>
        </w:tc>
      </w:tr>
      <w:tr>
        <w:tc>
          <w:tcPr>
            <w:tcW w:type="dxa" w:w="3360"/>
            <w:vAlign w:val="center"/>
          </w:tcPr>
          <w:p>
            <w:r/>
            <w:r>
              <w:rPr>
                <w:rFonts w:ascii="Aptos" w:hAnsi="Aptos"/>
                <w:b w:val="0"/>
                <w:color w:val="10251D"/>
                <w:sz w:val="18"/>
              </w:rPr>
              <w:t>year</w:t>
            </w:r>
          </w:p>
        </w:tc>
        <w:tc>
          <w:tcPr>
            <w:tcW w:type="dxa" w:w="3360"/>
            <w:vAlign w:val="center"/>
          </w:tcPr>
          <w:p>
            <w:r/>
            <w:r>
              <w:rPr>
                <w:rFonts w:ascii="Aptos" w:hAnsi="Aptos"/>
                <w:b w:val="0"/>
                <w:color w:val="10251D"/>
                <w:sz w:val="18"/>
              </w:rPr>
              <w:t>Transaction year</w:t>
            </w:r>
          </w:p>
        </w:tc>
        <w:tc>
          <w:tcPr>
            <w:tcW w:type="dxa" w:w="3360"/>
            <w:vAlign w:val="center"/>
          </w:tcPr>
          <w:p>
            <w:r/>
            <w:r>
              <w:rPr>
                <w:rFonts w:ascii="Aptos" w:hAnsi="Aptos"/>
                <w:b w:val="0"/>
                <w:color w:val="10251D"/>
                <w:sz w:val="18"/>
              </w:rPr>
              <w:t>Year-level trends</w:t>
            </w:r>
          </w:p>
        </w:tc>
      </w:tr>
      <w:tr>
        <w:tc>
          <w:tcPr>
            <w:tcW w:type="dxa" w:w="3360"/>
            <w:vAlign w:val="center"/>
            <w:shd w:fill="F3FAF6"/>
          </w:tcPr>
          <w:p>
            <w:r/>
            <w:r>
              <w:rPr>
                <w:rFonts w:ascii="Aptos" w:hAnsi="Aptos"/>
                <w:b w:val="0"/>
                <w:color w:val="10251D"/>
                <w:sz w:val="18"/>
              </w:rPr>
              <w:t>month / month_name</w:t>
            </w:r>
          </w:p>
        </w:tc>
        <w:tc>
          <w:tcPr>
            <w:tcW w:type="dxa" w:w="3360"/>
            <w:vAlign w:val="center"/>
            <w:shd w:fill="F3FAF6"/>
          </w:tcPr>
          <w:p>
            <w:r/>
            <w:r>
              <w:rPr>
                <w:rFonts w:ascii="Aptos" w:hAnsi="Aptos"/>
                <w:b w:val="0"/>
                <w:color w:val="10251D"/>
                <w:sz w:val="18"/>
              </w:rPr>
              <w:t>Transaction month</w:t>
            </w:r>
          </w:p>
        </w:tc>
        <w:tc>
          <w:tcPr>
            <w:tcW w:type="dxa" w:w="3360"/>
            <w:vAlign w:val="center"/>
            <w:shd w:fill="F3FAF6"/>
          </w:tcPr>
          <w:p>
            <w:r/>
            <w:r>
              <w:rPr>
                <w:rFonts w:ascii="Aptos" w:hAnsi="Aptos"/>
                <w:b w:val="0"/>
                <w:color w:val="10251D"/>
                <w:sz w:val="18"/>
              </w:rPr>
              <w:t>Monthly reporting</w:t>
            </w:r>
          </w:p>
        </w:tc>
      </w:tr>
      <w:tr>
        <w:tc>
          <w:tcPr>
            <w:tcW w:type="dxa" w:w="3360"/>
            <w:vAlign w:val="center"/>
          </w:tcPr>
          <w:p>
            <w:r/>
            <w:r>
              <w:rPr>
                <w:rFonts w:ascii="Aptos" w:hAnsi="Aptos"/>
                <w:b w:val="0"/>
                <w:color w:val="10251D"/>
                <w:sz w:val="18"/>
              </w:rPr>
              <w:t>year_month</w:t>
            </w:r>
          </w:p>
        </w:tc>
        <w:tc>
          <w:tcPr>
            <w:tcW w:type="dxa" w:w="3360"/>
            <w:vAlign w:val="center"/>
          </w:tcPr>
          <w:p>
            <w:r/>
            <w:r>
              <w:rPr>
                <w:rFonts w:ascii="Aptos" w:hAnsi="Aptos"/>
                <w:b w:val="0"/>
                <w:color w:val="10251D"/>
                <w:sz w:val="18"/>
              </w:rPr>
              <w:t>Year + month</w:t>
            </w:r>
          </w:p>
        </w:tc>
        <w:tc>
          <w:tcPr>
            <w:tcW w:type="dxa" w:w="3360"/>
            <w:vAlign w:val="center"/>
          </w:tcPr>
          <w:p>
            <w:r/>
            <w:r>
              <w:rPr>
                <w:rFonts w:ascii="Aptos" w:hAnsi="Aptos"/>
                <w:b w:val="0"/>
                <w:color w:val="10251D"/>
                <w:sz w:val="18"/>
              </w:rPr>
              <w:t>Trend charts</w:t>
            </w:r>
          </w:p>
        </w:tc>
      </w:tr>
      <w:tr>
        <w:tc>
          <w:tcPr>
            <w:tcW w:type="dxa" w:w="3360"/>
            <w:vAlign w:val="center"/>
            <w:shd w:fill="F3FAF6"/>
          </w:tcPr>
          <w:p>
            <w:r/>
            <w:r>
              <w:rPr>
                <w:rFonts w:ascii="Aptos" w:hAnsi="Aptos"/>
                <w:b w:val="0"/>
                <w:color w:val="10251D"/>
                <w:sz w:val="18"/>
              </w:rPr>
              <w:t>quarter</w:t>
            </w:r>
          </w:p>
        </w:tc>
        <w:tc>
          <w:tcPr>
            <w:tcW w:type="dxa" w:w="3360"/>
            <w:vAlign w:val="center"/>
            <w:shd w:fill="F3FAF6"/>
          </w:tcPr>
          <w:p>
            <w:r/>
            <w:r>
              <w:rPr>
                <w:rFonts w:ascii="Aptos" w:hAnsi="Aptos"/>
                <w:b w:val="0"/>
                <w:color w:val="10251D"/>
                <w:sz w:val="18"/>
              </w:rPr>
              <w:t>Calendar quarter</w:t>
            </w:r>
          </w:p>
        </w:tc>
        <w:tc>
          <w:tcPr>
            <w:tcW w:type="dxa" w:w="3360"/>
            <w:vAlign w:val="center"/>
            <w:shd w:fill="F3FAF6"/>
          </w:tcPr>
          <w:p>
            <w:r/>
            <w:r>
              <w:rPr>
                <w:rFonts w:ascii="Aptos" w:hAnsi="Aptos"/>
                <w:b w:val="0"/>
                <w:color w:val="10251D"/>
                <w:sz w:val="18"/>
              </w:rPr>
              <w:t>Quarter-level analysis</w:t>
            </w:r>
          </w:p>
        </w:tc>
      </w:tr>
      <w:tr>
        <w:tc>
          <w:tcPr>
            <w:tcW w:type="dxa" w:w="3360"/>
            <w:vAlign w:val="center"/>
          </w:tcPr>
          <w:p>
            <w:r/>
            <w:r>
              <w:rPr>
                <w:rFonts w:ascii="Aptos" w:hAnsi="Aptos"/>
                <w:b w:val="0"/>
                <w:color w:val="10251D"/>
                <w:sz w:val="18"/>
              </w:rPr>
              <w:t>day_name / day_of_week</w:t>
            </w:r>
          </w:p>
        </w:tc>
        <w:tc>
          <w:tcPr>
            <w:tcW w:type="dxa" w:w="3360"/>
            <w:vAlign w:val="center"/>
          </w:tcPr>
          <w:p>
            <w:r/>
            <w:r>
              <w:rPr>
                <w:rFonts w:ascii="Aptos" w:hAnsi="Aptos"/>
                <w:b w:val="0"/>
                <w:color w:val="10251D"/>
                <w:sz w:val="18"/>
              </w:rPr>
              <w:t>Day information</w:t>
            </w:r>
          </w:p>
        </w:tc>
        <w:tc>
          <w:tcPr>
            <w:tcW w:type="dxa" w:w="3360"/>
            <w:vAlign w:val="center"/>
          </w:tcPr>
          <w:p>
            <w:r/>
            <w:r>
              <w:rPr>
                <w:rFonts w:ascii="Aptos" w:hAnsi="Aptos"/>
                <w:b w:val="0"/>
                <w:color w:val="10251D"/>
                <w:sz w:val="18"/>
              </w:rPr>
              <w:t>Timing analysis</w:t>
            </w:r>
          </w:p>
        </w:tc>
      </w:tr>
      <w:tr>
        <w:tc>
          <w:tcPr>
            <w:tcW w:type="dxa" w:w="3360"/>
            <w:vAlign w:val="center"/>
            <w:shd w:fill="F3FAF6"/>
          </w:tcPr>
          <w:p>
            <w:r/>
            <w:r>
              <w:rPr>
                <w:rFonts w:ascii="Aptos" w:hAnsi="Aptos"/>
                <w:b w:val="0"/>
                <w:color w:val="10251D"/>
                <w:sz w:val="18"/>
              </w:rPr>
              <w:t>hour</w:t>
            </w:r>
          </w:p>
        </w:tc>
        <w:tc>
          <w:tcPr>
            <w:tcW w:type="dxa" w:w="3360"/>
            <w:vAlign w:val="center"/>
            <w:shd w:fill="F3FAF6"/>
          </w:tcPr>
          <w:p>
            <w:r/>
            <w:r>
              <w:rPr>
                <w:rFonts w:ascii="Aptos" w:hAnsi="Aptos"/>
                <w:b w:val="0"/>
                <w:color w:val="10251D"/>
                <w:sz w:val="18"/>
              </w:rPr>
              <w:t>Transaction hour</w:t>
            </w:r>
          </w:p>
        </w:tc>
        <w:tc>
          <w:tcPr>
            <w:tcW w:type="dxa" w:w="3360"/>
            <w:vAlign w:val="center"/>
            <w:shd w:fill="F3FAF6"/>
          </w:tcPr>
          <w:p>
            <w:r/>
            <w:r>
              <w:rPr>
                <w:rFonts w:ascii="Aptos" w:hAnsi="Aptos"/>
                <w:b w:val="0"/>
                <w:color w:val="10251D"/>
                <w:sz w:val="18"/>
              </w:rPr>
              <w:t>Time-of-day analysis</w:t>
            </w:r>
          </w:p>
        </w:tc>
      </w:tr>
      <w:tr>
        <w:tc>
          <w:tcPr>
            <w:tcW w:type="dxa" w:w="3360"/>
            <w:vAlign w:val="center"/>
          </w:tcPr>
          <w:p>
            <w:r/>
            <w:r>
              <w:rPr>
                <w:rFonts w:ascii="Aptos" w:hAnsi="Aptos"/>
                <w:b w:val="0"/>
                <w:color w:val="10251D"/>
                <w:sz w:val="18"/>
              </w:rPr>
              <w:t>is_weekend</w:t>
            </w:r>
          </w:p>
        </w:tc>
        <w:tc>
          <w:tcPr>
            <w:tcW w:type="dxa" w:w="3360"/>
            <w:vAlign w:val="center"/>
          </w:tcPr>
          <w:p>
            <w:r/>
            <w:r>
              <w:rPr>
                <w:rFonts w:ascii="Aptos" w:hAnsi="Aptos"/>
                <w:b w:val="0"/>
                <w:color w:val="10251D"/>
                <w:sz w:val="18"/>
              </w:rPr>
              <w:t>Weekend indicator</w:t>
            </w:r>
          </w:p>
        </w:tc>
        <w:tc>
          <w:tcPr>
            <w:tcW w:type="dxa" w:w="3360"/>
            <w:vAlign w:val="center"/>
          </w:tcPr>
          <w:p>
            <w:r/>
            <w:r>
              <w:rPr>
                <w:rFonts w:ascii="Aptos" w:hAnsi="Aptos"/>
                <w:b w:val="0"/>
                <w:color w:val="10251D"/>
                <w:sz w:val="18"/>
              </w:rPr>
              <w:t>Behaviour by weekday/weekend</w:t>
            </w:r>
          </w:p>
        </w:tc>
      </w:tr>
      <w:tr>
        <w:tc>
          <w:tcPr>
            <w:tcW w:type="dxa" w:w="3360"/>
            <w:vAlign w:val="center"/>
            <w:shd w:fill="F3FAF6"/>
          </w:tcPr>
          <w:p>
            <w:r/>
            <w:r>
              <w:rPr>
                <w:rFonts w:ascii="Aptos" w:hAnsi="Aptos"/>
                <w:b w:val="0"/>
                <w:color w:val="10251D"/>
                <w:sz w:val="18"/>
              </w:rPr>
              <w:t>is_return</w:t>
            </w:r>
          </w:p>
        </w:tc>
        <w:tc>
          <w:tcPr>
            <w:tcW w:type="dxa" w:w="3360"/>
            <w:vAlign w:val="center"/>
            <w:shd w:fill="F3FAF6"/>
          </w:tcPr>
          <w:p>
            <w:r/>
            <w:r>
              <w:rPr>
                <w:rFonts w:ascii="Aptos" w:hAnsi="Aptos"/>
                <w:b w:val="0"/>
                <w:color w:val="10251D"/>
                <w:sz w:val="18"/>
              </w:rPr>
              <w:t>Quantity &lt; 0</w:t>
            </w:r>
          </w:p>
        </w:tc>
        <w:tc>
          <w:tcPr>
            <w:tcW w:type="dxa" w:w="3360"/>
            <w:vAlign w:val="center"/>
            <w:shd w:fill="F3FAF6"/>
          </w:tcPr>
          <w:p>
            <w:r/>
            <w:r>
              <w:rPr>
                <w:rFonts w:ascii="Aptos" w:hAnsi="Aptos"/>
                <w:b w:val="0"/>
                <w:color w:val="10251D"/>
                <w:sz w:val="18"/>
              </w:rPr>
              <w:t>Return analysis</w:t>
            </w:r>
          </w:p>
        </w:tc>
      </w:tr>
      <w:tr>
        <w:tc>
          <w:tcPr>
            <w:tcW w:type="dxa" w:w="3360"/>
            <w:vAlign w:val="center"/>
          </w:tcPr>
          <w:p>
            <w:r/>
            <w:r>
              <w:rPr>
                <w:rFonts w:ascii="Aptos" w:hAnsi="Aptos"/>
                <w:b w:val="0"/>
                <w:color w:val="10251D"/>
                <w:sz w:val="18"/>
              </w:rPr>
              <w:t>is_sales</w:t>
            </w:r>
          </w:p>
        </w:tc>
        <w:tc>
          <w:tcPr>
            <w:tcW w:type="dxa" w:w="3360"/>
            <w:vAlign w:val="center"/>
          </w:tcPr>
          <w:p>
            <w:r/>
            <w:r>
              <w:rPr>
                <w:rFonts w:ascii="Aptos" w:hAnsi="Aptos"/>
                <w:b w:val="0"/>
                <w:color w:val="10251D"/>
                <w:sz w:val="18"/>
              </w:rPr>
              <w:t>Valid positive sales transaction</w:t>
            </w:r>
          </w:p>
        </w:tc>
        <w:tc>
          <w:tcPr>
            <w:tcW w:type="dxa" w:w="3360"/>
            <w:vAlign w:val="center"/>
          </w:tcPr>
          <w:p>
            <w:r/>
            <w:r>
              <w:rPr>
                <w:rFonts w:ascii="Aptos" w:hAnsi="Aptos"/>
                <w:b w:val="0"/>
                <w:color w:val="10251D"/>
                <w:sz w:val="18"/>
              </w:rPr>
              <w:t>Separates normal sales from non-sales records</w:t>
            </w:r>
          </w:p>
        </w:tc>
      </w:tr>
      <w:tr>
        <w:tc>
          <w:tcPr>
            <w:tcW w:type="dxa" w:w="3360"/>
            <w:vAlign w:val="center"/>
            <w:shd w:fill="F3FAF6"/>
          </w:tcPr>
          <w:p>
            <w:r/>
            <w:r>
              <w:rPr>
                <w:rFonts w:ascii="Aptos" w:hAnsi="Aptos"/>
                <w:b w:val="0"/>
                <w:color w:val="10251D"/>
                <w:sz w:val="18"/>
              </w:rPr>
              <w:t>sales_revenue</w:t>
            </w:r>
          </w:p>
        </w:tc>
        <w:tc>
          <w:tcPr>
            <w:tcW w:type="dxa" w:w="3360"/>
            <w:vAlign w:val="center"/>
            <w:shd w:fill="F3FAF6"/>
          </w:tcPr>
          <w:p>
            <w:r/>
            <w:r>
              <w:rPr>
                <w:rFonts w:ascii="Aptos" w:hAnsi="Aptos"/>
                <w:b w:val="0"/>
                <w:color w:val="10251D"/>
                <w:sz w:val="18"/>
              </w:rPr>
              <w:t>Revenue counted only for valid sales</w:t>
            </w:r>
          </w:p>
        </w:tc>
        <w:tc>
          <w:tcPr>
            <w:tcW w:type="dxa" w:w="3360"/>
            <w:vAlign w:val="center"/>
            <w:shd w:fill="F3FAF6"/>
          </w:tcPr>
          <w:p>
            <w:r/>
            <w:r>
              <w:rPr>
                <w:rFonts w:ascii="Aptos" w:hAnsi="Aptos"/>
                <w:b w:val="0"/>
                <w:color w:val="10251D"/>
                <w:sz w:val="18"/>
              </w:rPr>
              <w:t>Core revenue KPI</w:t>
            </w:r>
          </w:p>
        </w:tc>
      </w:tr>
      <w:tr>
        <w:tc>
          <w:tcPr>
            <w:tcW w:type="dxa" w:w="3360"/>
            <w:vAlign w:val="center"/>
          </w:tcPr>
          <w:p>
            <w:r/>
            <w:r>
              <w:rPr>
                <w:rFonts w:ascii="Aptos" w:hAnsi="Aptos"/>
                <w:b w:val="0"/>
                <w:color w:val="10251D"/>
                <w:sz w:val="18"/>
              </w:rPr>
              <w:t>return_value</w:t>
            </w:r>
          </w:p>
        </w:tc>
        <w:tc>
          <w:tcPr>
            <w:tcW w:type="dxa" w:w="3360"/>
            <w:vAlign w:val="center"/>
          </w:tcPr>
          <w:p>
            <w:r/>
            <w:r>
              <w:rPr>
                <w:rFonts w:ascii="Aptos" w:hAnsi="Aptos"/>
                <w:b w:val="0"/>
                <w:color w:val="10251D"/>
                <w:sz w:val="18"/>
              </w:rPr>
              <w:t>Value associated with returns</w:t>
            </w:r>
          </w:p>
        </w:tc>
        <w:tc>
          <w:tcPr>
            <w:tcW w:type="dxa" w:w="3360"/>
            <w:vAlign w:val="center"/>
          </w:tcPr>
          <w:p>
            <w:r/>
            <w:r>
              <w:rPr>
                <w:rFonts w:ascii="Aptos" w:hAnsi="Aptos"/>
                <w:b w:val="0"/>
                <w:color w:val="10251D"/>
                <w:sz w:val="18"/>
              </w:rPr>
              <w:t>Revenue leakage analysis</w:t>
            </w:r>
          </w:p>
        </w:tc>
      </w:tr>
      <w:tr>
        <w:tc>
          <w:tcPr>
            <w:tcW w:type="dxa" w:w="3360"/>
            <w:vAlign w:val="center"/>
            <w:shd w:fill="F3FAF6"/>
          </w:tcPr>
          <w:p>
            <w:r/>
            <w:r>
              <w:rPr>
                <w:rFonts w:ascii="Aptos" w:hAnsi="Aptos"/>
                <w:b w:val="0"/>
                <w:color w:val="10251D"/>
                <w:sz w:val="18"/>
              </w:rPr>
              <w:t>order_id</w:t>
            </w:r>
          </w:p>
        </w:tc>
        <w:tc>
          <w:tcPr>
            <w:tcW w:type="dxa" w:w="3360"/>
            <w:vAlign w:val="center"/>
            <w:shd w:fill="F3FAF6"/>
          </w:tcPr>
          <w:p>
            <w:r/>
            <w:r>
              <w:rPr>
                <w:rFonts w:ascii="Aptos" w:hAnsi="Aptos"/>
                <w:b w:val="0"/>
                <w:color w:val="10251D"/>
                <w:sz w:val="18"/>
              </w:rPr>
              <w:t>Invoice normalized for order analysis</w:t>
            </w:r>
          </w:p>
        </w:tc>
        <w:tc>
          <w:tcPr>
            <w:tcW w:type="dxa" w:w="3360"/>
            <w:vAlign w:val="center"/>
            <w:shd w:fill="F3FAF6"/>
          </w:tcPr>
          <w:p>
            <w:r/>
            <w:r>
              <w:rPr>
                <w:rFonts w:ascii="Aptos" w:hAnsi="Aptos"/>
                <w:b w:val="0"/>
                <w:color w:val="10251D"/>
                <w:sz w:val="18"/>
              </w:rPr>
              <w:t>Order-level analysis</w:t>
            </w:r>
          </w:p>
        </w:tc>
      </w:tr>
      <w:tr>
        <w:tc>
          <w:tcPr>
            <w:tcW w:type="dxa" w:w="3360"/>
            <w:vAlign w:val="center"/>
          </w:tcPr>
          <w:p>
            <w:r/>
            <w:r>
              <w:rPr>
                <w:rFonts w:ascii="Aptos" w:hAnsi="Aptos"/>
                <w:b w:val="0"/>
                <w:color w:val="10251D"/>
                <w:sz w:val="18"/>
              </w:rPr>
              <w:t>product_type</w:t>
            </w:r>
          </w:p>
        </w:tc>
        <w:tc>
          <w:tcPr>
            <w:tcW w:type="dxa" w:w="3360"/>
            <w:vAlign w:val="center"/>
          </w:tcPr>
          <w:p>
            <w:r/>
            <w:r>
              <w:rPr>
                <w:rFonts w:ascii="Aptos" w:hAnsi="Aptos"/>
                <w:b w:val="0"/>
                <w:color w:val="10251D"/>
                <w:sz w:val="18"/>
              </w:rPr>
              <w:t>Regular Product / Operational-Service / Adjustment</w:t>
            </w:r>
          </w:p>
        </w:tc>
        <w:tc>
          <w:tcPr>
            <w:tcW w:type="dxa" w:w="3360"/>
            <w:vAlign w:val="center"/>
          </w:tcPr>
          <w:p>
            <w:r/>
            <w:r>
              <w:rPr>
                <w:rFonts w:ascii="Aptos" w:hAnsi="Aptos"/>
                <w:b w:val="0"/>
                <w:color w:val="10251D"/>
                <w:sz w:val="18"/>
              </w:rPr>
              <w:t>Prevents operational SKUs from distorting product analysis</w:t>
            </w:r>
          </w:p>
        </w:tc>
      </w:tr>
      <w:tr>
        <w:tc>
          <w:tcPr>
            <w:tcW w:type="dxa" w:w="3360"/>
            <w:vAlign w:val="center"/>
            <w:shd w:fill="F3FAF6"/>
          </w:tcPr>
          <w:p>
            <w:r/>
            <w:r>
              <w:rPr>
                <w:rFonts w:ascii="Aptos" w:hAnsi="Aptos"/>
                <w:b w:val="0"/>
                <w:color w:val="10251D"/>
                <w:sz w:val="18"/>
              </w:rPr>
              <w:t>is_regular_product</w:t>
            </w:r>
          </w:p>
        </w:tc>
        <w:tc>
          <w:tcPr>
            <w:tcW w:type="dxa" w:w="3360"/>
            <w:vAlign w:val="center"/>
            <w:shd w:fill="F3FAF6"/>
          </w:tcPr>
          <w:p>
            <w:r/>
            <w:r>
              <w:rPr>
                <w:rFonts w:ascii="Aptos" w:hAnsi="Aptos"/>
                <w:b w:val="0"/>
                <w:color w:val="10251D"/>
                <w:sz w:val="18"/>
              </w:rPr>
              <w:t>Identifies normal product records</w:t>
            </w:r>
          </w:p>
        </w:tc>
        <w:tc>
          <w:tcPr>
            <w:tcW w:type="dxa" w:w="3360"/>
            <w:vAlign w:val="center"/>
            <w:shd w:fill="F3FAF6"/>
          </w:tcPr>
          <w:p>
            <w:r/>
            <w:r>
              <w:rPr>
                <w:rFonts w:ascii="Aptos" w:hAnsi="Aptos"/>
                <w:b w:val="0"/>
                <w:color w:val="10251D"/>
                <w:sz w:val="18"/>
              </w:rPr>
              <w:t>Product performance analysis</w:t>
            </w:r>
          </w:p>
        </w:tc>
      </w:tr>
    </w:tbl>
    <w:p/>
    <w:p>
      <w:pPr>
        <w:pStyle w:val="Heading1"/>
      </w:pPr>
      <w:r>
        <w:t>6. Customer Intelligence</w:t>
      </w:r>
    </w:p>
    <w:p>
      <w:r>
        <w:t>The customer layer answers a key management question: “Are all customers equally important?” The analysis shows that they are not. Customer value is highly concentrated.</w:t>
      </w:r>
    </w:p>
    <w:p>
      <w:pPr>
        <w:pStyle w:val="Heading2"/>
      </w:pPr>
      <w:r>
        <w:t>RFM approach</w:t>
      </w:r>
    </w:p>
    <w:p>
      <w:r>
        <w:t>Customers with identifiable sales were evaluated using three familiar business dimensions:</w:t>
      </w:r>
    </w:p>
    <w:p>
      <w:pPr>
        <w:pStyle w:val="ListBullet"/>
        <w:spacing w:after="60"/>
      </w:pPr>
      <w:r>
        <w:t>Recency — how recently the customer purchased.</w:t>
      </w:r>
    </w:p>
    <w:p>
      <w:pPr>
        <w:pStyle w:val="ListBullet"/>
        <w:spacing w:after="60"/>
      </w:pPr>
      <w:r>
        <w:t>Frequency — how often the customer purchased.</w:t>
      </w:r>
    </w:p>
    <w:p>
      <w:pPr>
        <w:pStyle w:val="ListBullet"/>
        <w:spacing w:after="60"/>
      </w:pPr>
      <w:r>
        <w:t>Monetary — how much revenue the customer generated.</w:t>
      </w:r>
    </w:p>
    <w:p>
      <w:r>
        <w:t>These dimensions were combined into project-defined RFM scores and five practical segments. The thresholds are analytical rules created for this project and should be validated if the business uses them operationally.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865A"/>
          </w:tcPr>
          <w:p>
            <w:r/>
            <w:r>
              <w:rPr>
                <w:rFonts w:ascii="Aptos" w:hAnsi="Aptos"/>
                <w:b/>
                <w:color w:val="FFFFFF"/>
                <w:sz w:val="18"/>
              </w:rPr>
              <w:t>Segment</w:t>
            </w:r>
          </w:p>
        </w:tc>
        <w:tc>
          <w:tcPr>
            <w:tcW w:type="dxa" w:w="2520"/>
            <w:vAlign w:val="center"/>
            <w:shd w:fill="16865A"/>
          </w:tcPr>
          <w:p>
            <w:r/>
            <w:r>
              <w:rPr>
                <w:rFonts w:ascii="Aptos" w:hAnsi="Aptos"/>
                <w:b/>
                <w:color w:val="FFFFFF"/>
                <w:sz w:val="18"/>
              </w:rPr>
              <w:t>Customers</w:t>
            </w:r>
          </w:p>
        </w:tc>
        <w:tc>
          <w:tcPr>
            <w:tcW w:type="dxa" w:w="2520"/>
            <w:vAlign w:val="center"/>
            <w:shd w:fill="16865A"/>
          </w:tcPr>
          <w:p>
            <w:r/>
            <w:r>
              <w:rPr>
                <w:rFonts w:ascii="Aptos" w:hAnsi="Aptos"/>
                <w:b/>
                <w:color w:val="FFFFFF"/>
                <w:sz w:val="18"/>
              </w:rPr>
              <w:t>Revenue</w:t>
            </w:r>
          </w:p>
        </w:tc>
        <w:tc>
          <w:tcPr>
            <w:tcW w:type="dxa" w:w="2520"/>
            <w:vAlign w:val="center"/>
            <w:shd w:fill="16865A"/>
          </w:tcPr>
          <w:p>
            <w:r/>
            <w:r>
              <w:rPr>
                <w:rFonts w:ascii="Aptos" w:hAnsi="Aptos"/>
                <w:b/>
                <w:color w:val="FFFFFF"/>
                <w:sz w:val="18"/>
              </w:rPr>
              <w:t>Revenue / customer</w:t>
            </w:r>
          </w:p>
        </w:tc>
      </w:tr>
      <w:tr>
        <w:tc>
          <w:tcPr>
            <w:tcW w:type="dxa" w:w="2520"/>
            <w:vAlign w:val="center"/>
            <w:shd w:fill="F3FAF6"/>
          </w:tcPr>
          <w:p>
            <w:r/>
            <w:r>
              <w:rPr>
                <w:rFonts w:ascii="Aptos" w:hAnsi="Aptos"/>
                <w:b w:val="0"/>
                <w:color w:val="10251D"/>
                <w:sz w:val="18"/>
              </w:rPr>
              <w:t>Champions</w:t>
            </w:r>
          </w:p>
        </w:tc>
        <w:tc>
          <w:tcPr>
            <w:tcW w:type="dxa" w:w="2520"/>
            <w:vAlign w:val="center"/>
            <w:shd w:fill="F3FAF6"/>
          </w:tcPr>
          <w:p>
            <w:r/>
            <w:r>
              <w:rPr>
                <w:rFonts w:ascii="Aptos" w:hAnsi="Aptos"/>
                <w:b w:val="0"/>
                <w:color w:val="10251D"/>
                <w:sz w:val="18"/>
              </w:rPr>
              <w:t>1,295</w:t>
            </w:r>
          </w:p>
        </w:tc>
        <w:tc>
          <w:tcPr>
            <w:tcW w:type="dxa" w:w="2520"/>
            <w:vAlign w:val="center"/>
            <w:shd w:fill="F3FAF6"/>
          </w:tcPr>
          <w:p>
            <w:r/>
            <w:r>
              <w:rPr>
                <w:rFonts w:ascii="Aptos" w:hAnsi="Aptos"/>
                <w:b w:val="0"/>
                <w:color w:val="10251D"/>
                <w:sz w:val="18"/>
              </w:rPr>
              <w:t>£12.53M</w:t>
            </w:r>
          </w:p>
        </w:tc>
        <w:tc>
          <w:tcPr>
            <w:tcW w:type="dxa" w:w="2520"/>
            <w:vAlign w:val="center"/>
            <w:shd w:fill="F3FAF6"/>
          </w:tcPr>
          <w:p>
            <w:r/>
            <w:r>
              <w:rPr>
                <w:rFonts w:ascii="Aptos" w:hAnsi="Aptos"/>
                <w:b w:val="0"/>
                <w:color w:val="10251D"/>
                <w:sz w:val="18"/>
              </w:rPr>
              <w:t>£9,678</w:t>
            </w:r>
          </w:p>
        </w:tc>
      </w:tr>
      <w:tr>
        <w:tc>
          <w:tcPr>
            <w:tcW w:type="dxa" w:w="2520"/>
            <w:vAlign w:val="center"/>
          </w:tcPr>
          <w:p>
            <w:r/>
            <w:r>
              <w:rPr>
                <w:rFonts w:ascii="Aptos" w:hAnsi="Aptos"/>
                <w:b w:val="0"/>
                <w:color w:val="10251D"/>
                <w:sz w:val="18"/>
              </w:rPr>
              <w:t>Loyal Customers</w:t>
            </w:r>
          </w:p>
        </w:tc>
        <w:tc>
          <w:tcPr>
            <w:tcW w:type="dxa" w:w="2520"/>
            <w:vAlign w:val="center"/>
          </w:tcPr>
          <w:p>
            <w:r/>
            <w:r>
              <w:rPr>
                <w:rFonts w:ascii="Aptos" w:hAnsi="Aptos"/>
                <w:b w:val="0"/>
                <w:color w:val="10251D"/>
                <w:sz w:val="18"/>
              </w:rPr>
              <w:t>1,357</w:t>
            </w:r>
          </w:p>
        </w:tc>
        <w:tc>
          <w:tcPr>
            <w:tcW w:type="dxa" w:w="2520"/>
            <w:vAlign w:val="center"/>
          </w:tcPr>
          <w:p>
            <w:r/>
            <w:r>
              <w:rPr>
                <w:rFonts w:ascii="Aptos" w:hAnsi="Aptos"/>
                <w:b w:val="0"/>
                <w:color w:val="10251D"/>
                <w:sz w:val="18"/>
              </w:rPr>
              <w:t>£3.07M</w:t>
            </w:r>
          </w:p>
        </w:tc>
        <w:tc>
          <w:tcPr>
            <w:tcW w:type="dxa" w:w="2520"/>
            <w:vAlign w:val="center"/>
          </w:tcPr>
          <w:p>
            <w:r/>
            <w:r>
              <w:rPr>
                <w:rFonts w:ascii="Aptos" w:hAnsi="Aptos"/>
                <w:b w:val="0"/>
                <w:color w:val="10251D"/>
                <w:sz w:val="18"/>
              </w:rPr>
              <w:t>£2,263</w:t>
            </w:r>
          </w:p>
        </w:tc>
      </w:tr>
      <w:tr>
        <w:tc>
          <w:tcPr>
            <w:tcW w:type="dxa" w:w="2520"/>
            <w:vAlign w:val="center"/>
            <w:shd w:fill="F3FAF6"/>
          </w:tcPr>
          <w:p>
            <w:r/>
            <w:r>
              <w:rPr>
                <w:rFonts w:ascii="Aptos" w:hAnsi="Aptos"/>
                <w:b w:val="0"/>
                <w:color w:val="10251D"/>
                <w:sz w:val="18"/>
              </w:rPr>
              <w:t>Potential Loyalists</w:t>
            </w:r>
          </w:p>
        </w:tc>
        <w:tc>
          <w:tcPr>
            <w:tcW w:type="dxa" w:w="2520"/>
            <w:vAlign w:val="center"/>
            <w:shd w:fill="F3FAF6"/>
          </w:tcPr>
          <w:p>
            <w:r/>
            <w:r>
              <w:rPr>
                <w:rFonts w:ascii="Aptos" w:hAnsi="Aptos"/>
                <w:b w:val="0"/>
                <w:color w:val="10251D"/>
                <w:sz w:val="18"/>
              </w:rPr>
              <w:t>1,453</w:t>
            </w:r>
          </w:p>
        </w:tc>
        <w:tc>
          <w:tcPr>
            <w:tcW w:type="dxa" w:w="2520"/>
            <w:vAlign w:val="center"/>
            <w:shd w:fill="F3FAF6"/>
          </w:tcPr>
          <w:p>
            <w:r/>
            <w:r>
              <w:rPr>
                <w:rFonts w:ascii="Aptos" w:hAnsi="Aptos"/>
                <w:b w:val="0"/>
                <w:color w:val="10251D"/>
                <w:sz w:val="18"/>
              </w:rPr>
              <w:t>£1.24M</w:t>
            </w:r>
          </w:p>
        </w:tc>
        <w:tc>
          <w:tcPr>
            <w:tcW w:type="dxa" w:w="2520"/>
            <w:vAlign w:val="center"/>
            <w:shd w:fill="F3FAF6"/>
          </w:tcPr>
          <w:p>
            <w:r/>
            <w:r>
              <w:rPr>
                <w:rFonts w:ascii="Aptos" w:hAnsi="Aptos"/>
                <w:b w:val="0"/>
                <w:color w:val="10251D"/>
                <w:sz w:val="18"/>
              </w:rPr>
              <w:t>£853</w:t>
            </w:r>
          </w:p>
        </w:tc>
      </w:tr>
      <w:tr>
        <w:tc>
          <w:tcPr>
            <w:tcW w:type="dxa" w:w="2520"/>
            <w:vAlign w:val="center"/>
          </w:tcPr>
          <w:p>
            <w:r/>
            <w:r>
              <w:rPr>
                <w:rFonts w:ascii="Aptos" w:hAnsi="Aptos"/>
                <w:b w:val="0"/>
                <w:color w:val="10251D"/>
                <w:sz w:val="18"/>
              </w:rPr>
              <w:t>At Risk</w:t>
            </w:r>
          </w:p>
        </w:tc>
        <w:tc>
          <w:tcPr>
            <w:tcW w:type="dxa" w:w="2520"/>
            <w:vAlign w:val="center"/>
          </w:tcPr>
          <w:p>
            <w:r/>
            <w:r>
              <w:rPr>
                <w:rFonts w:ascii="Aptos" w:hAnsi="Aptos"/>
                <w:b w:val="0"/>
                <w:color w:val="10251D"/>
                <w:sz w:val="18"/>
              </w:rPr>
              <w:t>967</w:t>
            </w:r>
          </w:p>
        </w:tc>
        <w:tc>
          <w:tcPr>
            <w:tcW w:type="dxa" w:w="2520"/>
            <w:vAlign w:val="center"/>
          </w:tcPr>
          <w:p>
            <w:r/>
            <w:r>
              <w:rPr>
                <w:rFonts w:ascii="Aptos" w:hAnsi="Aptos"/>
                <w:b w:val="0"/>
                <w:color w:val="10251D"/>
                <w:sz w:val="18"/>
              </w:rPr>
              <w:t>£373K</w:t>
            </w:r>
          </w:p>
        </w:tc>
        <w:tc>
          <w:tcPr>
            <w:tcW w:type="dxa" w:w="2520"/>
            <w:vAlign w:val="center"/>
          </w:tcPr>
          <w:p>
            <w:r/>
            <w:r>
              <w:rPr>
                <w:rFonts w:ascii="Aptos" w:hAnsi="Aptos"/>
                <w:b w:val="0"/>
                <w:color w:val="10251D"/>
                <w:sz w:val="18"/>
              </w:rPr>
              <w:t>£386</w:t>
            </w:r>
          </w:p>
        </w:tc>
      </w:tr>
      <w:tr>
        <w:tc>
          <w:tcPr>
            <w:tcW w:type="dxa" w:w="2520"/>
            <w:vAlign w:val="center"/>
            <w:shd w:fill="F3FAF6"/>
          </w:tcPr>
          <w:p>
            <w:r/>
            <w:r>
              <w:rPr>
                <w:rFonts w:ascii="Aptos" w:hAnsi="Aptos"/>
                <w:b w:val="0"/>
                <w:color w:val="10251D"/>
                <w:sz w:val="18"/>
              </w:rPr>
              <w:t>Lost</w:t>
            </w:r>
          </w:p>
        </w:tc>
        <w:tc>
          <w:tcPr>
            <w:tcW w:type="dxa" w:w="2520"/>
            <w:vAlign w:val="center"/>
            <w:shd w:fill="F3FAF6"/>
          </w:tcPr>
          <w:p>
            <w:r/>
            <w:r>
              <w:rPr>
                <w:rFonts w:ascii="Aptos" w:hAnsi="Aptos"/>
                <w:b w:val="0"/>
                <w:color w:val="10251D"/>
                <w:sz w:val="18"/>
              </w:rPr>
              <w:t>806</w:t>
            </w:r>
          </w:p>
        </w:tc>
        <w:tc>
          <w:tcPr>
            <w:tcW w:type="dxa" w:w="2520"/>
            <w:vAlign w:val="center"/>
            <w:shd w:fill="F3FAF6"/>
          </w:tcPr>
          <w:p>
            <w:r/>
            <w:r>
              <w:rPr>
                <w:rFonts w:ascii="Aptos" w:hAnsi="Aptos"/>
                <w:b w:val="0"/>
                <w:color w:val="10251D"/>
                <w:sz w:val="18"/>
              </w:rPr>
              <w:t>£159K</w:t>
            </w:r>
          </w:p>
        </w:tc>
        <w:tc>
          <w:tcPr>
            <w:tcW w:type="dxa" w:w="2520"/>
            <w:vAlign w:val="center"/>
            <w:shd w:fill="F3FAF6"/>
          </w:tcPr>
          <w:p>
            <w:r/>
            <w:r>
              <w:rPr>
                <w:rFonts w:ascii="Aptos" w:hAnsi="Aptos"/>
                <w:b w:val="0"/>
                <w:color w:val="10251D"/>
                <w:sz w:val="18"/>
              </w:rPr>
              <w:t>£197</w:t>
            </w:r>
          </w:p>
        </w:tc>
      </w:tr>
    </w:tbl>
    <w:p/>
    <w:tbl>
      <w:tblPr>
        <w:tblW w:type="auto" w:w="0"/>
        <w:jc w:val="center"/>
        <w:tblLook w:firstColumn="1" w:firstRow="1" w:lastColumn="0" w:lastRow="0" w:noHBand="0" w:noVBand="1" w:val="04A0"/>
      </w:tblPr>
      <w:tblGrid>
        <w:gridCol w:w="10080"/>
      </w:tblGrid>
      <w:tr>
        <w:tc>
          <w:tcPr>
            <w:tcW w:type="dxa" w:w="10080"/>
            <w:shd w:fill="DDF7E9"/>
          </w:tcPr>
          <w:p>
            <w:r>
              <w:rPr>
                <w:b/>
                <w:color w:val="16865A"/>
                <w:sz w:val="22"/>
              </w:rPr>
              <w:t>KEY CUSTOMER FINDING</w:t>
              <w:br/>
            </w:r>
            <w:r>
              <w:rPr>
                <w:color w:val="10251D"/>
                <w:sz w:val="20"/>
              </w:rPr>
              <w:t>Champions represent about 22% of identified customers but generate about 72.1% of identified customer revenue. This makes high-value customer retention a major business-control question.</w:t>
            </w:r>
          </w:p>
        </w:tc>
      </w:tr>
    </w:tbl>
    <w:p/>
    <w:p>
      <w:pPr>
        <w:pStyle w:val="Heading2"/>
      </w:pPr>
      <w:r>
        <w:t>Customer concentration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865A"/>
          </w:tcPr>
          <w:p>
            <w:r/>
            <w:r>
              <w:rPr>
                <w:rFonts w:ascii="Aptos" w:hAnsi="Aptos"/>
                <w:b/>
                <w:color w:val="FFFFFF"/>
                <w:sz w:val="18"/>
              </w:rPr>
              <w:t>Customer share</w:t>
            </w:r>
          </w:p>
        </w:tc>
        <w:tc>
          <w:tcPr>
            <w:tcW w:type="dxa" w:w="5040"/>
            <w:vAlign w:val="center"/>
            <w:shd w:fill="16865A"/>
          </w:tcPr>
          <w:p>
            <w:r/>
            <w:r>
              <w:rPr>
                <w:rFonts w:ascii="Aptos" w:hAnsi="Aptos"/>
                <w:b/>
                <w:color w:val="FFFFFF"/>
                <w:sz w:val="18"/>
              </w:rPr>
              <w:t>Revenue share</w:t>
            </w:r>
          </w:p>
        </w:tc>
      </w:tr>
      <w:tr>
        <w:tc>
          <w:tcPr>
            <w:tcW w:type="dxa" w:w="5040"/>
            <w:vAlign w:val="center"/>
            <w:shd w:fill="F3FAF6"/>
          </w:tcPr>
          <w:p>
            <w:r/>
            <w:r>
              <w:rPr>
                <w:rFonts w:ascii="Aptos" w:hAnsi="Aptos"/>
                <w:b w:val="0"/>
                <w:color w:val="10251D"/>
                <w:sz w:val="18"/>
              </w:rPr>
              <w:t>Top 1% of customers</w:t>
            </w:r>
          </w:p>
        </w:tc>
        <w:tc>
          <w:tcPr>
            <w:tcW w:type="dxa" w:w="5040"/>
            <w:vAlign w:val="center"/>
            <w:shd w:fill="F3FAF6"/>
          </w:tcPr>
          <w:p>
            <w:r/>
            <w:r>
              <w:rPr>
                <w:rFonts w:ascii="Aptos" w:hAnsi="Aptos"/>
                <w:b w:val="0"/>
                <w:color w:val="10251D"/>
                <w:sz w:val="18"/>
              </w:rPr>
              <w:t>31.79%</w:t>
            </w:r>
          </w:p>
        </w:tc>
      </w:tr>
      <w:tr>
        <w:tc>
          <w:tcPr>
            <w:tcW w:type="dxa" w:w="5040"/>
            <w:vAlign w:val="center"/>
          </w:tcPr>
          <w:p>
            <w:r/>
            <w:r>
              <w:rPr>
                <w:rFonts w:ascii="Aptos" w:hAnsi="Aptos"/>
                <w:b w:val="0"/>
                <w:color w:val="10251D"/>
                <w:sz w:val="18"/>
              </w:rPr>
              <w:t>Top 5%</w:t>
            </w:r>
          </w:p>
        </w:tc>
        <w:tc>
          <w:tcPr>
            <w:tcW w:type="dxa" w:w="5040"/>
            <w:vAlign w:val="center"/>
          </w:tcPr>
          <w:p>
            <w:r/>
            <w:r>
              <w:rPr>
                <w:rFonts w:ascii="Aptos" w:hAnsi="Aptos"/>
                <w:b w:val="0"/>
                <w:color w:val="10251D"/>
                <w:sz w:val="18"/>
              </w:rPr>
              <w:t>51.95%</w:t>
            </w:r>
          </w:p>
        </w:tc>
      </w:tr>
      <w:tr>
        <w:tc>
          <w:tcPr>
            <w:tcW w:type="dxa" w:w="5040"/>
            <w:vAlign w:val="center"/>
            <w:shd w:fill="F3FAF6"/>
          </w:tcPr>
          <w:p>
            <w:r/>
            <w:r>
              <w:rPr>
                <w:rFonts w:ascii="Aptos" w:hAnsi="Aptos"/>
                <w:b w:val="0"/>
                <w:color w:val="10251D"/>
                <w:sz w:val="18"/>
              </w:rPr>
              <w:t>Top 10%</w:t>
            </w:r>
          </w:p>
        </w:tc>
        <w:tc>
          <w:tcPr>
            <w:tcW w:type="dxa" w:w="5040"/>
            <w:vAlign w:val="center"/>
            <w:shd w:fill="F3FAF6"/>
          </w:tcPr>
          <w:p>
            <w:r/>
            <w:r>
              <w:rPr>
                <w:rFonts w:ascii="Aptos" w:hAnsi="Aptos"/>
                <w:b w:val="0"/>
                <w:color w:val="10251D"/>
                <w:sz w:val="18"/>
              </w:rPr>
              <w:t>63.90%</w:t>
            </w:r>
          </w:p>
        </w:tc>
      </w:tr>
      <w:tr>
        <w:tc>
          <w:tcPr>
            <w:tcW w:type="dxa" w:w="5040"/>
            <w:vAlign w:val="center"/>
          </w:tcPr>
          <w:p>
            <w:r/>
            <w:r>
              <w:rPr>
                <w:rFonts w:ascii="Aptos" w:hAnsi="Aptos"/>
                <w:b w:val="0"/>
                <w:color w:val="10251D"/>
                <w:sz w:val="18"/>
              </w:rPr>
              <w:t>Top 20%</w:t>
            </w:r>
          </w:p>
        </w:tc>
        <w:tc>
          <w:tcPr>
            <w:tcW w:type="dxa" w:w="5040"/>
            <w:vAlign w:val="center"/>
          </w:tcPr>
          <w:p>
            <w:r/>
            <w:r>
              <w:rPr>
                <w:rFonts w:ascii="Aptos" w:hAnsi="Aptos"/>
                <w:b w:val="0"/>
                <w:color w:val="10251D"/>
                <w:sz w:val="18"/>
              </w:rPr>
              <w:t>77.23%</w:t>
            </w:r>
          </w:p>
        </w:tc>
      </w:tr>
    </w:tbl>
    <w:p/>
    <w:p>
      <w:r>
        <w:t>This concentration does not automatically mean the business should focus only on the top customers. It means the business should understand its exposure: a relatively small customer group carries a large share of revenue.</w:t>
      </w:r>
    </w:p>
    <w:p>
      <w:pPr>
        <w:pStyle w:val="Heading1"/>
      </w:pPr>
      <w:r>
        <w:t>7. Revenue &amp; Growth Analysis</w:t>
      </w:r>
    </w:p>
    <w:p>
      <w:r>
        <w:t>The executive analysis decomposes revenue into the factors that management can actually act on: customers, orders and average order value.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865A"/>
          </w:tcPr>
          <w:p>
            <w:r/>
            <w:r>
              <w:rPr>
                <w:rFonts w:ascii="Aptos" w:hAnsi="Aptos"/>
                <w:b/>
                <w:color w:val="FFFFFF"/>
                <w:sz w:val="18"/>
              </w:rPr>
              <w:t>Core KPI</w:t>
            </w:r>
          </w:p>
        </w:tc>
        <w:tc>
          <w:tcPr>
            <w:tcW w:type="dxa" w:w="5040"/>
            <w:vAlign w:val="center"/>
            <w:shd w:fill="16865A"/>
          </w:tcPr>
          <w:p>
            <w:r/>
            <w:r>
              <w:rPr>
                <w:rFonts w:ascii="Aptos" w:hAnsi="Aptos"/>
                <w:b/>
                <w:color w:val="FFFFFF"/>
                <w:sz w:val="18"/>
              </w:rPr>
              <w:t>Project result</w:t>
            </w:r>
          </w:p>
        </w:tc>
      </w:tr>
      <w:tr>
        <w:tc>
          <w:tcPr>
            <w:tcW w:type="dxa" w:w="5040"/>
            <w:vAlign w:val="center"/>
            <w:shd w:fill="F3FAF6"/>
          </w:tcPr>
          <w:p>
            <w:r/>
            <w:r>
              <w:rPr>
                <w:rFonts w:ascii="Aptos" w:hAnsi="Aptos"/>
                <w:b w:val="0"/>
                <w:color w:val="10251D"/>
                <w:sz w:val="18"/>
              </w:rPr>
              <w:t>Valid sales revenue</w:t>
            </w:r>
          </w:p>
        </w:tc>
        <w:tc>
          <w:tcPr>
            <w:tcW w:type="dxa" w:w="5040"/>
            <w:vAlign w:val="center"/>
            <w:shd w:fill="F3FAF6"/>
          </w:tcPr>
          <w:p>
            <w:r/>
            <w:r>
              <w:rPr>
                <w:rFonts w:ascii="Aptos" w:hAnsi="Aptos"/>
                <w:b w:val="0"/>
                <w:color w:val="10251D"/>
                <w:sz w:val="18"/>
              </w:rPr>
              <w:t>£20.48M</w:t>
            </w:r>
          </w:p>
        </w:tc>
      </w:tr>
      <w:tr>
        <w:tc>
          <w:tcPr>
            <w:tcW w:type="dxa" w:w="5040"/>
            <w:vAlign w:val="center"/>
          </w:tcPr>
          <w:p>
            <w:r/>
            <w:r>
              <w:rPr>
                <w:rFonts w:ascii="Aptos" w:hAnsi="Aptos"/>
                <w:b w:val="0"/>
                <w:color w:val="10251D"/>
                <w:sz w:val="18"/>
              </w:rPr>
              <w:t>Valid sales orders</w:t>
            </w:r>
          </w:p>
        </w:tc>
        <w:tc>
          <w:tcPr>
            <w:tcW w:type="dxa" w:w="5040"/>
            <w:vAlign w:val="center"/>
          </w:tcPr>
          <w:p>
            <w:r/>
            <w:r>
              <w:rPr>
                <w:rFonts w:ascii="Aptos" w:hAnsi="Aptos"/>
                <w:b w:val="0"/>
                <w:color w:val="10251D"/>
                <w:sz w:val="18"/>
              </w:rPr>
              <w:t>40,078</w:t>
            </w:r>
          </w:p>
        </w:tc>
      </w:tr>
      <w:tr>
        <w:tc>
          <w:tcPr>
            <w:tcW w:type="dxa" w:w="5040"/>
            <w:vAlign w:val="center"/>
            <w:shd w:fill="F3FAF6"/>
          </w:tcPr>
          <w:p>
            <w:r/>
            <w:r>
              <w:rPr>
                <w:rFonts w:ascii="Aptos" w:hAnsi="Aptos"/>
                <w:b w:val="0"/>
                <w:color w:val="10251D"/>
                <w:sz w:val="18"/>
              </w:rPr>
              <w:t>Identifiable customers</w:t>
            </w:r>
          </w:p>
        </w:tc>
        <w:tc>
          <w:tcPr>
            <w:tcW w:type="dxa" w:w="5040"/>
            <w:vAlign w:val="center"/>
            <w:shd w:fill="F3FAF6"/>
          </w:tcPr>
          <w:p>
            <w:r/>
            <w:r>
              <w:rPr>
                <w:rFonts w:ascii="Aptos" w:hAnsi="Aptos"/>
                <w:b w:val="0"/>
                <w:color w:val="10251D"/>
                <w:sz w:val="18"/>
              </w:rPr>
              <w:t>5,878</w:t>
            </w:r>
          </w:p>
        </w:tc>
      </w:tr>
      <w:tr>
        <w:tc>
          <w:tcPr>
            <w:tcW w:type="dxa" w:w="5040"/>
            <w:vAlign w:val="center"/>
          </w:tcPr>
          <w:p>
            <w:r/>
            <w:r>
              <w:rPr>
                <w:rFonts w:ascii="Aptos" w:hAnsi="Aptos"/>
                <w:b w:val="0"/>
                <w:color w:val="10251D"/>
                <w:sz w:val="18"/>
              </w:rPr>
              <w:t>Average order value</w:t>
            </w:r>
          </w:p>
        </w:tc>
        <w:tc>
          <w:tcPr>
            <w:tcW w:type="dxa" w:w="5040"/>
            <w:vAlign w:val="center"/>
          </w:tcPr>
          <w:p>
            <w:r/>
            <w:r>
              <w:rPr>
                <w:rFonts w:ascii="Aptos" w:hAnsi="Aptos"/>
                <w:b w:val="0"/>
                <w:color w:val="10251D"/>
                <w:sz w:val="18"/>
              </w:rPr>
              <w:t>£510.92</w:t>
            </w:r>
          </w:p>
        </w:tc>
      </w:tr>
      <w:tr>
        <w:tc>
          <w:tcPr>
            <w:tcW w:type="dxa" w:w="5040"/>
            <w:vAlign w:val="center"/>
            <w:shd w:fill="F3FAF6"/>
          </w:tcPr>
          <w:p>
            <w:r/>
            <w:r>
              <w:rPr>
                <w:rFonts w:ascii="Aptos" w:hAnsi="Aptos"/>
                <w:b w:val="0"/>
                <w:color w:val="10251D"/>
                <w:sz w:val="18"/>
              </w:rPr>
              <w:t>Quantity sold</w:t>
            </w:r>
          </w:p>
        </w:tc>
        <w:tc>
          <w:tcPr>
            <w:tcW w:type="dxa" w:w="5040"/>
            <w:vAlign w:val="center"/>
            <w:shd w:fill="F3FAF6"/>
          </w:tcPr>
          <w:p>
            <w:r/>
            <w:r>
              <w:rPr>
                <w:rFonts w:ascii="Aptos" w:hAnsi="Aptos"/>
                <w:b w:val="0"/>
                <w:color w:val="10251D"/>
                <w:sz w:val="18"/>
              </w:rPr>
              <w:t>11.21M units</w:t>
            </w:r>
          </w:p>
        </w:tc>
      </w:tr>
    </w:tbl>
    <w:p/>
    <w:p>
      <w:pPr>
        <w:pStyle w:val="Heading2"/>
      </w:pPr>
      <w:r>
        <w:t>Growth-driver thinking</w:t>
      </w:r>
    </w:p>
    <w:p>
      <w:r>
        <w:t>Instead of describing a month as simply “up” or “down”, the dashboard asks what caused the movement.</w:t>
      </w:r>
    </w:p>
    <w:p>
      <w:pPr>
        <w:pStyle w:val="ListBullet"/>
        <w:spacing w:after="60"/>
      </w:pPr>
      <w:r>
        <w:t>Revenue can rise because more customers buy.</w:t>
      </w:r>
    </w:p>
    <w:p>
      <w:pPr>
        <w:pStyle w:val="ListBullet"/>
        <w:spacing w:after="60"/>
      </w:pPr>
      <w:r>
        <w:t>Revenue can rise because customers place more orders.</w:t>
      </w:r>
    </w:p>
    <w:p>
      <w:pPr>
        <w:pStyle w:val="ListBullet"/>
        <w:spacing w:after="60"/>
      </w:pPr>
      <w:r>
        <w:t>Revenue can rise because the average order becomes larger.</w:t>
      </w:r>
    </w:p>
    <w:p>
      <w:pPr>
        <w:pStyle w:val="ListBullet"/>
        <w:spacing w:after="60"/>
      </w:pPr>
      <w:r>
        <w:t>A revenue increase with falling AOV can indicate volume-led growth rather than stronger basket economics.</w:t>
      </w:r>
    </w:p>
    <w:tbl>
      <w:tblPr>
        <w:tblW w:type="auto" w:w="0"/>
        <w:jc w:val="center"/>
        <w:tblLook w:firstColumn="1" w:firstRow="1" w:lastColumn="0" w:lastRow="0" w:noHBand="0" w:noVBand="1" w:val="04A0"/>
      </w:tblPr>
      <w:tblGrid>
        <w:gridCol w:w="10080"/>
      </w:tblGrid>
      <w:tr>
        <w:tc>
          <w:tcPr>
            <w:tcW w:type="dxa" w:w="10080"/>
            <w:shd w:fill="DDF7E9"/>
          </w:tcPr>
          <w:p>
            <w:r>
              <w:rPr>
                <w:b/>
                <w:color w:val="16865A"/>
                <w:sz w:val="22"/>
              </w:rPr>
              <w:t>IMPORTANT EXAMPLE</w:t>
              <w:br/>
            </w:r>
            <w:r>
              <w:rPr>
                <w:color w:val="10251D"/>
                <w:sz w:val="20"/>
              </w:rPr>
              <w:t>November 2011 showed revenue growth of about 11.6%, while orders grew about 37.7%, customers about 22.0%, and AOV fell about 18.9%. The dashboard therefore treats November as a volume-driven growth signal that deserves product-mix and basket analysis.</w:t>
            </w:r>
          </w:p>
        </w:tc>
      </w:tr>
    </w:tbl>
    <w:p/>
    <w:p>
      <w:r>
        <w:t>September 2011 also showed broad-based growth: revenue increased about 47.6%, orders about 37.1%, customers about 35.4%, and AOV about 7.7%.</w:t>
      </w:r>
    </w:p>
    <w:tbl>
      <w:tblPr>
        <w:tblW w:type="auto" w:w="0"/>
        <w:jc w:val="center"/>
        <w:tblLook w:firstColumn="1" w:firstRow="1" w:lastColumn="0" w:lastRow="0" w:noHBand="0" w:noVBand="1" w:val="04A0"/>
      </w:tblPr>
      <w:tblGrid>
        <w:gridCol w:w="10080"/>
      </w:tblGrid>
      <w:tr>
        <w:tc>
          <w:tcPr>
            <w:tcW w:type="dxa" w:w="10080"/>
            <w:shd w:fill="FFF5DD"/>
          </w:tcPr>
          <w:p>
            <w:r>
              <w:rPr>
                <w:b/>
                <w:color w:val="16865A"/>
                <w:sz w:val="22"/>
              </w:rPr>
              <w:t>DATA PERIOD WARNING</w:t>
              <w:br/>
            </w:r>
            <w:r>
              <w:rPr>
                <w:color w:val="10251D"/>
                <w:sz w:val="20"/>
              </w:rPr>
              <w:t>December 2011 is partial: the source ends on 9 December. The dashboard therefore warns users not to interpret December's apparent decline as a full-month collapse.</w:t>
            </w:r>
          </w:p>
        </w:tc>
      </w:tr>
    </w:tbl>
    <w:p/>
    <w:p>
      <w:pPr>
        <w:pStyle w:val="Heading1"/>
      </w:pPr>
      <w:r>
        <w:t>8. Product Performance &amp; Revenue Risk</w:t>
      </w:r>
    </w:p>
    <w:p>
      <w:r>
        <w:t>The raw dataset contains operational/service codes alongside regular products. If these are treated as normal products, product rankings can become misleading.</w:t>
      </w:r>
    </w:p>
    <w:p>
      <w:pPr>
        <w:pStyle w:val="Heading2"/>
      </w:pPr>
      <w:r>
        <w:t>Product classification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865A"/>
          </w:tcPr>
          <w:p>
            <w:r/>
            <w:r>
              <w:rPr>
                <w:rFonts w:ascii="Aptos" w:hAnsi="Aptos"/>
                <w:b/>
                <w:color w:val="FFFFFF"/>
                <w:sz w:val="18"/>
              </w:rPr>
              <w:t>Type</w:t>
            </w:r>
          </w:p>
        </w:tc>
        <w:tc>
          <w:tcPr>
            <w:tcW w:type="dxa" w:w="5040"/>
            <w:vAlign w:val="center"/>
            <w:shd w:fill="16865A"/>
          </w:tcPr>
          <w:p>
            <w:r/>
            <w:r>
              <w:rPr>
                <w:rFonts w:ascii="Aptos" w:hAnsi="Aptos"/>
                <w:b/>
                <w:color w:val="FFFFFF"/>
                <w:sz w:val="18"/>
              </w:rPr>
              <w:t>Meaning</w:t>
            </w:r>
          </w:p>
        </w:tc>
      </w:tr>
      <w:tr>
        <w:tc>
          <w:tcPr>
            <w:tcW w:type="dxa" w:w="5040"/>
            <w:vAlign w:val="center"/>
            <w:shd w:fill="F3FAF6"/>
          </w:tcPr>
          <w:p>
            <w:r/>
            <w:r>
              <w:rPr>
                <w:rFonts w:ascii="Aptos" w:hAnsi="Aptos"/>
                <w:b w:val="0"/>
                <w:color w:val="10251D"/>
                <w:sz w:val="18"/>
              </w:rPr>
              <w:t>Regular Product</w:t>
            </w:r>
          </w:p>
        </w:tc>
        <w:tc>
          <w:tcPr>
            <w:tcW w:type="dxa" w:w="5040"/>
            <w:vAlign w:val="center"/>
            <w:shd w:fill="F3FAF6"/>
          </w:tcPr>
          <w:p>
            <w:r/>
            <w:r>
              <w:rPr>
                <w:rFonts w:ascii="Aptos" w:hAnsi="Aptos"/>
                <w:b w:val="0"/>
                <w:color w:val="10251D"/>
                <w:sz w:val="18"/>
              </w:rPr>
              <w:t>Normal merchandise intended for product performance analysis</w:t>
            </w:r>
          </w:p>
        </w:tc>
      </w:tr>
      <w:tr>
        <w:tc>
          <w:tcPr>
            <w:tcW w:type="dxa" w:w="5040"/>
            <w:vAlign w:val="center"/>
          </w:tcPr>
          <w:p>
            <w:r/>
            <w:r>
              <w:rPr>
                <w:rFonts w:ascii="Aptos" w:hAnsi="Aptos"/>
                <w:b w:val="0"/>
                <w:color w:val="10251D"/>
                <w:sz w:val="18"/>
              </w:rPr>
              <w:t>Operational / Service</w:t>
            </w:r>
          </w:p>
        </w:tc>
        <w:tc>
          <w:tcPr>
            <w:tcW w:type="dxa" w:w="5040"/>
            <w:vAlign w:val="center"/>
          </w:tcPr>
          <w:p>
            <w:r/>
            <w:r>
              <w:rPr>
                <w:rFonts w:ascii="Aptos" w:hAnsi="Aptos"/>
                <w:b w:val="0"/>
                <w:color w:val="10251D"/>
                <w:sz w:val="18"/>
              </w:rPr>
              <w:t>Examples include postage, manual or service-style records</w:t>
            </w:r>
          </w:p>
        </w:tc>
      </w:tr>
      <w:tr>
        <w:tc>
          <w:tcPr>
            <w:tcW w:type="dxa" w:w="5040"/>
            <w:vAlign w:val="center"/>
            <w:shd w:fill="F3FAF6"/>
          </w:tcPr>
          <w:p>
            <w:r/>
            <w:r>
              <w:rPr>
                <w:rFonts w:ascii="Aptos" w:hAnsi="Aptos"/>
                <w:b w:val="0"/>
                <w:color w:val="10251D"/>
                <w:sz w:val="18"/>
              </w:rPr>
              <w:t>Adjustment</w:t>
            </w:r>
          </w:p>
        </w:tc>
        <w:tc>
          <w:tcPr>
            <w:tcW w:type="dxa" w:w="5040"/>
            <w:vAlign w:val="center"/>
            <w:shd w:fill="F3FAF6"/>
          </w:tcPr>
          <w:p>
            <w:r/>
            <w:r>
              <w:rPr>
                <w:rFonts w:ascii="Aptos" w:hAnsi="Aptos"/>
                <w:b w:val="0"/>
                <w:color w:val="10251D"/>
                <w:sz w:val="18"/>
              </w:rPr>
              <w:t>Accounting/adjustment-style records such as bad-debt adjustments</w:t>
            </w:r>
          </w:p>
        </w:tc>
      </w:tr>
    </w:tbl>
    <w:p/>
    <w:p>
      <w:r>
        <w:t>The product dashboard therefore focuses its product-performance views on regular products.</w:t>
      </w:r>
    </w:p>
    <w:p>
      <w:pPr>
        <w:pStyle w:val="Heading2"/>
      </w:pPr>
      <w:r>
        <w:t>Return-risk analysis</w:t>
      </w:r>
    </w:p>
    <w:p>
      <w:r>
        <w:t>Returns were analysed separately from normal sales. Product risk is based on returned quantity relative to sold quantity, with volume filters used so that a tiny number of transactions does not automatically become a major product-risk conclusion.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865A"/>
          </w:tcPr>
          <w:p>
            <w:r/>
            <w:r>
              <w:rPr>
                <w:rFonts w:ascii="Aptos" w:hAnsi="Aptos"/>
                <w:b/>
                <w:color w:val="FFFFFF"/>
                <w:sz w:val="18"/>
              </w:rPr>
              <w:t>Observed signal</w:t>
            </w:r>
          </w:p>
        </w:tc>
        <w:tc>
          <w:tcPr>
            <w:tcW w:type="dxa" w:w="5040"/>
            <w:vAlign w:val="center"/>
            <w:shd w:fill="16865A"/>
          </w:tcPr>
          <w:p>
            <w:r/>
            <w:r>
              <w:rPr>
                <w:rFonts w:ascii="Aptos" w:hAnsi="Aptos"/>
                <w:b/>
                <w:color w:val="FFFFFF"/>
                <w:sz w:val="18"/>
              </w:rPr>
              <w:t>Interpretation</w:t>
            </w:r>
          </w:p>
        </w:tc>
      </w:tr>
      <w:tr>
        <w:tc>
          <w:tcPr>
            <w:tcW w:type="dxa" w:w="5040"/>
            <w:vAlign w:val="center"/>
            <w:shd w:fill="F3FAF6"/>
          </w:tcPr>
          <w:p>
            <w:r/>
            <w:r>
              <w:rPr>
                <w:rFonts w:ascii="Aptos" w:hAnsi="Aptos"/>
                <w:b w:val="0"/>
                <w:color w:val="10251D"/>
                <w:sz w:val="18"/>
              </w:rPr>
              <w:t>23166 MEDIUM CERAMIC TOP STORAGE JAR</w:t>
            </w:r>
          </w:p>
        </w:tc>
        <w:tc>
          <w:tcPr>
            <w:tcW w:type="dxa" w:w="5040"/>
            <w:vAlign w:val="center"/>
            <w:shd w:fill="F3FAF6"/>
          </w:tcPr>
          <w:p>
            <w:r/>
            <w:r>
              <w:rPr>
                <w:rFonts w:ascii="Aptos" w:hAnsi="Aptos"/>
                <w:b w:val="0"/>
                <w:color w:val="10251D"/>
                <w:sz w:val="18"/>
              </w:rPr>
              <w:t>About 95.6% return rate; high-priority investigation signal</w:t>
            </w:r>
          </w:p>
        </w:tc>
      </w:tr>
      <w:tr>
        <w:tc>
          <w:tcPr>
            <w:tcW w:type="dxa" w:w="5040"/>
            <w:vAlign w:val="center"/>
          </w:tcPr>
          <w:p>
            <w:r/>
            <w:r>
              <w:rPr>
                <w:rFonts w:ascii="Aptos" w:hAnsi="Aptos"/>
                <w:b w:val="0"/>
                <w:color w:val="10251D"/>
                <w:sz w:val="18"/>
              </w:rPr>
              <w:t>48185 DOOR MAT FAIRY CAKE</w:t>
            </w:r>
          </w:p>
        </w:tc>
        <w:tc>
          <w:tcPr>
            <w:tcW w:type="dxa" w:w="5040"/>
            <w:vAlign w:val="center"/>
          </w:tcPr>
          <w:p>
            <w:r/>
            <w:r>
              <w:rPr>
                <w:rFonts w:ascii="Aptos" w:hAnsi="Aptos"/>
                <w:b w:val="0"/>
                <w:color w:val="10251D"/>
                <w:sz w:val="18"/>
              </w:rPr>
              <w:t>About 42.2% return rate; elevated return behaviour</w:t>
            </w:r>
          </w:p>
        </w:tc>
      </w:tr>
      <w:tr>
        <w:tc>
          <w:tcPr>
            <w:tcW w:type="dxa" w:w="5040"/>
            <w:vAlign w:val="center"/>
            <w:shd w:fill="F3FAF6"/>
          </w:tcPr>
          <w:p>
            <w:r/>
            <w:r>
              <w:rPr>
                <w:rFonts w:ascii="Aptos" w:hAnsi="Aptos"/>
                <w:b w:val="0"/>
                <w:color w:val="10251D"/>
                <w:sz w:val="18"/>
              </w:rPr>
              <w:t>79323W WHITE CHERRY LIGHTS</w:t>
            </w:r>
          </w:p>
        </w:tc>
        <w:tc>
          <w:tcPr>
            <w:tcW w:type="dxa" w:w="5040"/>
            <w:vAlign w:val="center"/>
            <w:shd w:fill="F3FAF6"/>
          </w:tcPr>
          <w:p>
            <w:r/>
            <w:r>
              <w:rPr>
                <w:rFonts w:ascii="Aptos" w:hAnsi="Aptos"/>
                <w:b w:val="0"/>
                <w:color w:val="10251D"/>
                <w:sz w:val="18"/>
              </w:rPr>
              <w:t>About 36.9% return rate; elevated return behaviour</w:t>
            </w:r>
          </w:p>
        </w:tc>
      </w:tr>
      <w:tr>
        <w:tc>
          <w:tcPr>
            <w:tcW w:type="dxa" w:w="5040"/>
            <w:vAlign w:val="center"/>
          </w:tcPr>
          <w:p>
            <w:r/>
            <w:r>
              <w:rPr>
                <w:rFonts w:ascii="Aptos" w:hAnsi="Aptos"/>
                <w:b w:val="0"/>
                <w:color w:val="10251D"/>
                <w:sz w:val="18"/>
              </w:rPr>
              <w:t>21843 RETRO SPOT CAKE STAND</w:t>
            </w:r>
          </w:p>
        </w:tc>
        <w:tc>
          <w:tcPr>
            <w:tcW w:type="dxa" w:w="5040"/>
            <w:vAlign w:val="center"/>
          </w:tcPr>
          <w:p>
            <w:r/>
            <w:r>
              <w:rPr>
                <w:rFonts w:ascii="Aptos" w:hAnsi="Aptos"/>
                <w:b w:val="0"/>
                <w:color w:val="10251D"/>
                <w:sz w:val="18"/>
              </w:rPr>
              <w:t>About 41.0% return rate; elevated return behaviour</w:t>
            </w:r>
          </w:p>
        </w:tc>
      </w:tr>
      <w:tr>
        <w:tc>
          <w:tcPr>
            <w:tcW w:type="dxa" w:w="5040"/>
            <w:vAlign w:val="center"/>
            <w:shd w:fill="F3FAF6"/>
          </w:tcPr>
          <w:p>
            <w:r/>
            <w:r>
              <w:rPr>
                <w:rFonts w:ascii="Aptos" w:hAnsi="Aptos"/>
                <w:b w:val="0"/>
                <w:color w:val="10251D"/>
                <w:sz w:val="18"/>
              </w:rPr>
              <w:t>23843 PAPER CRAFT, LITTLE BIRDIE</w:t>
            </w:r>
          </w:p>
        </w:tc>
        <w:tc>
          <w:tcPr>
            <w:tcW w:type="dxa" w:w="5040"/>
            <w:vAlign w:val="center"/>
            <w:shd w:fill="F3FAF6"/>
          </w:tcPr>
          <w:p>
            <w:r/>
            <w:r>
              <w:rPr>
                <w:rFonts w:ascii="Aptos" w:hAnsi="Aptos"/>
                <w:b w:val="0"/>
                <w:color w:val="10251D"/>
                <w:sz w:val="18"/>
              </w:rPr>
              <w:t>100% return rate across 1 order; anomaly, not a normal benchmark</w:t>
            </w:r>
          </w:p>
        </w:tc>
      </w:tr>
    </w:tbl>
    <w:p/>
    <w:tbl>
      <w:tblPr>
        <w:tblW w:type="auto" w:w="0"/>
        <w:jc w:val="center"/>
        <w:tblLook w:firstColumn="1" w:firstRow="1" w:lastColumn="0" w:lastRow="0" w:noHBand="0" w:noVBand="1" w:val="04A0"/>
      </w:tblPr>
      <w:tblGrid>
        <w:gridCol w:w="10080"/>
      </w:tblGrid>
      <w:tr>
        <w:tc>
          <w:tcPr>
            <w:tcW w:type="dxa" w:w="10080"/>
            <w:shd w:fill="DDF7E9"/>
          </w:tcPr>
          <w:p>
            <w:r>
              <w:rPr>
                <w:b/>
                <w:color w:val="16865A"/>
                <w:sz w:val="22"/>
              </w:rPr>
              <w:t>ANOMALY PRINCIPLE</w:t>
              <w:br/>
            </w:r>
            <w:r>
              <w:rPr>
                <w:color w:val="10251D"/>
                <w:sz w:val="20"/>
              </w:rPr>
              <w:t>A 100% return rate from one order is not equivalent to a 100% return rate across hundreds of orders. The dashboard therefore separates anomaly investigation from normal product benchmarking.</w:t>
            </w:r>
          </w:p>
        </w:tc>
      </w:tr>
    </w:tbl>
    <w:p/>
    <w:p>
      <w:pPr>
        <w:pStyle w:val="Heading1"/>
      </w:pPr>
      <w:r>
        <w:t>9. The Final RetailIQ Dashboard</w:t>
      </w:r>
    </w:p>
    <w:p>
      <w:r>
        <w:t>The dashboard was designed as a business-facing decision product rather than a collection of unrelated charts.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865A"/>
          </w:tcPr>
          <w:p>
            <w:r/>
            <w:r>
              <w:rPr>
                <w:rFonts w:ascii="Aptos" w:hAnsi="Aptos"/>
                <w:b/>
                <w:color w:val="FFFFFF"/>
                <w:sz w:val="18"/>
              </w:rPr>
              <w:t>Dashboard area</w:t>
            </w:r>
          </w:p>
        </w:tc>
        <w:tc>
          <w:tcPr>
            <w:tcW w:type="dxa" w:w="5040"/>
            <w:vAlign w:val="center"/>
            <w:shd w:fill="16865A"/>
          </w:tcPr>
          <w:p>
            <w:r/>
            <w:r>
              <w:rPr>
                <w:rFonts w:ascii="Aptos" w:hAnsi="Aptos"/>
                <w:b/>
                <w:color w:val="FFFFFF"/>
                <w:sz w:val="18"/>
              </w:rPr>
              <w:t>What the user learns</w:t>
            </w:r>
          </w:p>
        </w:tc>
      </w:tr>
      <w:tr>
        <w:tc>
          <w:tcPr>
            <w:tcW w:type="dxa" w:w="5040"/>
            <w:vAlign w:val="center"/>
            <w:shd w:fill="F3FAF6"/>
          </w:tcPr>
          <w:p>
            <w:r/>
            <w:r>
              <w:rPr>
                <w:rFonts w:ascii="Aptos" w:hAnsi="Aptos"/>
                <w:b w:val="0"/>
                <w:color w:val="10251D"/>
                <w:sz w:val="18"/>
              </w:rPr>
              <w:t>Executive Overview</w:t>
            </w:r>
          </w:p>
        </w:tc>
        <w:tc>
          <w:tcPr>
            <w:tcW w:type="dxa" w:w="5040"/>
            <w:vAlign w:val="center"/>
            <w:shd w:fill="F3FAF6"/>
          </w:tcPr>
          <w:p>
            <w:r/>
            <w:r>
              <w:rPr>
                <w:rFonts w:ascii="Aptos" w:hAnsi="Aptos"/>
                <w:b w:val="0"/>
                <w:color w:val="10251D"/>
                <w:sz w:val="18"/>
              </w:rPr>
              <w:t>Revenue, orders, customers, AOV, growth drivers, new vs returning revenue and markets</w:t>
            </w:r>
          </w:p>
        </w:tc>
      </w:tr>
      <w:tr>
        <w:tc>
          <w:tcPr>
            <w:tcW w:type="dxa" w:w="5040"/>
            <w:vAlign w:val="center"/>
          </w:tcPr>
          <w:p>
            <w:r/>
            <w:r>
              <w:rPr>
                <w:rFonts w:ascii="Aptos" w:hAnsi="Aptos"/>
                <w:b w:val="0"/>
                <w:color w:val="10251D"/>
                <w:sz w:val="18"/>
              </w:rPr>
              <w:t>Customer Intelligence</w:t>
            </w:r>
          </w:p>
        </w:tc>
        <w:tc>
          <w:tcPr>
            <w:tcW w:type="dxa" w:w="5040"/>
            <w:vAlign w:val="center"/>
          </w:tcPr>
          <w:p>
            <w:r/>
            <w:r>
              <w:rPr>
                <w:rFonts w:ascii="Aptos" w:hAnsi="Aptos"/>
                <w:b w:val="0"/>
                <w:color w:val="10251D"/>
                <w:sz w:val="18"/>
              </w:rPr>
              <w:t>RFM segments, revenue concentration, customer economics and retention watch</w:t>
            </w:r>
          </w:p>
        </w:tc>
      </w:tr>
      <w:tr>
        <w:tc>
          <w:tcPr>
            <w:tcW w:type="dxa" w:w="5040"/>
            <w:vAlign w:val="center"/>
            <w:shd w:fill="F3FAF6"/>
          </w:tcPr>
          <w:p>
            <w:r/>
            <w:r>
              <w:rPr>
                <w:rFonts w:ascii="Aptos" w:hAnsi="Aptos"/>
                <w:b w:val="0"/>
                <w:color w:val="10251D"/>
                <w:sz w:val="18"/>
              </w:rPr>
              <w:t>Product &amp; Revenue Risk</w:t>
            </w:r>
          </w:p>
        </w:tc>
        <w:tc>
          <w:tcPr>
            <w:tcW w:type="dxa" w:w="5040"/>
            <w:vAlign w:val="center"/>
            <w:shd w:fill="F3FAF6"/>
          </w:tcPr>
          <w:p>
            <w:r/>
            <w:r>
              <w:rPr>
                <w:rFonts w:ascii="Aptos" w:hAnsi="Aptos"/>
                <w:b w:val="0"/>
                <w:color w:val="10251D"/>
                <w:sz w:val="18"/>
              </w:rPr>
              <w:t>Top products, high-return products, return exposure and anomalies</w:t>
            </w:r>
          </w:p>
        </w:tc>
      </w:tr>
      <w:tr>
        <w:tc>
          <w:tcPr>
            <w:tcW w:type="dxa" w:w="5040"/>
            <w:vAlign w:val="center"/>
          </w:tcPr>
          <w:p>
            <w:r/>
            <w:r>
              <w:rPr>
                <w:rFonts w:ascii="Aptos" w:hAnsi="Aptos"/>
                <w:b w:val="0"/>
                <w:color w:val="10251D"/>
                <w:sz w:val="18"/>
              </w:rPr>
              <w:t>Decision Center</w:t>
            </w:r>
          </w:p>
        </w:tc>
        <w:tc>
          <w:tcPr>
            <w:tcW w:type="dxa" w:w="5040"/>
            <w:vAlign w:val="center"/>
          </w:tcPr>
          <w:p>
            <w:r/>
            <w:r>
              <w:rPr>
                <w:rFonts w:ascii="Aptos" w:hAnsi="Aptos"/>
                <w:b w:val="0"/>
                <w:color w:val="10251D"/>
                <w:sz w:val="18"/>
              </w:rPr>
              <w:t>Concrete business questions and actions supported by the analysis</w:t>
            </w:r>
          </w:p>
        </w:tc>
      </w:tr>
    </w:tbl>
    <w:p/>
    <w:p>
      <w:pPr>
        <w:pStyle w:val="Heading2"/>
      </w:pPr>
      <w:r>
        <w:t>Main dashboard filters</w:t>
      </w:r>
    </w:p>
    <w:p>
      <w:pPr>
        <w:pStyle w:val="ListBullet"/>
        <w:spacing w:after="60"/>
      </w:pPr>
      <w:r>
        <w:t>Analysis period</w:t>
      </w:r>
    </w:p>
    <w:p>
      <w:pPr>
        <w:pStyle w:val="ListBullet"/>
        <w:spacing w:after="60"/>
      </w:pPr>
      <w:r>
        <w:t>Market / country</w:t>
      </w:r>
    </w:p>
    <w:p>
      <w:pPr>
        <w:pStyle w:val="ListBullet"/>
        <w:spacing w:after="60"/>
      </w:pPr>
      <w:r>
        <w:t>Customer segment</w:t>
      </w:r>
    </w:p>
    <w:p>
      <w:pPr>
        <w:pStyle w:val="ListBullet"/>
        <w:spacing w:after="60"/>
      </w:pPr>
      <w:r>
        <w:t>Sales scope: all valid sales or regular products only</w:t>
      </w:r>
    </w:p>
    <w:p>
      <w:pPr>
        <w:pStyle w:val="Heading2"/>
      </w:pPr>
      <w:r>
        <w:t>Design philosophy</w:t>
      </w:r>
    </w:p>
    <w:p>
      <w:r>
        <w:t>The final interface uses a dark green/emerald visual identity, large business sections, high-contrast KPI cards, consistent chart styling and decision-oriented language. The purpose is to make the dashboard feel like a business product, not a classroom EDA.</w:t>
      </w:r>
    </w:p>
    <w:p>
      <w:pPr>
        <w:pStyle w:val="Heading1"/>
      </w:pPr>
      <w:r>
        <w:t>10. Business Recommendations / Decision Center</w:t>
      </w:r>
    </w:p>
    <w:p>
      <w:r>
        <w:t>The recommendations below are deliberately phrased as actions to investigate rather than unsupported claims about what management must do.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865A"/>
          </w:tcPr>
          <w:p>
            <w:r/>
            <w:r>
              <w:rPr>
                <w:rFonts w:ascii="Aptos" w:hAnsi="Aptos"/>
                <w:b/>
                <w:color w:val="FFFFFF"/>
                <w:sz w:val="18"/>
              </w:rPr>
              <w:t>Priority area</w:t>
            </w:r>
          </w:p>
        </w:tc>
        <w:tc>
          <w:tcPr>
            <w:tcW w:type="dxa" w:w="3360"/>
            <w:vAlign w:val="center"/>
            <w:shd w:fill="16865A"/>
          </w:tcPr>
          <w:p>
            <w:r/>
            <w:r>
              <w:rPr>
                <w:rFonts w:ascii="Aptos" w:hAnsi="Aptos"/>
                <w:b/>
                <w:color w:val="FFFFFF"/>
                <w:sz w:val="18"/>
              </w:rPr>
              <w:t>Evidence</w:t>
            </w:r>
          </w:p>
        </w:tc>
        <w:tc>
          <w:tcPr>
            <w:tcW w:type="dxa" w:w="3360"/>
            <w:vAlign w:val="center"/>
            <w:shd w:fill="16865A"/>
          </w:tcPr>
          <w:p>
            <w:r/>
            <w:r>
              <w:rPr>
                <w:rFonts w:ascii="Aptos" w:hAnsi="Aptos"/>
                <w:b/>
                <w:color w:val="FFFFFF"/>
                <w:sz w:val="18"/>
              </w:rPr>
              <w:t>Business action to investigate</w:t>
            </w:r>
          </w:p>
        </w:tc>
      </w:tr>
      <w:tr>
        <w:tc>
          <w:tcPr>
            <w:tcW w:type="dxa" w:w="3360"/>
            <w:vAlign w:val="center"/>
            <w:shd w:fill="F3FAF6"/>
          </w:tcPr>
          <w:p>
            <w:r/>
            <w:r>
              <w:rPr>
                <w:rFonts w:ascii="Aptos" w:hAnsi="Aptos"/>
                <w:b w:val="0"/>
                <w:color w:val="10251D"/>
                <w:sz w:val="18"/>
              </w:rPr>
              <w:t>High-value customer protection</w:t>
            </w:r>
          </w:p>
        </w:tc>
        <w:tc>
          <w:tcPr>
            <w:tcW w:type="dxa" w:w="3360"/>
            <w:vAlign w:val="center"/>
            <w:shd w:fill="F3FAF6"/>
          </w:tcPr>
          <w:p>
            <w:r/>
            <w:r>
              <w:rPr>
                <w:rFonts w:ascii="Aptos" w:hAnsi="Aptos"/>
                <w:b w:val="0"/>
                <w:color w:val="10251D"/>
                <w:sz w:val="18"/>
              </w:rPr>
              <w:t>Champions generate ~72.1% of identified revenue</w:t>
            </w:r>
          </w:p>
        </w:tc>
        <w:tc>
          <w:tcPr>
            <w:tcW w:type="dxa" w:w="3360"/>
            <w:vAlign w:val="center"/>
            <w:shd w:fill="F3FAF6"/>
          </w:tcPr>
          <w:p>
            <w:r/>
            <w:r>
              <w:rPr>
                <w:rFonts w:ascii="Aptos" w:hAnsi="Aptos"/>
                <w:b w:val="0"/>
                <w:color w:val="10251D"/>
                <w:sz w:val="18"/>
              </w:rPr>
              <w:t>Monitor recency/frequency deterioration and design retention actions around high-value customers</w:t>
            </w:r>
          </w:p>
        </w:tc>
      </w:tr>
      <w:tr>
        <w:tc>
          <w:tcPr>
            <w:tcW w:type="dxa" w:w="3360"/>
            <w:vAlign w:val="center"/>
          </w:tcPr>
          <w:p>
            <w:r/>
            <w:r>
              <w:rPr>
                <w:rFonts w:ascii="Aptos" w:hAnsi="Aptos"/>
                <w:b w:val="0"/>
                <w:color w:val="10251D"/>
                <w:sz w:val="18"/>
              </w:rPr>
              <w:t>Return exposure</w:t>
            </w:r>
          </w:p>
        </w:tc>
        <w:tc>
          <w:tcPr>
            <w:tcW w:type="dxa" w:w="3360"/>
            <w:vAlign w:val="center"/>
          </w:tcPr>
          <w:p>
            <w:r/>
            <w:r>
              <w:rPr>
                <w:rFonts w:ascii="Aptos" w:hAnsi="Aptos"/>
                <w:b w:val="0"/>
                <w:color w:val="10251D"/>
                <w:sz w:val="18"/>
              </w:rPr>
              <w:t>Several regular products show elevated return rates</w:t>
            </w:r>
          </w:p>
        </w:tc>
        <w:tc>
          <w:tcPr>
            <w:tcW w:type="dxa" w:w="3360"/>
            <w:vAlign w:val="center"/>
          </w:tcPr>
          <w:p>
            <w:r/>
            <w:r>
              <w:rPr>
                <w:rFonts w:ascii="Aptos" w:hAnsi="Aptos"/>
                <w:b w:val="0"/>
                <w:color w:val="10251D"/>
                <w:sz w:val="18"/>
              </w:rPr>
              <w:t>Review product quality, fulfilment, descriptions, customer expectations and underlying orders</w:t>
            </w:r>
          </w:p>
        </w:tc>
      </w:tr>
      <w:tr>
        <w:tc>
          <w:tcPr>
            <w:tcW w:type="dxa" w:w="3360"/>
            <w:vAlign w:val="center"/>
            <w:shd w:fill="F3FAF6"/>
          </w:tcPr>
          <w:p>
            <w:r/>
            <w:r>
              <w:rPr>
                <w:rFonts w:ascii="Aptos" w:hAnsi="Aptos"/>
                <w:b w:val="0"/>
                <w:color w:val="10251D"/>
                <w:sz w:val="18"/>
              </w:rPr>
              <w:t>Basket economics</w:t>
            </w:r>
          </w:p>
        </w:tc>
        <w:tc>
          <w:tcPr>
            <w:tcW w:type="dxa" w:w="3360"/>
            <w:vAlign w:val="center"/>
            <w:shd w:fill="F3FAF6"/>
          </w:tcPr>
          <w:p>
            <w:r/>
            <w:r>
              <w:rPr>
                <w:rFonts w:ascii="Aptos" w:hAnsi="Aptos"/>
                <w:b w:val="0"/>
                <w:color w:val="10251D"/>
                <w:sz w:val="18"/>
              </w:rPr>
              <w:t>November orders rose strongly while AOV declined</w:t>
            </w:r>
          </w:p>
        </w:tc>
        <w:tc>
          <w:tcPr>
            <w:tcW w:type="dxa" w:w="3360"/>
            <w:vAlign w:val="center"/>
            <w:shd w:fill="F3FAF6"/>
          </w:tcPr>
          <w:p>
            <w:r/>
            <w:r>
              <w:rPr>
                <w:rFonts w:ascii="Aptos" w:hAnsi="Aptos"/>
                <w:b w:val="0"/>
                <w:color w:val="10251D"/>
                <w:sz w:val="18"/>
              </w:rPr>
              <w:t>Investigate product mix, bundles, cross-sell and order composition</w:t>
            </w:r>
          </w:p>
        </w:tc>
      </w:tr>
      <w:tr>
        <w:tc>
          <w:tcPr>
            <w:tcW w:type="dxa" w:w="3360"/>
            <w:vAlign w:val="center"/>
          </w:tcPr>
          <w:p>
            <w:r/>
            <w:r>
              <w:rPr>
                <w:rFonts w:ascii="Aptos" w:hAnsi="Aptos"/>
                <w:b w:val="0"/>
                <w:color w:val="10251D"/>
                <w:sz w:val="18"/>
              </w:rPr>
              <w:t>International signals</w:t>
            </w:r>
          </w:p>
        </w:tc>
        <w:tc>
          <w:tcPr>
            <w:tcW w:type="dxa" w:w="3360"/>
            <w:vAlign w:val="center"/>
          </w:tcPr>
          <w:p>
            <w:r/>
            <w:r>
              <w:rPr>
                <w:rFonts w:ascii="Aptos" w:hAnsi="Aptos"/>
                <w:b w:val="0"/>
                <w:color w:val="10251D"/>
                <w:sz w:val="18"/>
              </w:rPr>
              <w:t>Some markets show high AOV but small customer bases</w:t>
            </w:r>
          </w:p>
        </w:tc>
        <w:tc>
          <w:tcPr>
            <w:tcW w:type="dxa" w:w="3360"/>
            <w:vAlign w:val="center"/>
          </w:tcPr>
          <w:p>
            <w:r/>
            <w:r>
              <w:rPr>
                <w:rFonts w:ascii="Aptos" w:hAnsi="Aptos"/>
                <w:b w:val="0"/>
                <w:color w:val="10251D"/>
                <w:sz w:val="18"/>
              </w:rPr>
              <w:t>Validate repeatability before making larger market-investment decisions</w:t>
            </w:r>
          </w:p>
        </w:tc>
      </w:tr>
      <w:tr>
        <w:tc>
          <w:tcPr>
            <w:tcW w:type="dxa" w:w="3360"/>
            <w:vAlign w:val="center"/>
            <w:shd w:fill="F3FAF6"/>
          </w:tcPr>
          <w:p>
            <w:r/>
            <w:r>
              <w:rPr>
                <w:rFonts w:ascii="Aptos" w:hAnsi="Aptos"/>
                <w:b w:val="0"/>
                <w:color w:val="10251D"/>
                <w:sz w:val="18"/>
              </w:rPr>
              <w:t>Transaction anomalies</w:t>
            </w:r>
          </w:p>
        </w:tc>
        <w:tc>
          <w:tcPr>
            <w:tcW w:type="dxa" w:w="3360"/>
            <w:vAlign w:val="center"/>
            <w:shd w:fill="F3FAF6"/>
          </w:tcPr>
          <w:p>
            <w:r/>
            <w:r>
              <w:rPr>
                <w:rFonts w:ascii="Aptos" w:hAnsi="Aptos"/>
                <w:b w:val="0"/>
                <w:color w:val="10251D"/>
                <w:sz w:val="18"/>
              </w:rPr>
              <w:t>Some products show extreme return behaviour with tiny order counts</w:t>
            </w:r>
          </w:p>
        </w:tc>
        <w:tc>
          <w:tcPr>
            <w:tcW w:type="dxa" w:w="3360"/>
            <w:vAlign w:val="center"/>
            <w:shd w:fill="F3FAF6"/>
          </w:tcPr>
          <w:p>
            <w:r/>
            <w:r>
              <w:rPr>
                <w:rFonts w:ascii="Aptos" w:hAnsi="Aptos"/>
                <w:b w:val="0"/>
                <w:color w:val="10251D"/>
                <w:sz w:val="18"/>
              </w:rPr>
              <w:t>Inspect source orders and operational context before treating them as normal product performance</w:t>
            </w:r>
          </w:p>
        </w:tc>
      </w:tr>
    </w:tbl>
    <w:p/>
    <w:p>
      <w:pPr>
        <w:pStyle w:val="Heading2"/>
      </w:pPr>
      <w:r>
        <w:t>How to think about these recommendations</w:t>
      </w:r>
    </w:p>
    <w:p>
      <w:r>
        <w:t>The dashboard is a decision-support tool. It identifies where to ask the next business question. It does not claim that correlation proves causation, and it does not replace operational validation.</w:t>
      </w:r>
    </w:p>
    <w:p>
      <w:pPr>
        <w:pStyle w:val="Heading1"/>
      </w:pPr>
      <w:r>
        <w:t>11. Important Caveats</w:t>
      </w:r>
    </w:p>
    <w:p>
      <w:pPr>
        <w:pStyle w:val="ListBullet"/>
        <w:spacing w:after="60"/>
      </w:pPr>
      <w:r>
        <w:t>The dataset is historical transaction data, not a controlled experiment. It should not be used to claim that a particular action caused a result.</w:t>
      </w:r>
    </w:p>
    <w:p>
      <w:pPr>
        <w:pStyle w:val="ListBullet"/>
        <w:spacing w:after="60"/>
      </w:pPr>
      <w:r>
        <w:t>Customer-level analysis excludes records without an identifiable Customer ID.</w:t>
      </w:r>
    </w:p>
    <w:p>
      <w:pPr>
        <w:pStyle w:val="ListBullet"/>
        <w:spacing w:after="60"/>
      </w:pPr>
      <w:r>
        <w:t>December 2011 is only a partial month through 9 December.</w:t>
      </w:r>
    </w:p>
    <w:p>
      <w:pPr>
        <w:pStyle w:val="ListBullet"/>
        <w:spacing w:after="60"/>
      </w:pPr>
      <w:r>
        <w:t>Small international customer counts can create high AOV values that are directional rather than definitive market conclusions.</w:t>
      </w:r>
    </w:p>
    <w:p>
      <w:pPr>
        <w:pStyle w:val="ListBullet"/>
        <w:spacing w:after="60"/>
      </w:pPr>
      <w:r>
        <w:t>RFM segment thresholds are project-defined analytical rules.</w:t>
      </w:r>
    </w:p>
    <w:p>
      <w:pPr>
        <w:pStyle w:val="ListBullet"/>
        <w:spacing w:after="60"/>
      </w:pPr>
      <w:r>
        <w:t>Bulk/wholesale-like transaction behaviour can make simple retail basket metrics such as items per order difficult to interpret.</w:t>
      </w:r>
    </w:p>
    <w:p>
      <w:pPr>
        <w:pStyle w:val="ListBullet"/>
        <w:spacing w:after="60"/>
      </w:pPr>
      <w:r>
        <w:t>Operational/service and adjustment records should not be mixed blindly with regular product performance.</w:t>
      </w:r>
    </w:p>
    <w:p>
      <w:pPr>
        <w:pStyle w:val="ListBullet"/>
        <w:spacing w:after="60"/>
      </w:pPr>
      <w:r>
        <w:t>Very high return rates with tiny order counts should be investigated before being used as normal benchmarks.</w:t>
      </w:r>
    </w:p>
    <w:p>
      <w:pPr>
        <w:pStyle w:val="Heading1"/>
      </w:pPr>
      <w:r>
        <w:t>12. If I Open This Project Again After 6 Months</w:t>
      </w:r>
    </w:p>
    <w:p>
      <w:r>
        <w:t>Use this page as the quick memory refresh.</w:t>
      </w:r>
    </w:p>
    <w:p>
      <w:pPr>
        <w:pStyle w:val="ListNumber"/>
        <w:spacing w:after="60"/>
      </w:pPr>
      <w:r>
        <w:t>Business goal: understand revenue quality, customer value, product performance and revenue risk.</w:t>
      </w:r>
    </w:p>
    <w:p>
      <w:pPr>
        <w:pStyle w:val="ListNumber"/>
        <w:spacing w:after="60"/>
      </w:pPr>
      <w:r>
        <w:t>Dataset: UCI Online Retail II, two yearly sheets combined into one transaction history.</w:t>
      </w:r>
    </w:p>
    <w:p>
      <w:pPr>
        <w:pStyle w:val="ListNumber"/>
        <w:spacing w:after="60"/>
      </w:pPr>
      <w:r>
        <w:t>Cleaning principle: remove exact duplicates, flag suspicious records, do not invent missing business values.</w:t>
      </w:r>
    </w:p>
    <w:p>
      <w:pPr>
        <w:pStyle w:val="ListNumber"/>
        <w:spacing w:after="60"/>
      </w:pPr>
      <w:r>
        <w:t>Core sales definition: valid positive quantity + valid positive price, with invalid/adjustment records excluded from normal sales revenue.</w:t>
      </w:r>
    </w:p>
    <w:p>
      <w:pPr>
        <w:pStyle w:val="ListNumber"/>
        <w:spacing w:after="60"/>
      </w:pPr>
      <w:r>
        <w:t>Customer layer: identifiable customers → RFM → Champions, Loyal Customers, Potential Loyalists, At Risk, Lost.</w:t>
      </w:r>
    </w:p>
    <w:p>
      <w:pPr>
        <w:pStyle w:val="ListNumber"/>
        <w:spacing w:after="60"/>
      </w:pPr>
      <w:r>
        <w:t>Product layer: classify operational/adjustment records so regular product performance is not distorted.</w:t>
      </w:r>
    </w:p>
    <w:p>
      <w:pPr>
        <w:pStyle w:val="ListNumber"/>
        <w:spacing w:after="60"/>
      </w:pPr>
      <w:r>
        <w:t>Risk layer: returns, revenue leakage and anomalies.</w:t>
      </w:r>
    </w:p>
    <w:p>
      <w:pPr>
        <w:pStyle w:val="ListNumber"/>
        <w:spacing w:after="60"/>
      </w:pPr>
      <w:r>
        <w:t>Dashboard story: Executive → Customer → Product/Risk → Decision Center.</w:t>
      </w:r>
    </w:p>
    <w:p>
      <w:pPr>
        <w:pStyle w:val="ListNumber"/>
        <w:spacing w:after="60"/>
      </w:pPr>
      <w:r>
        <w:t>Key finding to remember: revenue is highly concentrated in a relatively small high-value customer base.</w:t>
      </w:r>
    </w:p>
    <w:p>
      <w:pPr>
        <w:pStyle w:val="ListNumber"/>
        <w:spacing w:after="60"/>
      </w:pPr>
      <w:r>
        <w:t>Key risk to remember: returns and unusual transaction records need investigation before being treated as ordinary product performance.</w:t>
      </w:r>
    </w:p>
    <w:p>
      <w:pPr>
        <w:pStyle w:val="ListNumber"/>
        <w:spacing w:after="60"/>
      </w:pPr>
      <w:r>
        <w:t>Key growth lesson: always decompose revenue into customer count, order volume and AOV.</w:t>
      </w:r>
    </w:p>
    <w:tbl>
      <w:tblPr>
        <w:tblW w:type="auto" w:w="0"/>
        <w:jc w:val="center"/>
        <w:tblLook w:firstColumn="1" w:firstRow="1" w:lastColumn="0" w:lastRow="0" w:noHBand="0" w:noVBand="1" w:val="04A0"/>
      </w:tblPr>
      <w:tblGrid>
        <w:gridCol w:w="10080"/>
      </w:tblGrid>
      <w:tr>
        <w:tc>
          <w:tcPr>
            <w:tcW w:type="dxa" w:w="10080"/>
            <w:shd w:fill="DDF7E9"/>
          </w:tcPr>
          <w:p>
            <w:r>
              <w:rPr>
                <w:b/>
                <w:color w:val="16865A"/>
                <w:sz w:val="22"/>
              </w:rPr>
              <w:t>ONE-MINUTE PROJECT SUMMARY</w:t>
              <w:br/>
            </w:r>
            <w:r>
              <w:rPr>
                <w:color w:val="10251D"/>
                <w:sz w:val="20"/>
              </w:rPr>
              <w:t>RetailIQ converts raw retail transactions into a management view of revenue, customers and product risk. The project is strongest when used to ask better business questions: Who drives revenue? Why did revenue move? Where are returns creating risk? Which customer groups matter most? Which anomalies require investigation?</w:t>
            </w:r>
          </w:p>
        </w:tc>
      </w:tr>
    </w:tbl>
    <w:p/>
    <w:p>
      <w:pPr>
        <w:pStyle w:val="Heading1"/>
      </w:pPr>
      <w:r>
        <w:t>13. Simple Business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865A"/>
          </w:tcPr>
          <w:p>
            <w:r/>
            <w:r>
              <w:rPr>
                <w:rFonts w:ascii="Aptos" w:hAnsi="Aptos"/>
                <w:b/>
                <w:color w:val="FFFFFF"/>
                <w:sz w:val="18"/>
              </w:rPr>
              <w:t>Term</w:t>
            </w:r>
          </w:p>
        </w:tc>
        <w:tc>
          <w:tcPr>
            <w:tcW w:type="dxa" w:w="5040"/>
            <w:vAlign w:val="center"/>
            <w:shd w:fill="16865A"/>
          </w:tcPr>
          <w:p>
            <w:r/>
            <w:r>
              <w:rPr>
                <w:rFonts w:ascii="Aptos" w:hAnsi="Aptos"/>
                <w:b/>
                <w:color w:val="FFFFFF"/>
                <w:sz w:val="18"/>
              </w:rPr>
              <w:t>Simple meaning</w:t>
            </w:r>
          </w:p>
        </w:tc>
      </w:tr>
      <w:tr>
        <w:tc>
          <w:tcPr>
            <w:tcW w:type="dxa" w:w="5040"/>
            <w:vAlign w:val="center"/>
            <w:shd w:fill="F3FAF6"/>
          </w:tcPr>
          <w:p>
            <w:r/>
            <w:r>
              <w:rPr>
                <w:rFonts w:ascii="Aptos" w:hAnsi="Aptos"/>
                <w:b w:val="0"/>
                <w:color w:val="10251D"/>
                <w:sz w:val="18"/>
              </w:rPr>
              <w:t>Revenue</w:t>
            </w:r>
          </w:p>
        </w:tc>
        <w:tc>
          <w:tcPr>
            <w:tcW w:type="dxa" w:w="5040"/>
            <w:vAlign w:val="center"/>
            <w:shd w:fill="F3FAF6"/>
          </w:tcPr>
          <w:p>
            <w:r/>
            <w:r>
              <w:rPr>
                <w:rFonts w:ascii="Aptos" w:hAnsi="Aptos"/>
                <w:b w:val="0"/>
                <w:color w:val="10251D"/>
                <w:sz w:val="18"/>
              </w:rPr>
              <w:t>Money value generated by valid sales transactions</w:t>
            </w:r>
          </w:p>
        </w:tc>
      </w:tr>
      <w:tr>
        <w:tc>
          <w:tcPr>
            <w:tcW w:type="dxa" w:w="5040"/>
            <w:vAlign w:val="center"/>
          </w:tcPr>
          <w:p>
            <w:r/>
            <w:r>
              <w:rPr>
                <w:rFonts w:ascii="Aptos" w:hAnsi="Aptos"/>
                <w:b w:val="0"/>
                <w:color w:val="10251D"/>
                <w:sz w:val="18"/>
              </w:rPr>
              <w:t>Order</w:t>
            </w:r>
          </w:p>
        </w:tc>
        <w:tc>
          <w:tcPr>
            <w:tcW w:type="dxa" w:w="5040"/>
            <w:vAlign w:val="center"/>
          </w:tcPr>
          <w:p>
            <w:r/>
            <w:r>
              <w:rPr>
                <w:rFonts w:ascii="Aptos" w:hAnsi="Aptos"/>
                <w:b w:val="0"/>
                <w:color w:val="10251D"/>
                <w:sz w:val="18"/>
              </w:rPr>
              <w:t>A unique sales invoice used as an order-level unit</w:t>
            </w:r>
          </w:p>
        </w:tc>
      </w:tr>
      <w:tr>
        <w:tc>
          <w:tcPr>
            <w:tcW w:type="dxa" w:w="5040"/>
            <w:vAlign w:val="center"/>
            <w:shd w:fill="F3FAF6"/>
          </w:tcPr>
          <w:p>
            <w:r/>
            <w:r>
              <w:rPr>
                <w:rFonts w:ascii="Aptos" w:hAnsi="Aptos"/>
                <w:b w:val="0"/>
                <w:color w:val="10251D"/>
                <w:sz w:val="18"/>
              </w:rPr>
              <w:t>AOV</w:t>
            </w:r>
          </w:p>
        </w:tc>
        <w:tc>
          <w:tcPr>
            <w:tcW w:type="dxa" w:w="5040"/>
            <w:vAlign w:val="center"/>
            <w:shd w:fill="F3FAF6"/>
          </w:tcPr>
          <w:p>
            <w:r/>
            <w:r>
              <w:rPr>
                <w:rFonts w:ascii="Aptos" w:hAnsi="Aptos"/>
                <w:b w:val="0"/>
                <w:color w:val="10251D"/>
                <w:sz w:val="18"/>
              </w:rPr>
              <w:t>Average Order Value = revenue divided by orders</w:t>
            </w:r>
          </w:p>
        </w:tc>
      </w:tr>
      <w:tr>
        <w:tc>
          <w:tcPr>
            <w:tcW w:type="dxa" w:w="5040"/>
            <w:vAlign w:val="center"/>
          </w:tcPr>
          <w:p>
            <w:r/>
            <w:r>
              <w:rPr>
                <w:rFonts w:ascii="Aptos" w:hAnsi="Aptos"/>
                <w:b w:val="0"/>
                <w:color w:val="10251D"/>
                <w:sz w:val="18"/>
              </w:rPr>
              <w:t>Returning customer</w:t>
            </w:r>
          </w:p>
        </w:tc>
        <w:tc>
          <w:tcPr>
            <w:tcW w:type="dxa" w:w="5040"/>
            <w:vAlign w:val="center"/>
          </w:tcPr>
          <w:p>
            <w:r/>
            <w:r>
              <w:rPr>
                <w:rFonts w:ascii="Aptos" w:hAnsi="Aptos"/>
                <w:b w:val="0"/>
                <w:color w:val="10251D"/>
                <w:sz w:val="18"/>
              </w:rPr>
              <w:t>A customer who had purchased before the current purchase month</w:t>
            </w:r>
          </w:p>
        </w:tc>
      </w:tr>
      <w:tr>
        <w:tc>
          <w:tcPr>
            <w:tcW w:type="dxa" w:w="5040"/>
            <w:vAlign w:val="center"/>
            <w:shd w:fill="F3FAF6"/>
          </w:tcPr>
          <w:p>
            <w:r/>
            <w:r>
              <w:rPr>
                <w:rFonts w:ascii="Aptos" w:hAnsi="Aptos"/>
                <w:b w:val="0"/>
                <w:color w:val="10251D"/>
                <w:sz w:val="18"/>
              </w:rPr>
              <w:t>RFM</w:t>
            </w:r>
          </w:p>
        </w:tc>
        <w:tc>
          <w:tcPr>
            <w:tcW w:type="dxa" w:w="5040"/>
            <w:vAlign w:val="center"/>
            <w:shd w:fill="F3FAF6"/>
          </w:tcPr>
          <w:p>
            <w:r/>
            <w:r>
              <w:rPr>
                <w:rFonts w:ascii="Aptos" w:hAnsi="Aptos"/>
                <w:b w:val="0"/>
                <w:color w:val="10251D"/>
                <w:sz w:val="18"/>
              </w:rPr>
              <w:t>Recency, Frequency and Monetary customer-value framework</w:t>
            </w:r>
          </w:p>
        </w:tc>
      </w:tr>
      <w:tr>
        <w:tc>
          <w:tcPr>
            <w:tcW w:type="dxa" w:w="5040"/>
            <w:vAlign w:val="center"/>
          </w:tcPr>
          <w:p>
            <w:r/>
            <w:r>
              <w:rPr>
                <w:rFonts w:ascii="Aptos" w:hAnsi="Aptos"/>
                <w:b w:val="0"/>
                <w:color w:val="10251D"/>
                <w:sz w:val="18"/>
              </w:rPr>
              <w:t>Champion</w:t>
            </w:r>
          </w:p>
        </w:tc>
        <w:tc>
          <w:tcPr>
            <w:tcW w:type="dxa" w:w="5040"/>
            <w:vAlign w:val="center"/>
          </w:tcPr>
          <w:p>
            <w:r/>
            <w:r>
              <w:rPr>
                <w:rFonts w:ascii="Aptos" w:hAnsi="Aptos"/>
                <w:b w:val="0"/>
                <w:color w:val="10251D"/>
                <w:sz w:val="18"/>
              </w:rPr>
              <w:t>High-value/high-engagement customer according to project RFM rules</w:t>
            </w:r>
          </w:p>
        </w:tc>
      </w:tr>
      <w:tr>
        <w:tc>
          <w:tcPr>
            <w:tcW w:type="dxa" w:w="5040"/>
            <w:vAlign w:val="center"/>
            <w:shd w:fill="F3FAF6"/>
          </w:tcPr>
          <w:p>
            <w:r/>
            <w:r>
              <w:rPr>
                <w:rFonts w:ascii="Aptos" w:hAnsi="Aptos"/>
                <w:b w:val="0"/>
                <w:color w:val="10251D"/>
                <w:sz w:val="18"/>
              </w:rPr>
              <w:t>Return rate</w:t>
            </w:r>
          </w:p>
        </w:tc>
        <w:tc>
          <w:tcPr>
            <w:tcW w:type="dxa" w:w="5040"/>
            <w:vAlign w:val="center"/>
            <w:shd w:fill="F3FAF6"/>
          </w:tcPr>
          <w:p>
            <w:r/>
            <w:r>
              <w:rPr>
                <w:rFonts w:ascii="Aptos" w:hAnsi="Aptos"/>
                <w:b w:val="0"/>
                <w:color w:val="10251D"/>
                <w:sz w:val="18"/>
              </w:rPr>
              <w:t>Returned quantity compared with sold quantity</w:t>
            </w:r>
          </w:p>
        </w:tc>
      </w:tr>
      <w:tr>
        <w:tc>
          <w:tcPr>
            <w:tcW w:type="dxa" w:w="5040"/>
            <w:vAlign w:val="center"/>
          </w:tcPr>
          <w:p>
            <w:r/>
            <w:r>
              <w:rPr>
                <w:rFonts w:ascii="Aptos" w:hAnsi="Aptos"/>
                <w:b w:val="0"/>
                <w:color w:val="10251D"/>
                <w:sz w:val="18"/>
              </w:rPr>
              <w:t>Revenue leakage</w:t>
            </w:r>
          </w:p>
        </w:tc>
        <w:tc>
          <w:tcPr>
            <w:tcW w:type="dxa" w:w="5040"/>
            <w:vAlign w:val="center"/>
          </w:tcPr>
          <w:p>
            <w:r/>
            <w:r>
              <w:rPr>
                <w:rFonts w:ascii="Aptos" w:hAnsi="Aptos"/>
                <w:b w:val="0"/>
                <w:color w:val="10251D"/>
                <w:sz w:val="18"/>
              </w:rPr>
              <w:t>Sales value exposed to returns/reversals</w:t>
            </w:r>
          </w:p>
        </w:tc>
      </w:tr>
      <w:tr>
        <w:tc>
          <w:tcPr>
            <w:tcW w:type="dxa" w:w="5040"/>
            <w:vAlign w:val="center"/>
            <w:shd w:fill="F3FAF6"/>
          </w:tcPr>
          <w:p>
            <w:r/>
            <w:r>
              <w:rPr>
                <w:rFonts w:ascii="Aptos" w:hAnsi="Aptos"/>
                <w:b w:val="0"/>
                <w:color w:val="10251D"/>
                <w:sz w:val="18"/>
              </w:rPr>
              <w:t>Pareto / concentration</w:t>
            </w:r>
          </w:p>
        </w:tc>
        <w:tc>
          <w:tcPr>
            <w:tcW w:type="dxa" w:w="5040"/>
            <w:vAlign w:val="center"/>
            <w:shd w:fill="F3FAF6"/>
          </w:tcPr>
          <w:p>
            <w:r/>
            <w:r>
              <w:rPr>
                <w:rFonts w:ascii="Aptos" w:hAnsi="Aptos"/>
                <w:b w:val="0"/>
                <w:color w:val="10251D"/>
                <w:sz w:val="18"/>
              </w:rPr>
              <w:t>How much revenue is generated by the highest-value portion of customers</w:t>
            </w:r>
          </w:p>
        </w:tc>
      </w:tr>
      <w:tr>
        <w:tc>
          <w:tcPr>
            <w:tcW w:type="dxa" w:w="5040"/>
            <w:vAlign w:val="center"/>
          </w:tcPr>
          <w:p>
            <w:r/>
            <w:r>
              <w:rPr>
                <w:rFonts w:ascii="Aptos" w:hAnsi="Aptos"/>
                <w:b w:val="0"/>
                <w:color w:val="10251D"/>
                <w:sz w:val="18"/>
              </w:rPr>
              <w:t>Anomaly</w:t>
            </w:r>
          </w:p>
        </w:tc>
        <w:tc>
          <w:tcPr>
            <w:tcW w:type="dxa" w:w="5040"/>
            <w:vAlign w:val="center"/>
          </w:tcPr>
          <w:p>
            <w:r/>
            <w:r>
              <w:rPr>
                <w:rFonts w:ascii="Aptos" w:hAnsi="Aptos"/>
                <w:b w:val="0"/>
                <w:color w:val="10251D"/>
                <w:sz w:val="18"/>
              </w:rPr>
              <w:t>A result unusual enough to require investigation before interpretation</w:t>
            </w:r>
          </w:p>
        </w:tc>
      </w:tr>
    </w:tbl>
    <w:p/>
    <w:p>
      <w:pPr>
        <w:pStyle w:val="Heading1"/>
      </w:pPr>
      <w:r>
        <w:t>14. Final Project Statement</w:t>
      </w:r>
    </w:p>
    <w:p>
      <w:r>
        <w:t>RetailIQ is not just a dashboard. It is a complete business-analysis workflow: raw data → trusted data → business definitions → customer intelligence → product risk → decisions.</w:t>
      </w:r>
    </w:p>
    <w:p>
      <w:r>
        <w:t>The most important achievement is that every major visual in the final dashboard has a business question behind it. That makes the project explainable in an interview, maintainable as a portfolio project, and understandable months later.</w:t>
      </w:r>
    </w:p>
    <w:p>
      <w:pPr>
        <w:jc w:val="center"/>
      </w:pPr>
      <w:r>
        <w:rPr>
          <w:b/>
          <w:color w:val="16865A"/>
          <w:sz w:val="24"/>
        </w:rPr>
        <w:t>RETAILIQ  •  Revenue &amp; Customer Intelligence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63"/>
        <w:sz w:val="16"/>
      </w:rPr>
      <w:t xml:space="preserve">RetailIQ  •  Business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025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865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251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86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86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B63"/>
      <w:sz w:val="17"/>
    </w:rPr>
  </w:style>
  <w:style w:type="paragraph" w:customStyle="1" w:styleId="Callout">
    <w:name w:val="Callout"/>
    <w:rPr>
      <w:rFonts w:ascii="Aptos" w:hAnsi="Aptos"/>
      <w:b/>
      <w:color w:val="10251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