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FE8" w:rsidRDefault="005D3338" w:rsidP="005D3338">
      <w:pPr>
        <w:pStyle w:val="Heading1"/>
      </w:pPr>
      <w:proofErr w:type="spellStart"/>
      <w:r w:rsidRPr="005D3338">
        <w:t>Ans.To.the</w:t>
      </w:r>
      <w:proofErr w:type="spellEnd"/>
      <w:r w:rsidRPr="005D3338">
        <w:t xml:space="preserve"> Question No: 01</w:t>
      </w:r>
    </w:p>
    <w:p w:rsidR="005D3338" w:rsidRDefault="005D3338" w:rsidP="005D3338">
      <w:pPr>
        <w:jc w:val="center"/>
        <w:rPr>
          <w:rFonts w:ascii="Times New Roman" w:hAnsi="Times New Roman" w:cs="Times New Roman"/>
          <w:b/>
          <w:sz w:val="36"/>
          <w:szCs w:val="28"/>
          <w:u w:val="single"/>
        </w:rPr>
      </w:pPr>
    </w:p>
    <w:p w:rsidR="005D3338" w:rsidRDefault="005D3338" w:rsidP="005D3338">
      <w:pPr>
        <w:pStyle w:val="Heading2"/>
      </w:pPr>
      <w:proofErr w:type="gramStart"/>
      <w:r>
        <w:lastRenderedPageBreak/>
        <w:t>1.A.1</w:t>
      </w:r>
      <w:proofErr w:type="gramEnd"/>
      <w:r>
        <w:t>.)</w:t>
      </w:r>
    </w:p>
    <w:p w:rsidR="00141DFE" w:rsidRDefault="00141DFE" w:rsidP="00141DFE">
      <w:pPr>
        <w:pStyle w:val="Heading3"/>
        <w:rPr>
          <w:rStyle w:val="Strong"/>
          <w:b/>
          <w:bCs/>
        </w:rPr>
        <w:sectPr w:rsidR="00141DFE" w:rsidSect="005D3338">
          <w:type w:val="continuous"/>
          <w:pgSz w:w="12240" w:h="15840"/>
          <w:pgMar w:top="1440" w:right="1440" w:bottom="1440" w:left="1440" w:header="720" w:footer="720" w:gutter="0"/>
          <w:cols w:num="2" w:space="720"/>
          <w:docGrid w:linePitch="360"/>
        </w:sectPr>
      </w:pPr>
    </w:p>
    <w:p w:rsidR="00141DFE" w:rsidRDefault="00141DFE" w:rsidP="00141DFE">
      <w:pPr>
        <w:pStyle w:val="Heading3"/>
      </w:pPr>
      <w:r>
        <w:rPr>
          <w:rStyle w:val="Strong"/>
          <w:b/>
          <w:bCs/>
        </w:rPr>
        <w:lastRenderedPageBreak/>
        <w:t>What is EDGE?</w:t>
      </w:r>
    </w:p>
    <w:p w:rsidR="00141DFE" w:rsidRDefault="00141DFE" w:rsidP="00141DFE">
      <w:pPr>
        <w:pStyle w:val="NormalWeb"/>
      </w:pPr>
      <w:r>
        <w:t>EDGE (Enhanced Data rates for GSM Evolution) is a mobile technology that enhances data transmission rates in GSM networks. It is considered a 2.75G technology, bridging the gap between 2G (GPRS) and 3G networks. EDGE improves data speeds by using advanced modulation techniques, allowing faster internet browsing, email access, and multimedia messaging on mobile devices.</w:t>
      </w:r>
    </w:p>
    <w:p w:rsidR="00141DFE" w:rsidRDefault="00141DFE" w:rsidP="00141DFE">
      <w:pPr>
        <w:pStyle w:val="Heading3"/>
      </w:pPr>
      <w:r>
        <w:rPr>
          <w:rStyle w:val="Strong"/>
          <w:b/>
          <w:bCs/>
        </w:rPr>
        <w:lastRenderedPageBreak/>
        <w:t>Features and Benefits of EDGE</w:t>
      </w:r>
    </w:p>
    <w:p w:rsidR="00141DFE" w:rsidRDefault="00141DFE" w:rsidP="00141DFE">
      <w:pPr>
        <w:pStyle w:val="NormalWeb"/>
      </w:pPr>
      <w:r>
        <w:t>EDGE provides a significant speed boost compared to its predecessor, GPRS, with data rates of up to 384 kbps under ideal conditions. It allows for more efficient spectrum utilization and better support for mobile applications. Although EDGE is slower than 3G and 4G technologies, it played a crucial role in the transition from basic mobile internet to more advanced broadband services.</w:t>
      </w:r>
    </w:p>
    <w:p w:rsidR="00141DFE" w:rsidRDefault="00141DFE" w:rsidP="00141DFE">
      <w:pPr>
        <w:jc w:val="both"/>
        <w:sectPr w:rsidR="00141DFE" w:rsidSect="00106B36">
          <w:type w:val="continuous"/>
          <w:pgSz w:w="12240" w:h="15840"/>
          <w:pgMar w:top="1440" w:right="1440" w:bottom="1440" w:left="1440" w:header="720" w:footer="720" w:gutter="0"/>
          <w:cols w:num="2" w:space="720"/>
          <w:docGrid w:linePitch="360"/>
        </w:sectPr>
      </w:pPr>
    </w:p>
    <w:p w:rsidR="00141DFE" w:rsidRPr="00141DFE" w:rsidRDefault="00141DFE" w:rsidP="00141DFE">
      <w:pPr>
        <w:jc w:val="both"/>
      </w:pPr>
    </w:p>
    <w:p w:rsidR="005D3338" w:rsidRDefault="00106B36" w:rsidP="00106B36">
      <w:pPr>
        <w:pStyle w:val="Heading2"/>
      </w:pPr>
      <w:r>
        <w:t>A.A.2)</w:t>
      </w:r>
    </w:p>
    <w:p w:rsidR="00106B36" w:rsidRDefault="00106B36" w:rsidP="00106B36"/>
    <w:p w:rsidR="00106B36" w:rsidRPr="00F254FD" w:rsidRDefault="00106B36" w:rsidP="00106B36">
      <w:pPr>
        <w:rPr>
          <w:rFonts w:eastAsiaTheme="minorEastAsia"/>
          <w:sz w:val="44"/>
        </w:rPr>
      </w:pPr>
      <m:oMathPara>
        <m:oMath>
          <m:nary>
            <m:naryPr>
              <m:limLoc m:val="undOvr"/>
              <m:ctrlPr>
                <w:rPr>
                  <w:rFonts w:ascii="Cambria Math" w:hAnsi="Cambria Math"/>
                  <w:i/>
                  <w:sz w:val="44"/>
                </w:rPr>
              </m:ctrlPr>
            </m:naryPr>
            <m:sub>
              <m:r>
                <w:rPr>
                  <w:rFonts w:ascii="Cambria Math" w:hAnsi="Cambria Math"/>
                  <w:sz w:val="44"/>
                </w:rPr>
                <m:t>0</m:t>
              </m:r>
            </m:sub>
            <m:sup>
              <m:r>
                <w:rPr>
                  <w:rFonts w:ascii="Cambria Math" w:hAnsi="Cambria Math"/>
                  <w:sz w:val="44"/>
                </w:rPr>
                <m:t>π\2</m:t>
              </m:r>
            </m:sup>
            <m:e>
              <m:f>
                <m:fPr>
                  <m:ctrlPr>
                    <w:rPr>
                      <w:rFonts w:ascii="Cambria Math" w:hAnsi="Cambria Math"/>
                      <w:i/>
                      <w:sz w:val="44"/>
                    </w:rPr>
                  </m:ctrlPr>
                </m:fPr>
                <m:num>
                  <m:rad>
                    <m:radPr>
                      <m:degHide m:val="1"/>
                      <m:ctrlPr>
                        <w:rPr>
                          <w:rFonts w:ascii="Cambria Math" w:hAnsi="Cambria Math"/>
                          <w:i/>
                          <w:sz w:val="44"/>
                        </w:rPr>
                      </m:ctrlPr>
                    </m:radPr>
                    <m:deg/>
                    <m:e>
                      <m:sPre>
                        <m:sPrePr>
                          <m:ctrlPr>
                            <w:rPr>
                              <w:rFonts w:ascii="Cambria Math" w:hAnsi="Cambria Math"/>
                              <w:i/>
                              <w:sz w:val="44"/>
                            </w:rPr>
                          </m:ctrlPr>
                        </m:sPrePr>
                        <m:sub>
                          <m:r>
                            <w:rPr>
                              <w:rFonts w:ascii="Cambria Math" w:hAnsi="Cambria Math"/>
                              <w:sz w:val="44"/>
                            </w:rPr>
                            <m:t>1</m:t>
                          </m:r>
                        </m:sub>
                        <m:sup>
                          <m:r>
                            <w:rPr>
                              <w:rFonts w:ascii="Cambria Math" w:hAnsi="Cambria Math"/>
                              <w:sz w:val="44"/>
                            </w:rPr>
                            <m:t>n</m:t>
                          </m:r>
                        </m:sup>
                        <m:e>
                          <m:r>
                            <w:rPr>
                              <w:rFonts w:ascii="Cambria Math" w:hAnsi="Cambria Math"/>
                              <w:sz w:val="44"/>
                            </w:rPr>
                            <m:t>Y</m:t>
                          </m:r>
                        </m:e>
                      </m:sPre>
                      <m:r>
                        <w:rPr>
                          <w:rFonts w:ascii="Cambria Math" w:hAnsi="Cambria Math"/>
                          <w:sz w:val="44"/>
                        </w:rPr>
                        <m:t xml:space="preserve"> </m:t>
                      </m:r>
                    </m:e>
                  </m:rad>
                  <m:sSup>
                    <m:sSupPr>
                      <m:ctrlPr>
                        <w:rPr>
                          <w:rFonts w:ascii="Cambria Math" w:hAnsi="Cambria Math"/>
                          <w:i/>
                          <w:sz w:val="44"/>
                        </w:rPr>
                      </m:ctrlPr>
                    </m:sSupPr>
                    <m:e>
                      <m:r>
                        <w:rPr>
                          <w:rFonts w:ascii="Cambria Math" w:hAnsi="Cambria Math"/>
                          <w:sz w:val="44"/>
                        </w:rPr>
                        <m:t>sinh</m:t>
                      </m:r>
                    </m:e>
                    <m:sup>
                      <m:r>
                        <w:rPr>
                          <w:rFonts w:ascii="Cambria Math" w:hAnsi="Cambria Math"/>
                          <w:sz w:val="44"/>
                        </w:rPr>
                        <m:t>-1</m:t>
                      </m:r>
                    </m:sup>
                  </m:sSup>
                  <m:r>
                    <w:rPr>
                      <w:rFonts w:ascii="Cambria Math" w:hAnsi="Cambria Math"/>
                      <w:sz w:val="44"/>
                    </w:rPr>
                    <m:t xml:space="preserve"> x dx</m:t>
                  </m:r>
                </m:num>
                <m:den>
                  <m:rad>
                    <m:radPr>
                      <m:degHide m:val="1"/>
                      <m:ctrlPr>
                        <w:rPr>
                          <w:rFonts w:ascii="Cambria Math" w:hAnsi="Cambria Math"/>
                          <w:i/>
                          <w:sz w:val="44"/>
                        </w:rPr>
                      </m:ctrlPr>
                    </m:radPr>
                    <m:deg/>
                    <m:e>
                      <m:sSup>
                        <m:sSupPr>
                          <m:ctrlPr>
                            <w:rPr>
                              <w:rFonts w:ascii="Cambria Math" w:hAnsi="Cambria Math"/>
                              <w:i/>
                              <w:sz w:val="44"/>
                            </w:rPr>
                          </m:ctrlPr>
                        </m:sSupPr>
                        <m:e>
                          <m:r>
                            <w:rPr>
                              <w:rFonts w:ascii="Cambria Math" w:hAnsi="Cambria Math"/>
                              <w:sz w:val="44"/>
                            </w:rPr>
                            <m:t>e</m:t>
                          </m:r>
                        </m:e>
                        <m:sup>
                          <m:r>
                            <w:rPr>
                              <w:rFonts w:ascii="Cambria Math" w:hAnsi="Cambria Math"/>
                              <w:sz w:val="44"/>
                            </w:rPr>
                            <m:t>-iωt</m:t>
                          </m:r>
                        </m:sup>
                      </m:sSup>
                    </m:e>
                  </m:rad>
                </m:den>
              </m:f>
            </m:e>
          </m:nary>
        </m:oMath>
      </m:oMathPara>
    </w:p>
    <w:p w:rsidR="00F254FD" w:rsidRDefault="00F254FD" w:rsidP="00106B36">
      <w:pPr>
        <w:rPr>
          <w:rFonts w:eastAsiaTheme="minorEastAsia"/>
          <w:sz w:val="44"/>
        </w:rPr>
      </w:pPr>
    </w:p>
    <w:p w:rsidR="00F254FD" w:rsidRDefault="00F254FD" w:rsidP="00106B36">
      <w:pPr>
        <w:rPr>
          <w:rFonts w:eastAsiaTheme="minorEastAsia"/>
          <w:sz w:val="44"/>
        </w:rPr>
      </w:pPr>
    </w:p>
    <w:p w:rsidR="00F254FD" w:rsidRDefault="00F254FD" w:rsidP="00106B36">
      <w:pPr>
        <w:rPr>
          <w:rFonts w:eastAsiaTheme="minorEastAsia"/>
          <w:sz w:val="44"/>
        </w:rPr>
      </w:pPr>
    </w:p>
    <w:p w:rsidR="00F254FD" w:rsidRDefault="00F254FD" w:rsidP="00106B36">
      <w:pPr>
        <w:rPr>
          <w:rFonts w:eastAsiaTheme="minorEastAsia"/>
          <w:sz w:val="44"/>
        </w:rPr>
      </w:pPr>
    </w:p>
    <w:p w:rsidR="00F254FD" w:rsidRDefault="00F254FD" w:rsidP="00F254FD">
      <w:r>
        <w:br w:type="page"/>
      </w:r>
    </w:p>
    <w:p w:rsidR="00F254FD" w:rsidRDefault="00F254FD" w:rsidP="00106B36">
      <w:pPr>
        <w:rPr>
          <w:sz w:val="44"/>
        </w:rPr>
      </w:pPr>
      <w:r>
        <w:rPr>
          <w:sz w:val="44"/>
        </w:rPr>
        <w:lastRenderedPageBreak/>
        <w:t>B)</w:t>
      </w:r>
    </w:p>
    <w:p w:rsidR="00F254FD" w:rsidRDefault="00F074E7" w:rsidP="00106B36">
      <w:pPr>
        <w:rPr>
          <w:sz w:val="44"/>
        </w:rPr>
      </w:pPr>
      <w:r>
        <w:rPr>
          <w:noProof/>
          <w:sz w:val="44"/>
        </w:rPr>
        <w:drawing>
          <wp:inline distT="0" distB="0" distL="0" distR="0">
            <wp:extent cx="6030930" cy="3298005"/>
            <wp:effectExtent l="0" t="0" r="27305"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54FD" w:rsidRPr="00106B36" w:rsidRDefault="00F254FD" w:rsidP="00106B36">
      <w:pPr>
        <w:rPr>
          <w:sz w:val="44"/>
        </w:rPr>
      </w:pPr>
      <w:bookmarkStart w:id="0" w:name="_GoBack"/>
      <w:bookmarkEnd w:id="0"/>
    </w:p>
    <w:sectPr w:rsidR="00F254FD" w:rsidRPr="00106B36" w:rsidSect="00EE2A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00"/>
    <w:rsid w:val="00106B36"/>
    <w:rsid w:val="00141DFE"/>
    <w:rsid w:val="002B700F"/>
    <w:rsid w:val="005D3338"/>
    <w:rsid w:val="00666FE8"/>
    <w:rsid w:val="006F582A"/>
    <w:rsid w:val="00794600"/>
    <w:rsid w:val="00E74649"/>
    <w:rsid w:val="00EE2AA1"/>
    <w:rsid w:val="00F074E7"/>
    <w:rsid w:val="00F2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338"/>
    <w:pPr>
      <w:keepNext/>
      <w:keepLines/>
      <w:spacing w:before="480" w:after="0"/>
      <w:jc w:val="center"/>
      <w:outlineLvl w:val="0"/>
    </w:pPr>
    <w:rPr>
      <w:rFonts w:ascii="Times New Roman" w:eastAsiaTheme="majorEastAsia" w:hAnsi="Times New Roman" w:cstheme="majorBidi"/>
      <w:b/>
      <w:bCs/>
      <w:color w:val="000000" w:themeColor="text1"/>
      <w:sz w:val="36"/>
      <w:szCs w:val="28"/>
      <w:u w:val="single"/>
    </w:rPr>
  </w:style>
  <w:style w:type="paragraph" w:styleId="Heading2">
    <w:name w:val="heading 2"/>
    <w:basedOn w:val="Normal"/>
    <w:next w:val="Normal"/>
    <w:link w:val="Heading2Char"/>
    <w:uiPriority w:val="9"/>
    <w:unhideWhenUsed/>
    <w:qFormat/>
    <w:rsid w:val="005D3338"/>
    <w:pPr>
      <w:keepNext/>
      <w:keepLines/>
      <w:spacing w:before="200" w:after="0"/>
      <w:outlineLvl w:val="1"/>
    </w:pPr>
    <w:rPr>
      <w:rFonts w:ascii="Times New Roman" w:eastAsiaTheme="majorEastAsia" w:hAnsi="Times New Roman" w:cstheme="majorBidi"/>
      <w:b/>
      <w:bCs/>
      <w:color w:val="000000" w:themeColor="text1"/>
      <w:sz w:val="36"/>
      <w:szCs w:val="26"/>
    </w:rPr>
  </w:style>
  <w:style w:type="paragraph" w:styleId="Heading3">
    <w:name w:val="heading 3"/>
    <w:basedOn w:val="Normal"/>
    <w:next w:val="Normal"/>
    <w:link w:val="Heading3Char"/>
    <w:uiPriority w:val="9"/>
    <w:semiHidden/>
    <w:unhideWhenUsed/>
    <w:qFormat/>
    <w:rsid w:val="00141D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338"/>
    <w:rPr>
      <w:rFonts w:ascii="Times New Roman" w:eastAsiaTheme="majorEastAsia" w:hAnsi="Times New Roman" w:cstheme="majorBidi"/>
      <w:b/>
      <w:bCs/>
      <w:color w:val="000000" w:themeColor="text1"/>
      <w:sz w:val="36"/>
      <w:szCs w:val="28"/>
      <w:u w:val="single"/>
    </w:rPr>
  </w:style>
  <w:style w:type="character" w:customStyle="1" w:styleId="Heading2Char">
    <w:name w:val="Heading 2 Char"/>
    <w:basedOn w:val="DefaultParagraphFont"/>
    <w:link w:val="Heading2"/>
    <w:uiPriority w:val="9"/>
    <w:rsid w:val="005D3338"/>
    <w:rPr>
      <w:rFonts w:ascii="Times New Roman" w:eastAsiaTheme="majorEastAsia" w:hAnsi="Times New Roman" w:cstheme="majorBidi"/>
      <w:b/>
      <w:bCs/>
      <w:color w:val="000000" w:themeColor="text1"/>
      <w:sz w:val="36"/>
      <w:szCs w:val="26"/>
    </w:rPr>
  </w:style>
  <w:style w:type="character" w:customStyle="1" w:styleId="Heading3Char">
    <w:name w:val="Heading 3 Char"/>
    <w:basedOn w:val="DefaultParagraphFont"/>
    <w:link w:val="Heading3"/>
    <w:uiPriority w:val="9"/>
    <w:semiHidden/>
    <w:rsid w:val="00141D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41DFE"/>
    <w:rPr>
      <w:b/>
      <w:bCs/>
    </w:rPr>
  </w:style>
  <w:style w:type="paragraph" w:styleId="NormalWeb">
    <w:name w:val="Normal (Web)"/>
    <w:basedOn w:val="Normal"/>
    <w:uiPriority w:val="99"/>
    <w:semiHidden/>
    <w:unhideWhenUsed/>
    <w:rsid w:val="00141DF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06B36"/>
    <w:rPr>
      <w:color w:val="808080"/>
    </w:rPr>
  </w:style>
  <w:style w:type="paragraph" w:styleId="BalloonText">
    <w:name w:val="Balloon Text"/>
    <w:basedOn w:val="Normal"/>
    <w:link w:val="BalloonTextChar"/>
    <w:uiPriority w:val="99"/>
    <w:semiHidden/>
    <w:unhideWhenUsed/>
    <w:rsid w:val="0010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B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338"/>
    <w:pPr>
      <w:keepNext/>
      <w:keepLines/>
      <w:spacing w:before="480" w:after="0"/>
      <w:jc w:val="center"/>
      <w:outlineLvl w:val="0"/>
    </w:pPr>
    <w:rPr>
      <w:rFonts w:ascii="Times New Roman" w:eastAsiaTheme="majorEastAsia" w:hAnsi="Times New Roman" w:cstheme="majorBidi"/>
      <w:b/>
      <w:bCs/>
      <w:color w:val="000000" w:themeColor="text1"/>
      <w:sz w:val="36"/>
      <w:szCs w:val="28"/>
      <w:u w:val="single"/>
    </w:rPr>
  </w:style>
  <w:style w:type="paragraph" w:styleId="Heading2">
    <w:name w:val="heading 2"/>
    <w:basedOn w:val="Normal"/>
    <w:next w:val="Normal"/>
    <w:link w:val="Heading2Char"/>
    <w:uiPriority w:val="9"/>
    <w:unhideWhenUsed/>
    <w:qFormat/>
    <w:rsid w:val="005D3338"/>
    <w:pPr>
      <w:keepNext/>
      <w:keepLines/>
      <w:spacing w:before="200" w:after="0"/>
      <w:outlineLvl w:val="1"/>
    </w:pPr>
    <w:rPr>
      <w:rFonts w:ascii="Times New Roman" w:eastAsiaTheme="majorEastAsia" w:hAnsi="Times New Roman" w:cstheme="majorBidi"/>
      <w:b/>
      <w:bCs/>
      <w:color w:val="000000" w:themeColor="text1"/>
      <w:sz w:val="36"/>
      <w:szCs w:val="26"/>
    </w:rPr>
  </w:style>
  <w:style w:type="paragraph" w:styleId="Heading3">
    <w:name w:val="heading 3"/>
    <w:basedOn w:val="Normal"/>
    <w:next w:val="Normal"/>
    <w:link w:val="Heading3Char"/>
    <w:uiPriority w:val="9"/>
    <w:semiHidden/>
    <w:unhideWhenUsed/>
    <w:qFormat/>
    <w:rsid w:val="00141D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338"/>
    <w:rPr>
      <w:rFonts w:ascii="Times New Roman" w:eastAsiaTheme="majorEastAsia" w:hAnsi="Times New Roman" w:cstheme="majorBidi"/>
      <w:b/>
      <w:bCs/>
      <w:color w:val="000000" w:themeColor="text1"/>
      <w:sz w:val="36"/>
      <w:szCs w:val="28"/>
      <w:u w:val="single"/>
    </w:rPr>
  </w:style>
  <w:style w:type="character" w:customStyle="1" w:styleId="Heading2Char">
    <w:name w:val="Heading 2 Char"/>
    <w:basedOn w:val="DefaultParagraphFont"/>
    <w:link w:val="Heading2"/>
    <w:uiPriority w:val="9"/>
    <w:rsid w:val="005D3338"/>
    <w:rPr>
      <w:rFonts w:ascii="Times New Roman" w:eastAsiaTheme="majorEastAsia" w:hAnsi="Times New Roman" w:cstheme="majorBidi"/>
      <w:b/>
      <w:bCs/>
      <w:color w:val="000000" w:themeColor="text1"/>
      <w:sz w:val="36"/>
      <w:szCs w:val="26"/>
    </w:rPr>
  </w:style>
  <w:style w:type="character" w:customStyle="1" w:styleId="Heading3Char">
    <w:name w:val="Heading 3 Char"/>
    <w:basedOn w:val="DefaultParagraphFont"/>
    <w:link w:val="Heading3"/>
    <w:uiPriority w:val="9"/>
    <w:semiHidden/>
    <w:rsid w:val="00141D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41DFE"/>
    <w:rPr>
      <w:b/>
      <w:bCs/>
    </w:rPr>
  </w:style>
  <w:style w:type="paragraph" w:styleId="NormalWeb">
    <w:name w:val="Normal (Web)"/>
    <w:basedOn w:val="Normal"/>
    <w:uiPriority w:val="99"/>
    <w:semiHidden/>
    <w:unhideWhenUsed/>
    <w:rsid w:val="00141DF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06B36"/>
    <w:rPr>
      <w:color w:val="808080"/>
    </w:rPr>
  </w:style>
  <w:style w:type="paragraph" w:styleId="BalloonText">
    <w:name w:val="Balloon Text"/>
    <w:basedOn w:val="Normal"/>
    <w:link w:val="BalloonTextChar"/>
    <w:uiPriority w:val="99"/>
    <w:semiHidden/>
    <w:unhideWhenUsed/>
    <w:rsid w:val="0010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areaChart>
        <c:grouping val="stacked"/>
        <c:varyColors val="0"/>
        <c:ser>
          <c:idx val="0"/>
          <c:order val="0"/>
          <c:tx>
            <c:strRef>
              <c:f>Sheet1!$B$1</c:f>
              <c:strCache>
                <c:ptCount val="1"/>
                <c:pt idx="0">
                  <c:v>Reborn Kid(%)</c:v>
                </c:pt>
              </c:strCache>
            </c:strRef>
          </c:tx>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0.17</c:v>
                </c:pt>
                <c:pt idx="1">
                  <c:v>0.1</c:v>
                </c:pt>
                <c:pt idx="2">
                  <c:v>0.17</c:v>
                </c:pt>
                <c:pt idx="3">
                  <c:v>0.23</c:v>
                </c:pt>
                <c:pt idx="4">
                  <c:v>0.31</c:v>
                </c:pt>
                <c:pt idx="5">
                  <c:v>0.18</c:v>
                </c:pt>
                <c:pt idx="6">
                  <c:v>0.11</c:v>
                </c:pt>
              </c:numCache>
            </c:numRef>
          </c:val>
        </c:ser>
        <c:ser>
          <c:idx val="1"/>
          <c:order val="1"/>
          <c:tx>
            <c:strRef>
              <c:f>Sheet1!$C$1</c:f>
              <c:strCache>
                <c:ptCount val="1"/>
                <c:pt idx="0">
                  <c:v>Bucket Slope(%)</c:v>
                </c:pt>
              </c:strCache>
            </c:strRef>
          </c:tx>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0.06</c:v>
                </c:pt>
                <c:pt idx="1">
                  <c:v>0.06</c:v>
                </c:pt>
                <c:pt idx="2">
                  <c:v>0.05</c:v>
                </c:pt>
                <c:pt idx="3">
                  <c:v>0.06</c:v>
                </c:pt>
                <c:pt idx="4">
                  <c:v>7.0000000000000007E-2</c:v>
                </c:pt>
                <c:pt idx="5">
                  <c:v>7.0000000000000007E-2</c:v>
                </c:pt>
                <c:pt idx="6">
                  <c:v>0.05</c:v>
                </c:pt>
              </c:numCache>
            </c:numRef>
          </c:val>
        </c:ser>
        <c:ser>
          <c:idx val="2"/>
          <c:order val="2"/>
          <c:tx>
            <c:strRef>
              <c:f>Sheet1!$D$1</c:f>
              <c:strCache>
                <c:ptCount val="1"/>
                <c:pt idx="0">
                  <c:v>Tank Pictures(%)</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ser>
        <c:ser>
          <c:idx val="3"/>
          <c:order val="3"/>
          <c:tx>
            <c:strRef>
              <c:f>Sheet1!$E$1</c:f>
              <c:strCache>
                <c:ptCount val="1"/>
                <c:pt idx="0">
                  <c:v>strintimg calf</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0.37</c:v>
                </c:pt>
                <c:pt idx="1">
                  <c:v>0.26</c:v>
                </c:pt>
                <c:pt idx="2">
                  <c:v>0.3</c:v>
                </c:pt>
                <c:pt idx="3">
                  <c:v>0.38</c:v>
                </c:pt>
                <c:pt idx="4">
                  <c:v>0.16</c:v>
                </c:pt>
                <c:pt idx="5">
                  <c:v>0.33</c:v>
                </c:pt>
                <c:pt idx="6">
                  <c:v>0.37</c:v>
                </c:pt>
              </c:numCache>
            </c:numRef>
          </c:val>
        </c:ser>
        <c:ser>
          <c:idx val="4"/>
          <c:order val="4"/>
          <c:tx>
            <c:strRef>
              <c:f>Sheet1!$F$1</c:f>
              <c:strCache>
                <c:ptCount val="1"/>
                <c:pt idx="0">
                  <c:v>Marine sprite(%)</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0.31</c:v>
                </c:pt>
                <c:pt idx="1">
                  <c:v>0.45</c:v>
                </c:pt>
                <c:pt idx="2">
                  <c:v>0.38</c:v>
                </c:pt>
                <c:pt idx="3">
                  <c:v>0.27</c:v>
                </c:pt>
                <c:pt idx="4">
                  <c:v>0.27</c:v>
                </c:pt>
                <c:pt idx="5">
                  <c:v>0.33</c:v>
                </c:pt>
                <c:pt idx="6">
                  <c:v>0.24</c:v>
                </c:pt>
              </c:numCache>
            </c:numRef>
          </c:val>
        </c:ser>
        <c:dLbls>
          <c:showLegendKey val="0"/>
          <c:showVal val="0"/>
          <c:showCatName val="0"/>
          <c:showSerName val="0"/>
          <c:showPercent val="0"/>
          <c:showBubbleSize val="0"/>
        </c:dLbls>
        <c:axId val="280691072"/>
        <c:axId val="280692608"/>
      </c:areaChart>
      <c:catAx>
        <c:axId val="280691072"/>
        <c:scaling>
          <c:orientation val="minMax"/>
        </c:scaling>
        <c:delete val="0"/>
        <c:axPos val="b"/>
        <c:numFmt formatCode="General" sourceLinked="1"/>
        <c:majorTickMark val="none"/>
        <c:minorTickMark val="none"/>
        <c:tickLblPos val="nextTo"/>
        <c:crossAx val="280692608"/>
        <c:crosses val="autoZero"/>
        <c:auto val="1"/>
        <c:lblAlgn val="ctr"/>
        <c:lblOffset val="100"/>
        <c:noMultiLvlLbl val="0"/>
      </c:catAx>
      <c:valAx>
        <c:axId val="280692608"/>
        <c:scaling>
          <c:orientation val="minMax"/>
        </c:scaling>
        <c:delete val="0"/>
        <c:axPos val="l"/>
        <c:majorGridlines/>
        <c:numFmt formatCode="0%" sourceLinked="1"/>
        <c:majorTickMark val="none"/>
        <c:minorTickMark val="none"/>
        <c:tickLblPos val="nextTo"/>
        <c:crossAx val="280691072"/>
        <c:crosses val="autoZero"/>
        <c:crossBetween val="midCat"/>
      </c:valAx>
      <c:dTable>
        <c:showHorzBorder val="1"/>
        <c:showVertBorder val="1"/>
        <c:showOutline val="1"/>
        <c:showKeys val="1"/>
      </c:dTable>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601A6-9E96-47EF-B7E3-A12BAC33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ddddd</dc:creator>
  <cp:keywords/>
  <dc:description/>
  <cp:lastModifiedBy>ddddd</cp:lastModifiedBy>
  <cp:revision>7</cp:revision>
  <dcterms:created xsi:type="dcterms:W3CDTF">2025-01-30T10:11:00Z</dcterms:created>
  <dcterms:modified xsi:type="dcterms:W3CDTF">2025-01-30T11:04:00Z</dcterms:modified>
</cp:coreProperties>
</file>