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Calibri" w:hAnsi="Calibri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eastAsia="Calibri" w:cs="Times New Roman" w:ascii="Times New Roman" w:hAnsi="Times New Roman"/>
          <w:b/>
          <w:bCs/>
          <w:sz w:val="28"/>
          <w:szCs w:val="28"/>
        </w:rPr>
        <w:t>ДОГОВОР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eastAsia="Calibri" w:cs="Times New Roman" w:ascii="Times New Roman" w:hAnsi="Times New Roman"/>
          <w:b/>
          <w:bCs/>
          <w:sz w:val="28"/>
          <w:szCs w:val="28"/>
        </w:rPr>
        <w:t>инвестирования в строительство многоквартирного жилого дома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г. Избербаш</w:t>
        <w:tab/>
        <w:tab/>
        <w:tab/>
        <w:tab/>
        <w:tab/>
        <w:tab/>
        <w:tab/>
        <w:tab/>
        <w:t>{current_date}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firstLine="708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Общество с ограниченной ответственностью «Строительная компания ИСХА КОНЦЕПТ»</w:t>
      </w:r>
      <w:r>
        <w:rPr>
          <w:rFonts w:eastAsia="Calibri" w:cs="Times New Roman" w:ascii="Times New Roman" w:hAnsi="Times New Roman"/>
          <w:sz w:val="24"/>
          <w:szCs w:val="24"/>
        </w:rPr>
        <w:t xml:space="preserve">, в лице генерального директора Магомедова Ислама Абусупьяновича, действующего на основании Устава, именуемое в дальнейшем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«Застройщик»</w:t>
      </w:r>
      <w:r>
        <w:rPr>
          <w:rFonts w:eastAsia="Calibri" w:cs="Times New Roman" w:ascii="Times New Roman" w:hAnsi="Times New Roman"/>
          <w:sz w:val="24"/>
          <w:szCs w:val="24"/>
        </w:rPr>
        <w:t>, с одной стороны, 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Фамилия Имя Отчество:  </w:t>
      </w:r>
      <w:r>
        <w:rPr>
          <w:rFonts w:eastAsia="Times New Roman" w:ascii="Times New Roman" w:hAnsi="Times New Roman"/>
          <w:b/>
          <w:bCs/>
          <w:color w:val="auto"/>
          <w:sz w:val="24"/>
          <w:szCs w:val="24"/>
          <w:lang w:val="ru-RU"/>
        </w:rPr>
        <w:t>{fullname}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auto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color w:val="auto"/>
          <w:sz w:val="24"/>
          <w:szCs w:val="24"/>
          <w:lang w:val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Дата рождения:                    {birthdate}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Паспорт:                                {passport}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Выдан когда и кем:              {passport_issue_date} {passport_issued_by}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en-US"/>
        </w:rPr>
        <w:t>Код подразделения:             {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passport_division_code}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en-US"/>
        </w:rPr>
        <w:t>Зарегистрирован:                 {registration_address}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именуемый (именуемая) в дальнейшем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Инвестор,</w:t>
      </w:r>
      <w:r>
        <w:rPr>
          <w:rFonts w:eastAsia="Calibri" w:cs="Times New Roman" w:ascii="Times New Roman" w:hAnsi="Times New Roman"/>
          <w:sz w:val="24"/>
          <w:szCs w:val="24"/>
        </w:rPr>
        <w:t xml:space="preserve"> с другой стороны,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заключили настоящий договор (далее – «Договор») о следующем:</w:t>
      </w:r>
    </w:p>
    <w:p>
      <w:pPr>
        <w:pStyle w:val="Normal"/>
        <w:spacing w:lineRule="auto" w:line="240" w:before="0" w:after="0"/>
        <w:ind w:start="72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start="72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ПРЕДМЕТ ДОГОВОРА</w:t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Многоквартирный жилой дом,</w:t>
      </w:r>
      <w:r>
        <w:rPr>
          <w:rFonts w:eastAsia="Calibri" w:cs="Times New Roman" w:ascii="Times New Roman" w:hAnsi="Times New Roman"/>
          <w:sz w:val="24"/>
          <w:szCs w:val="24"/>
        </w:rPr>
        <w:t xml:space="preserve"> расположенный по адресу: Российская Федерация, Республика Дагестан, г. Избербаш, ул. Межлумова, д. 11/1,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 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Объектом инвестирования (далее – по тексту Помещение), подлежащим передаче Инвестору в рамках настоящего договора являются помещение, расположенное по адресу: Российская Федерация, Республика Дагестан, г. Избербаш, ул. Межлумова, д. 11/1, и имеет следующие параметры: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ab/>
        <w:t>Корпус: {building}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            </w:t>
      </w: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 xml:space="preserve">Условный строительный номер: </w:t>
      </w:r>
      <w:r>
        <w:rPr>
          <w:rFonts w:eastAsia="Calibri" w:cs="Times New Roman" w:ascii="Times New Roman" w:hAnsi="Times New Roman"/>
          <w:sz w:val="24"/>
          <w:szCs w:val="24"/>
        </w:rPr>
        <w:t>{construction_number}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ab/>
        <w:t xml:space="preserve">Этаж: </w:t>
      </w:r>
      <w:r>
        <w:rPr>
          <w:rFonts w:eastAsia="Calibri" w:cs="Times New Roman" w:ascii="Times New Roman" w:hAnsi="Times New Roman"/>
          <w:sz w:val="24"/>
          <w:szCs w:val="24"/>
        </w:rPr>
        <w:t>{floor}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ab/>
        <w:t>Количество комнат: {rooms}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Общая проектная площадь, кв.м. {area}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Строительство Многоквартирного жилого дома осуществляется на земельном участке с кадастровым номером 05:49:000039:2973 общей площадью 10 000 кв.м., правами на использование которого для строительства Застройщик обладает на основании договора купли-продажи земельного участка от 23 августа 2022 года. 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Разрешение на строительство</w:t>
      </w:r>
      <w:r>
        <w:rPr>
          <w:rFonts w:eastAsia="Calibri" w:cs="Times New Roman" w:ascii="Times New Roman" w:hAnsi="Times New Roman"/>
          <w:sz w:val="24"/>
          <w:szCs w:val="24"/>
        </w:rPr>
        <w:t xml:space="preserve"> от 28.11.2022 № 05</w:t>
      </w:r>
      <w:r>
        <w:rPr>
          <w:rFonts w:eastAsia="Calibri" w:cs="Times New Roman" w:ascii="Times New Roman" w:hAnsi="Times New Roman"/>
          <w:sz w:val="24"/>
          <w:szCs w:val="24"/>
          <w:lang w:val="en-US"/>
        </w:rPr>
        <w:t>RU</w:t>
      </w:r>
      <w:r>
        <w:rPr>
          <w:rFonts w:eastAsia="Calibri" w:cs="Times New Roman" w:ascii="Times New Roman" w:hAnsi="Times New Roman"/>
          <w:sz w:val="24"/>
          <w:szCs w:val="24"/>
        </w:rPr>
        <w:t>05304000-20-2022, выдано Отделом архитектуры и строительства г. Избербаш РД.</w:t>
      </w:r>
    </w:p>
    <w:p>
      <w:pPr>
        <w:pStyle w:val="Normal"/>
        <w:numPr>
          <w:ilvl w:val="1"/>
          <w:numId w:val="2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Заключая настоящий договор, Инвестор подтверждает, 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ЦЕНА ДОГОВОРА. ПОРЯДОК РАСЧЁТОВ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Цена Договора, подлежащая уплате Инвестором Застройщику, составляет сумму в размере {price} рублей, исходя из стоимости одного квадратного метра в размере {price_per_square} рублей.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Инвестор обязуется оплатить цену Договора в следующем порядке: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Первый платеж в размере {initial_payment_percent} % от Цены договора, указанной в п. 2.1 Договора, что составляет {initial_payment} рублей, в течение 3 (трех) календарных дней с даты заключения настоящего Договора.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Оставшаяся сумма оплачивается в порядке, предусмотренном Графиком платежей (Приложение № 1).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ПОРЯДОК ПЕРЕДАЧИ ПОМЕЩЕНИЯ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Передача </w:t>
      </w:r>
      <w:bookmarkStart w:id="0" w:name="_Hlk185007834"/>
      <w:r>
        <w:rPr>
          <w:rFonts w:eastAsia="Calibri" w:cs="Times New Roman" w:ascii="Times New Roman" w:hAnsi="Times New Roman"/>
          <w:sz w:val="24"/>
          <w:szCs w:val="24"/>
        </w:rPr>
        <w:t>Помещения</w:t>
      </w:r>
      <w:bookmarkEnd w:id="0"/>
      <w:r>
        <w:rPr>
          <w:rFonts w:eastAsia="Calibri" w:cs="Times New Roman" w:ascii="Times New Roman" w:hAnsi="Times New Roman"/>
          <w:sz w:val="24"/>
          <w:szCs w:val="24"/>
        </w:rPr>
        <w:t xml:space="preserve"> Застройщиком и принятие его Инвестором осуществляются по передаточному акту.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Срок получения разрешения на ввод в эксплуатацию - 01 декабря 2027 года.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Срок передачи Помещения Инвестору – после 28 января 2028 года.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 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 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 6 (шесть) месяцев, проинформировав об этом Инвестора в письменном виде.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направляет участнику долевого строительства письменное сообщение о завершении строительства и о готовности Помещения к передаче.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Риск случайной гибели или случайного повреждения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</w:rPr>
        <w:t>Помещения, оплату коммунальных услуг после подписания акта приема-передачи квартиры, несет Инвестор.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 для передачи Помещения Инвестору, вправе составить односторонний акт о 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Площадь Помещения, указанная в п. 1.2 Договора, может быть изменена (уточнена) согласно данным технической инвентаризации. Указанное уточнение площади 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>
      <w:pPr>
        <w:pStyle w:val="Normal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Участнику.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Застройщику.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  <w:highlight w:val="yellow"/>
        </w:rPr>
      </w:pPr>
      <w:r>
        <w:rPr>
          <w:rFonts w:eastAsia="Calibri" w:cs="Times New Roman" w:ascii="Times New Roman" w:hAnsi="Times New Roman"/>
          <w:sz w:val="24"/>
          <w:szCs w:val="24"/>
          <w:highlight w:val="yellow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  <w:highlight w:val="yellow"/>
        </w:rPr>
      </w:pPr>
      <w:r>
        <w:rPr>
          <w:rFonts w:eastAsia="Calibri" w:cs="Times New Roman" w:ascii="Times New Roman" w:hAnsi="Times New Roman"/>
          <w:sz w:val="24"/>
          <w:szCs w:val="24"/>
          <w:highlight w:val="yellow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ОБЯЗАТЕЛЬСТВА СТОРОН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Застройщик обязан: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4.1.1. В полном объёме и в срок выполнять все положения настоящего Договора;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4.1.2. 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4.1.3. Организовать мероприятия по техническому надзору за ходом организации и производства строительно-монтажных работ;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4.1.4. Обеспечить ввод Многоквартирного жилого дома в эксплуатацию в срок, указанный в п. 3.3 Договора;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4.1.5. После завершения строительства Многоквартирного жилого дома передать Инвестору Помещение по акту приёма-передачи</w:t>
      </w:r>
      <w:r>
        <w:rPr>
          <w:rFonts w:cs="Times New Roman" w:ascii="Times New Roman" w:hAnsi="Times New Roman"/>
          <w:sz w:val="24"/>
          <w:szCs w:val="24"/>
        </w:rPr>
        <w:t>, п</w:t>
      </w:r>
      <w:r>
        <w:rPr>
          <w:rFonts w:eastAsia="Calibri" w:cs="Times New Roman" w:ascii="Times New Roman" w:hAnsi="Times New Roman"/>
          <w:sz w:val="24"/>
          <w:szCs w:val="24"/>
        </w:rPr>
        <w:t>ри условии надлежащего исполнения Инвестором обязательств по оплате денежных средств;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4.1.6. Информировать Инвестора о проекте строительства Помещения, ходе строительства Помещения,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</w:rPr>
        <w:t>о сроках ввода жилого дома в эксплуатацию;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4.1.7. После получения разрешения на ввод в эксплуатацию Многоквартирного жилого дома письменно уведомить Участника долевого строительства о готовности передачи Помещения и необходимости подписания акта приема-передачи.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 обязан: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4.2.1. Своевременно, осуществлять платежи, в соответствии с Графиком платежей.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4.2.2. Принять Помещение по акту приёма-передачи в течение 10 дней после получения от Застройщика уведомления о готовности передачи Помещения;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4.2.3.  До регистрации права собственности на Помещение в Управлении федеральной службы государственной регистрации, кадастра и картографии Республики Дагестан Инвестор не вправе производить перепланировку, переоборудование Помещения, остекление лоджий и балконов, прокладку любых дополнительных сетей и 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электроразводки, без предварительного письменного согласования с Застройщиком;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4.2.4. 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Застройщик вправе: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4.3.1. Определять в соответствии с настоящим Договором и проектом объемы и конкретные направления использования инвестиций.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4.3.2. Привлекать подрядчиков для выполнения строительных и иных работ;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4.3.3. Обеспечивать контроль за соответствием объема и качества выполняемых работ.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4.3.4. Осуществить досрочную передачу Помещения Инвестору.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4.3.5. В случае невнесения Инвестором платежей более 2 (двух) месяцев, 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Инвестор вправе: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4.4.1. Получать информацию о проекте строительства Помещения, ходе строительства Помещения, о сроках ввода жилого дома в эксплуатацию;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4.4.2. Назначить доверенное лицо для представления интересов в отношениях с Застройщиком на основании нотариально удостоверенной доверенности;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4.4.3. 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ГАРАНТИЯ КАЧЕСТВА И ОТВЕТСТВЕННОСТЬ СТОРОН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Гарантийный срок для Помещения устанавливается договором и составляет пять лет.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Гарантийный срок на технологическое и инженерное оборудование, входящее в состав передаваемого Инвестору Помещения составляет три года.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Указанные гарантийные сроки исчисляется со дня передачи Помещения Инвестору по акту приема-передачи.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гарантирует Инвестору, что передаваемое Помещение будет построено в соответствии с требованиями государственных норм и правил.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Застройщик гарантирует Инвестору, что передаваемое Помещение, не подарено, не заложено, свободно от обязательств, в споре и под запретом не состоит, или каким-либо иным образом не обременено.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 момента подписания сторонами настоящего Договора, Стороны обязуются в полном объеме исполнять свои права и обязанности, предусмотренные настоящим Договором.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Договор может быть расторгнут также по обоюдному согласию сторон.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Все споры и разногласия Стороны будут стремиться урегулировать в досудебном порядке.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ЗАКЛЮЧИТЕЛЬНЫЕ ПОЛОЖЕНИЯ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>
      <w:pPr>
        <w:pStyle w:val="ListParagraph"/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ListParagraph"/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240" w:before="0" w:after="0"/>
        <w:ind w:hanging="567" w:start="567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РЕКВИЗИТЫ И ПОДПИСИ СТОРОН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tbl>
      <w:tblPr>
        <w:tblStyle w:val="a3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390"/>
        <w:gridCol w:w="4955"/>
      </w:tblGrid>
      <w:tr>
        <w:trPr/>
        <w:tc>
          <w:tcPr>
            <w:tcW w:w="4390" w:type="dxa"/>
            <w:tcBorders/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>ЗАСТРОЙЩИК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b/>
                <w:sz w:val="24"/>
              </w:rPr>
            </w:pPr>
            <w:r>
              <w:rPr>
                <w:b/>
                <w:kern w:val="0"/>
                <w:sz w:val="24"/>
                <w:szCs w:val="22"/>
                <w:lang w:val="ru-RU" w:eastAsia="en-US" w:bidi="ar-SA"/>
              </w:rPr>
              <w:t>ООО</w:t>
            </w: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b/>
                <w:kern w:val="0"/>
                <w:sz w:val="24"/>
                <w:szCs w:val="22"/>
                <w:lang w:val="ru-RU" w:eastAsia="en-US" w:bidi="ar-SA"/>
              </w:rPr>
              <w:t>«ИСХА КОНЦЕПТ</w:t>
            </w:r>
            <w:r>
              <w:rPr>
                <w:b/>
                <w:spacing w:val="-2"/>
                <w:kern w:val="0"/>
                <w:sz w:val="24"/>
                <w:szCs w:val="22"/>
                <w:lang w:val="ru-RU" w:eastAsia="en-US" w:bidi="ar-SA"/>
              </w:rPr>
              <w:t>»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ОГРН</w:t>
            </w:r>
            <w:r>
              <w:rPr>
                <w:spacing w:val="-3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1250500015644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ИНН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 0500040900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КПП</w:t>
            </w:r>
            <w:r>
              <w:rPr>
                <w:spacing w:val="-3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050001001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ind w:start="57"/>
              <w:jc w:val="start"/>
              <w:rPr>
                <w:sz w:val="26"/>
                <w:szCs w:val="26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Юридический адрес: </w:t>
            </w:r>
            <w:r>
              <w:rPr>
                <w:rFonts w:eastAsia="Calibri" w:cs=""/>
                <w:kern w:val="0"/>
                <w:sz w:val="26"/>
                <w:szCs w:val="26"/>
                <w:lang w:val="ru-RU" w:eastAsia="en-US" w:bidi="ar-SA"/>
              </w:rPr>
              <w:t>367026, Республика Дагестан, г. Махачкала, ул. Мурсалова, д.9-А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Телефон: </w:t>
            </w:r>
            <w:r>
              <w:rPr>
                <w:kern w:val="0"/>
                <w:sz w:val="26"/>
                <w:szCs w:val="26"/>
                <w:lang w:val="ru-RU" w:eastAsia="en-US" w:bidi="ar-SA"/>
              </w:rPr>
              <w:t>+79217111181</w:t>
            </w:r>
          </w:p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</w:rPr>
            </w:pP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>Эл.почта:</w:t>
            </w:r>
          </w:p>
          <w:p>
            <w:pPr>
              <w:pStyle w:val="TableParagraph"/>
              <w:suppressAutoHyphens w:val="true"/>
              <w:spacing w:before="0" w:after="0"/>
              <w:ind w:start="0"/>
              <w:jc w:val="start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suppressAutoHyphens w:val="true"/>
              <w:spacing w:before="0" w:after="0"/>
              <w:jc w:val="both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ru-RU" w:eastAsia="en-US" w:bidi="ar-SA"/>
              </w:rPr>
              <w:t>Генеральный</w:t>
            </w:r>
            <w:r>
              <w:rPr>
                <w:spacing w:val="-7"/>
                <w:kern w:val="0"/>
                <w:sz w:val="24"/>
                <w:szCs w:val="22"/>
                <w:lang w:val="ru-RU" w:eastAsia="en-US" w:bidi="ar-SA"/>
              </w:rPr>
              <w:t xml:space="preserve"> </w:t>
            </w:r>
            <w:r>
              <w:rPr>
                <w:spacing w:val="-2"/>
                <w:kern w:val="0"/>
                <w:sz w:val="24"/>
                <w:szCs w:val="22"/>
                <w:lang w:val="ru-RU" w:eastAsia="en-US" w:bidi="ar-SA"/>
              </w:rPr>
              <w:t xml:space="preserve">директор: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  </w:t>
            </w:r>
            <w:r>
              <w:rPr>
                <w:rFonts w:eastAsia="Calibri" w:cs=""/>
                <w:kern w:val="0"/>
                <w:sz w:val="24"/>
                <w:szCs w:val="22"/>
                <w:lang w:val="ru-RU" w:eastAsia="en-US" w:bidi="ar-SA"/>
              </w:rPr>
              <w:t xml:space="preserve">Магомедов И.А. </w:t>
            </w:r>
            <w:r>
              <w:rPr>
                <w:rFonts w:eastAsia="Calibri" w:cs=""/>
                <w:kern w:val="0"/>
                <w:sz w:val="24"/>
                <w:szCs w:val="22"/>
                <w:u w:val="single"/>
                <w:lang w:val="ru-RU" w:eastAsia="en-US" w:bidi="ar-SA"/>
              </w:rPr>
              <w:tab/>
              <w:t>____________</w:t>
            </w:r>
          </w:p>
        </w:tc>
        <w:tc>
          <w:tcPr>
            <w:tcW w:w="49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 xml:space="preserve">ИНВЕСТОР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ru-RU" w:eastAsia="en-US" w:bidi="ar-SA"/>
              </w:rPr>
              <w:t xml:space="preserve">ФИО: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en-US" w:bidi="ar-SA"/>
              </w:rPr>
              <w:t>{fullname}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ПАСПОРТ выдан: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{passport_issued_by}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Адрес регистрации: </w:t>
            </w:r>
            <w:r>
              <w:rPr>
                <w:kern w:val="0"/>
                <w:lang w:val="en-US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registration_address</w:t>
            </w:r>
            <w:r>
              <w:rPr>
                <w:kern w:val="0"/>
                <w:lang w:val="en-US" w:eastAsia="en-US" w:bidi="ar-SA"/>
              </w:rPr>
              <w:t>}</w:t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kern w:val="0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Адрес фактического проживания:</w:t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living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_address}</w:t>
            </w:r>
          </w:p>
          <w:p>
            <w:pPr>
              <w:pStyle w:val="BodyText"/>
              <w:widowControl w:val="false"/>
              <w:suppressAutoHyphens w:val="true"/>
              <w:bidi w:val="0"/>
              <w:spacing w:before="0" w:after="0"/>
              <w:ind w:hanging="0" w:start="113" w:end="0"/>
              <w:jc w:val="start"/>
              <w:rPr>
                <w:kern w:val="0"/>
                <w:lang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Телефон: {phone_number}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Эл.почта: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Инвестор: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auto"/>
                <w:kern w:val="0"/>
                <w:sz w:val="24"/>
                <w:szCs w:val="24"/>
                <w:lang w:val="ru-RU" w:eastAsia="en-US" w:bidi="ar-SA"/>
              </w:rPr>
              <w:t>{shortname}</w:t>
            </w:r>
            <w:r>
              <w:rPr>
                <w:rFonts w:eastAsia="Times New Roman" w:cs="Times New Roman" w:ascii="Times New Roman" w:hAnsi="Times New Roman"/>
                <w:b/>
                <w:bCs/>
                <w:color w:val="auto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__________________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  <w:t>Приложение № 1</w:t>
      </w:r>
    </w:p>
    <w:p>
      <w:pPr>
        <w:pStyle w:val="Normal"/>
        <w:spacing w:lineRule="auto" w:line="240" w:before="0" w:after="0"/>
        <w:ind w:start="5954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  <w:t>к договору инвестирования в строительство многоквартирного жилого дома от {current_date}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i/>
          <w:i/>
          <w:sz w:val="24"/>
          <w:szCs w:val="24"/>
        </w:rPr>
      </w:pPr>
      <w:r>
        <w:rPr>
          <w:rFonts w:eastAsia="Calibri"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 w:ascii="Times New Roman" w:hAnsi="Times New Roman"/>
          <w:b/>
          <w:sz w:val="24"/>
          <w:szCs w:val="24"/>
        </w:rPr>
        <w:t>ГРАФИК ПЛАТЕЖЕЙ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firstLine="708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В соответствии с п. 2.2 Договора Инвестор обязуется вносить платежи не позднее дат, указанных в настоящем Графике платежей.</w:t>
      </w:r>
    </w:p>
    <w:p>
      <w:pPr>
        <w:pStyle w:val="Normal"/>
        <w:spacing w:lineRule="auto" w:line="240" w:before="0" w:after="0"/>
        <w:ind w:firstLine="708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 xml:space="preserve">Инвестор уведомлен, что в случае просрочки внесения очередного платежа более 2 (двух) месяцев </w:t>
      </w:r>
      <w:bookmarkStart w:id="1" w:name="_Hlk185016097"/>
      <w:r>
        <w:rPr>
          <w:rFonts w:eastAsia="Calibri" w:cs="Times New Roman" w:ascii="Times New Roman" w:hAnsi="Times New Roman"/>
          <w:sz w:val="24"/>
          <w:szCs w:val="24"/>
        </w:rPr>
        <w:t>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  <w:bookmarkEnd w:id="1"/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2698"/>
        <w:gridCol w:w="2831"/>
        <w:gridCol w:w="3110"/>
      </w:tblGrid>
      <w:tr>
        <w:trPr>
          <w:trHeight w:val="428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п/п</w:t>
            </w:r>
          </w:p>
        </w:tc>
        <w:tc>
          <w:tcPr>
            <w:tcW w:w="2698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Платеж (руб)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Дата платежа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Остаток (руб)</w:t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Style w:val="SourceText"/>
          <w:rFonts w:cs="Times New Roman" w:ascii="Times New Roman" w:hAnsi="Times New Roman"/>
        </w:rPr>
        <w:t>{#paymentTable}</w:t>
      </w:r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2698"/>
        <w:gridCol w:w="2831"/>
        <w:gridCol w:w="3110"/>
      </w:tblGrid>
      <w:tr>
        <w:trPr>
          <w:trHeight w:val="266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{number}</w:t>
            </w:r>
          </w:p>
        </w:tc>
        <w:tc>
          <w:tcPr>
            <w:tcW w:w="2698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{payment}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{date}</w:t>
            </w:r>
          </w:p>
        </w:tc>
        <w:tc>
          <w:tcPr>
            <w:tcW w:w="3110" w:type="dxa"/>
            <w:tcBorders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{remaining}</w:t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Style w:val="SourceText"/>
          <w:rFonts w:cs="Times New Roman" w:ascii="Times New Roman" w:hAnsi="Times New Roman"/>
        </w:rPr>
        <w:t>{/paymentTable}</w:t>
      </w:r>
    </w:p>
    <w:tbl>
      <w:tblPr>
        <w:tblStyle w:val="a3"/>
        <w:tblW w:w="9433" w:type="dxa"/>
        <w:jc w:val="start"/>
        <w:tblInd w:w="-9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794"/>
        <w:gridCol w:w="4113"/>
        <w:gridCol w:w="1416"/>
        <w:gridCol w:w="3110"/>
      </w:tblGrid>
      <w:tr>
        <w:trPr>
          <w:trHeight w:val="250" w:hRule="atLeast"/>
        </w:trPr>
        <w:tc>
          <w:tcPr>
            <w:tcW w:w="794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52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Итого: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{price}</w:t>
            </w:r>
          </w:p>
        </w:tc>
      </w:tr>
      <w:tr>
        <w:trPr>
          <w:trHeight w:val="944" w:hRule="atLeast"/>
        </w:trPr>
        <w:tc>
          <w:tcPr>
            <w:tcW w:w="4907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26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contextualSpacing/>
              <w:jc w:val="start"/>
              <w:rPr>
                <w:rFonts w:ascii="Times New Roman" w:hAnsi="Times New Roman" w:eastAsia="Calibri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850" w:gutter="0" w:header="708" w:top="993" w:footer="0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430574979"/>
    </w:sdtPr>
    <w:sdtContent>
      <w:p>
        <w:pPr>
          <w:pStyle w:val="Head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1080" w:hanging="720"/>
      </w:pPr>
      <w:rPr>
        <w:b w:val="false"/>
        <w:bCs w:val="false"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440" w:hanging="108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800" w:hanging="144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2160" w:hanging="180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690" w:hanging="6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10" w:hanging="690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6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288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396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46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576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648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7560" w:hanging="180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83b9c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517e7"/>
    <w:rPr/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517e7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915a2d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517e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b517e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7c4ec2"/>
    <w:pPr>
      <w:widowControl w:val="false"/>
      <w:spacing w:lineRule="auto" w:line="240" w:before="0" w:after="0"/>
      <w:ind w:start="110"/>
    </w:pPr>
    <w:rPr>
      <w:rFonts w:ascii="Times New Roman" w:hAnsi="Times New Roman" w:eastAsia="Times New Roman" w:cs="Times New Roman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0170f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AD4B83-0C66-497A-AF67-5208F156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2871</TotalTime>
  <Application>LibreOffice/25.8.1.1$MacOSX_AARCH64 LibreOffice_project/54047653041915e595ad4e45cccea684809c77b5</Application>
  <AppVersion>15.0000</AppVersion>
  <Pages>6</Pages>
  <Words>1673</Words>
  <Characters>11938</Characters>
  <CharactersWithSpaces>13571</CharactersWithSpaces>
  <Paragraphs>123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2025-09-22T15:58:00Z</dcterms:created>
  <dc:creator>111</dc:creator>
  <dc:description/>
  <dc:language>ru-RU</dc:language>
  <cp:lastModifiedBy/>
  <dcterms:modified xsi:type="dcterms:W3CDTF">2026-01-16T21:23:21Z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