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bCs/>
          <w:sz w:val="28"/>
          <w:szCs w:val="28"/>
        </w:rPr>
      </w:pPr>
      <w:r>
        <w:rPr>
          <w:rFonts w:eastAsia="Calibri" w:cs="Times New Roman" w:ascii="Times New Roman" w:hAnsi="Times New Roman"/>
          <w:b/>
          <w:bCs/>
          <w:sz w:val="28"/>
          <w:szCs w:val="28"/>
        </w:rPr>
        <w:t>ДОГОВОР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bCs/>
          <w:sz w:val="28"/>
          <w:szCs w:val="28"/>
        </w:rPr>
      </w:pPr>
      <w:r>
        <w:rPr>
          <w:rFonts w:eastAsia="Calibri" w:cs="Times New Roman" w:ascii="Times New Roman" w:hAnsi="Times New Roman"/>
          <w:b/>
          <w:bCs/>
          <w:sz w:val="28"/>
          <w:szCs w:val="28"/>
        </w:rPr>
        <w:t>инвестирования в строительство многоквартирного жилого дома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г. Избербаш</w:t>
        <w:tab/>
        <w:tab/>
        <w:tab/>
        <w:tab/>
        <w:tab/>
        <w:tab/>
        <w:tab/>
        <w:tab/>
        <w:t>{current_date}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firstLine="708"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  <w:t>Общество с ограниченной ответственностью «Строительная компания ИСХА КОНЦЕПТ»</w:t>
      </w:r>
      <w:r>
        <w:rPr>
          <w:rFonts w:eastAsia="Calibri" w:cs="Times New Roman" w:ascii="Times New Roman" w:hAnsi="Times New Roman"/>
          <w:sz w:val="24"/>
          <w:szCs w:val="24"/>
        </w:rPr>
        <w:t xml:space="preserve">, в лице генерального директора Магомедова Ислама Абусупьяновича, действующего на основании Устава, именуемое в дальнейшем </w:t>
      </w:r>
      <w:r>
        <w:rPr>
          <w:rFonts w:eastAsia="Calibri" w:cs="Times New Roman" w:ascii="Times New Roman" w:hAnsi="Times New Roman"/>
          <w:b/>
          <w:bCs/>
          <w:sz w:val="24"/>
          <w:szCs w:val="24"/>
        </w:rPr>
        <w:t>«Застройщик»</w:t>
      </w:r>
      <w:r>
        <w:rPr>
          <w:rFonts w:eastAsia="Calibri" w:cs="Times New Roman" w:ascii="Times New Roman" w:hAnsi="Times New Roman"/>
          <w:sz w:val="24"/>
          <w:szCs w:val="24"/>
        </w:rPr>
        <w:t>, с одной стороны, и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hanging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Фамилия Имя Отчество:  </w:t>
      </w:r>
      <w:r>
        <w:rPr>
          <w:rFonts w:eastAsia="Times New Roman" w:ascii="Times New Roman" w:hAnsi="Times New Roman"/>
          <w:b/>
          <w:bCs/>
          <w:color w:val="auto"/>
          <w:sz w:val="24"/>
          <w:szCs w:val="24"/>
          <w:lang w:val="ru-RU"/>
        </w:rPr>
        <w:t>{fullname}</w:t>
      </w:r>
    </w:p>
    <w:p>
      <w:pPr>
        <w:pStyle w:val="Normal"/>
        <w:spacing w:lineRule="auto" w:line="240" w:before="0" w:after="0"/>
        <w:ind w:hanging="0"/>
        <w:jc w:val="both"/>
        <w:rPr>
          <w:rFonts w:ascii="Times New Roman" w:hAnsi="Times New Roman" w:eastAsia="Times New Roman" w:cs="Times New Roman"/>
          <w:color w:val="auto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color w:val="auto"/>
          <w:sz w:val="24"/>
          <w:szCs w:val="24"/>
          <w:lang w:val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Дата рождения:                    {birthdate}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  <w:lang w:val="en-US"/>
        </w:rPr>
        <w:t>Паспорт:                                {passport}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  <w:lang w:val="en-US"/>
        </w:rPr>
        <w:t>Выдан когда и кем:              {passport_issue_date} {passport_issued_by}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  <w:lang w:val="en-US"/>
        </w:rPr>
        <w:t>Код подразделения:             {</w:t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passport_division_code}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Зарегистрирован:                 {registration_address}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 xml:space="preserve">именуемый (именуемая) в дальнейшем </w:t>
      </w:r>
      <w:r>
        <w:rPr>
          <w:rFonts w:eastAsia="Calibri" w:cs="Times New Roman" w:ascii="Times New Roman" w:hAnsi="Times New Roman"/>
          <w:b/>
          <w:bCs/>
          <w:sz w:val="24"/>
          <w:szCs w:val="24"/>
        </w:rPr>
        <w:t>Инвестор,</w:t>
      </w:r>
      <w:r>
        <w:rPr>
          <w:rFonts w:eastAsia="Calibri" w:cs="Times New Roman" w:ascii="Times New Roman" w:hAnsi="Times New Roman"/>
          <w:sz w:val="24"/>
          <w:szCs w:val="24"/>
        </w:rPr>
        <w:t xml:space="preserve"> с другой стороны, </w:t>
      </w:r>
      <w:r>
        <w:rPr>
          <w:rFonts w:eastAsia="Calibri" w:cs="Times New Roman" w:ascii="Times New Roman" w:hAnsi="Times New Roman"/>
          <w:b/>
          <w:bCs/>
          <w:sz w:val="24"/>
          <w:szCs w:val="24"/>
        </w:rPr>
        <w:t>заключили настоящий договор (далее – «Договор») о следующем:</w:t>
      </w:r>
    </w:p>
    <w:p>
      <w:pPr>
        <w:pStyle w:val="Normal"/>
        <w:spacing w:lineRule="auto" w:line="240" w:before="0" w:after="0"/>
        <w:ind w:start="720"/>
        <w:contextualSpacing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ind w:start="720"/>
        <w:contextualSpacing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  <w:t>ПРЕДМЕТ ДОГОВОРА</w:t>
      </w:r>
    </w:p>
    <w:p>
      <w:pPr>
        <w:pStyle w:val="Normal"/>
        <w:numPr>
          <w:ilvl w:val="1"/>
          <w:numId w:val="2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 xml:space="preserve">Застройщик обязуется в предусмотренный настоящим договором срок своими силами и/или с привлечением других лиц, построить </w:t>
      </w:r>
      <w:r>
        <w:rPr>
          <w:rFonts w:eastAsia="Calibri" w:cs="Times New Roman" w:ascii="Times New Roman" w:hAnsi="Times New Roman"/>
          <w:b/>
          <w:bCs/>
          <w:sz w:val="24"/>
          <w:szCs w:val="24"/>
        </w:rPr>
        <w:t>Многоквартирный жилой дом,</w:t>
      </w:r>
      <w:r>
        <w:rPr>
          <w:rFonts w:eastAsia="Calibri" w:cs="Times New Roman" w:ascii="Times New Roman" w:hAnsi="Times New Roman"/>
          <w:sz w:val="24"/>
          <w:szCs w:val="24"/>
        </w:rPr>
        <w:t xml:space="preserve"> расположенный по адресу: Российская Федерация, Республика Дагестан, г. Избербаш, ул. Межлумова, д. 11/1, и после получения разрешения на ввод в эксплуатацию, передать в собственность Инвестору Объект инвестирования, а Инвестор обязуется оплатить обусловленную настоящим договором цену и принять Объект инвестирования. 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1"/>
          <w:numId w:val="2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Объектом инвестирования (далее – по тексту Помещение), подлежащим передаче Инвестору в рамках настоящего договора являются помещение, расположенное по адресу: Российская Федерация, Республика Дагестан, г. Избербаш, ул. Межлумова, д. 11/1, и имеет следующие параметры: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ab/>
        <w:t>Корпус: {building}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 xml:space="preserve">Условный строительный номер: </w:t>
      </w:r>
      <w:r>
        <w:rPr>
          <w:rFonts w:eastAsia="Calibri" w:cs="Times New Roman" w:ascii="Times New Roman" w:hAnsi="Times New Roman"/>
          <w:sz w:val="24"/>
          <w:szCs w:val="24"/>
        </w:rPr>
        <w:t>{construction_number}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ab/>
        <w:t xml:space="preserve">Этаж: </w:t>
      </w:r>
      <w:r>
        <w:rPr>
          <w:rFonts w:eastAsia="Calibri" w:cs="Times New Roman" w:ascii="Times New Roman" w:hAnsi="Times New Roman"/>
          <w:sz w:val="24"/>
          <w:szCs w:val="24"/>
        </w:rPr>
        <w:t>{floor}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ab/>
        <w:t>Количество комнат: {rooms}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Общая проектная площадь, кв.м. {area}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numPr>
          <w:ilvl w:val="1"/>
          <w:numId w:val="2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 xml:space="preserve">Строительство Многоквартирного жилого дома осуществляется на земельном участке с кадастровым номером 05:49:000039:2973 общей площадью 10 000 кв.м., правами на использование которого для строительства Застройщик обладает на основании договора купли-продажи земельного участка от 23 августа 2022 года. </w:t>
      </w:r>
      <w:r>
        <w:rPr>
          <w:rFonts w:eastAsia="Calibri" w:cs="Times New Roman" w:ascii="Times New Roman" w:hAnsi="Times New Roman"/>
          <w:b/>
          <w:bCs/>
          <w:sz w:val="24"/>
          <w:szCs w:val="24"/>
        </w:rPr>
        <w:t>Разрешение на строительство</w:t>
      </w:r>
      <w:r>
        <w:rPr>
          <w:rFonts w:eastAsia="Calibri" w:cs="Times New Roman" w:ascii="Times New Roman" w:hAnsi="Times New Roman"/>
          <w:sz w:val="24"/>
          <w:szCs w:val="24"/>
        </w:rPr>
        <w:t xml:space="preserve"> от 28.11.2022 № 05</w:t>
      </w:r>
      <w:r>
        <w:rPr>
          <w:rFonts w:eastAsia="Calibri" w:cs="Times New Roman" w:ascii="Times New Roman" w:hAnsi="Times New Roman"/>
          <w:sz w:val="24"/>
          <w:szCs w:val="24"/>
          <w:lang w:val="en-US"/>
        </w:rPr>
        <w:t>RU</w:t>
      </w:r>
      <w:r>
        <w:rPr>
          <w:rFonts w:eastAsia="Calibri" w:cs="Times New Roman" w:ascii="Times New Roman" w:hAnsi="Times New Roman"/>
          <w:sz w:val="24"/>
          <w:szCs w:val="24"/>
        </w:rPr>
        <w:t>05304000-20-2022, выдано Отделом архитектуры и строительства г. Избербаш РД.</w:t>
      </w:r>
    </w:p>
    <w:p>
      <w:pPr>
        <w:pStyle w:val="Normal"/>
        <w:numPr>
          <w:ilvl w:val="1"/>
          <w:numId w:val="2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Заключая настоящий договор, Инвестор подтверждает, что он ознакомлен с проектной декларацией, разрешением на строительство, проектной документацией (рабочим проектом) Многоквартирного жилого дома, учредительными и иными документами Застройщика, и согласен с тем, что фактические параметры получаемого по настоящему договору Помещения после завершения строительства могут отличаться от проектных параметров (размеров), указанных в настоящем договоре.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  <w:t>ЦЕНА ДОГОВОРА. ПОРЯДОК РАСЧЁТОВ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Цена Договора, подлежащая уплате Инвестором Застройщику, составляет сумму в размере {price} рублей, исходя из стоимости одного квадратного метра в размере {price_per_square} рублей.</w:t>
      </w:r>
    </w:p>
    <w:p>
      <w:pPr>
        <w:pStyle w:val="Normal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Инвестор обязуется оплатить цену Договора в следующем порядке: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Первый платеж в размере {initial_payment_percent} % от Цены договора, указанной в п. 2.1 Договора, что составляет {initial_payment} рублей, в течение 3 (трех) календарных дней с даты заключения настоящего Договора.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Оставшаяся сумма оплачивается в порядке, предусмотренном Графиком платежей (Приложение № 1).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  <w:t>ПОРЯДОК ПЕРЕДАЧИ ПОМЕЩЕНИЯ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 xml:space="preserve">Передача </w:t>
      </w:r>
      <w:bookmarkStart w:id="0" w:name="_Hlk185007834"/>
      <w:r>
        <w:rPr>
          <w:rFonts w:eastAsia="Calibri" w:cs="Times New Roman" w:ascii="Times New Roman" w:hAnsi="Times New Roman"/>
          <w:sz w:val="24"/>
          <w:szCs w:val="24"/>
        </w:rPr>
        <w:t>Помещения</w:t>
      </w:r>
      <w:bookmarkEnd w:id="0"/>
      <w:r>
        <w:rPr>
          <w:rFonts w:eastAsia="Calibri" w:cs="Times New Roman" w:ascii="Times New Roman" w:hAnsi="Times New Roman"/>
          <w:sz w:val="24"/>
          <w:szCs w:val="24"/>
        </w:rPr>
        <w:t xml:space="preserve"> Застройщиком и принятие его Инвестором осуществляются по передаточному акту.</w:t>
      </w:r>
    </w:p>
    <w:p>
      <w:pPr>
        <w:pStyle w:val="Normal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Передача Помещения осуществляется после получения разрешения на ввод в эксплуатацию Многоквартирного жилого дома.</w:t>
      </w:r>
    </w:p>
    <w:p>
      <w:pPr>
        <w:pStyle w:val="Normal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Срок получения разрешения на ввод в эксплуатацию - 01 декабря 2027 года.</w:t>
      </w:r>
    </w:p>
    <w:p>
      <w:pPr>
        <w:pStyle w:val="Normal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Срок передачи Помещения Инвестору – после 28 января 2028 года.</w:t>
      </w:r>
    </w:p>
    <w:p>
      <w:pPr>
        <w:pStyle w:val="Normal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Помещение будет передано Инвестору в следующем состоянии: без отдели, без стяжки, входная дверь – бронированная заводская (открывание по проекту). Наличники и дверной блок устанавливаются в цвет двери. Окна: армированный ПВХ профиль в двух цветовых решениях. Оконные откосы – пластиковые панели белого цвета. Подоконные доски – пластиковые, белого цвета.</w:t>
      </w:r>
    </w:p>
    <w:p>
      <w:pPr>
        <w:pStyle w:val="Normal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 xml:space="preserve">В случае, если строительство Многоквартирного жилого дома не может быть завершено в предусмотренный договором срок, Застройщик не позднее чем за два месяца до истечения указанного срока обязан направить Инвестору соответствующую информацию и предложение об изменении договора. </w:t>
      </w:r>
    </w:p>
    <w:p>
      <w:pPr>
        <w:pStyle w:val="Normal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Застройщик однократно в одностороннем порядке вправе изменять условия договора в части переноса срока передачи Застройщиком Помещения, но не более чем на 6 (шесть) месяцев, проинформировав об этом Инвестора в письменном виде.</w:t>
      </w:r>
    </w:p>
    <w:p>
      <w:pPr>
        <w:pStyle w:val="Normal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Застройщик направляет участнику долевого строительства письменное сообщение о завершении строительства и о готовности Помещения к передаче.</w:t>
      </w:r>
    </w:p>
    <w:p>
      <w:pPr>
        <w:pStyle w:val="Normal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Риск случайной гибели или случайного повреждения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eastAsia="Calibri" w:cs="Times New Roman" w:ascii="Times New Roman" w:hAnsi="Times New Roman"/>
          <w:sz w:val="24"/>
          <w:szCs w:val="24"/>
        </w:rPr>
        <w:t>Помещения, оплату коммунальных услуг после подписания акта приема-передачи квартиры, несет Инвестор.</w:t>
      </w:r>
    </w:p>
    <w:p>
      <w:pPr>
        <w:pStyle w:val="Normal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При уклонении Инвестора от принятия Помещения или при отказе Инвестора от принятия Помещения, Застройщик по истечении двух месяцев со дня, предусмотренного договором для передачи Помещения Инвестору, вправе составить односторонний акт о передаче Помещения. При этом риск случайной гибели Помещения и бремя содержания (включая оплату коммунальных услуг и иных эксплуатационных расходов) признается перешедшим к Инвестору со дня составления Застройщиком одностороннего акта.</w:t>
      </w:r>
    </w:p>
    <w:p>
      <w:pPr>
        <w:pStyle w:val="Normal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Площадь Помещения, указанная в п. 1.2 Договора, может быть изменена (уточнена) согласно данным технической инвентаризации. Указанное уточнение площади Помещения не является для сторон договора недостатком качества Помещения. Окончательная (фактическая) площадь указывается сторонами в акте приема-передачи.</w:t>
      </w:r>
    </w:p>
    <w:p>
      <w:pPr>
        <w:pStyle w:val="Normal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В случае увеличения общей площади Помещения более чем на 1 кв. м по данным технической инвентаризации, по сравнению с той, что указана в п. 1.2 настоящего Договора, Инвестор обязуется доплатить Застройщику цену Договора, исходя из расчетной цены 1 (одного) кв. м, указанной в п. 2.1. настоящего Договора, в течение 10 (десяти) рабочих дней после направления письменного требования Застройщика к Участнику.</w:t>
      </w:r>
    </w:p>
    <w:p>
      <w:pPr>
        <w:pStyle w:val="ListParagraph"/>
        <w:numPr>
          <w:ilvl w:val="1"/>
          <w:numId w:val="1"/>
        </w:numPr>
        <w:ind w:hanging="0" w:start="0"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В случае уменьшения общей площади Помещения более чем на 1 кв. м по данным технической инвентаризации, по сравнению с той, что указана в п. 1.2 настоящего Договора, Застройщик обязуется возвратить Инвестору цену Договора, исходя из расчетной цены 1 (одного) кв. м, указанной в п. 2.1. настоящего Договора, в течение 10 (десяти) рабочих дней после направления письменного требования Инвестора Застройщику.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sz w:val="24"/>
          <w:szCs w:val="24"/>
          <w:highlight w:val="yellow"/>
        </w:rPr>
      </w:pPr>
      <w:r>
        <w:rPr>
          <w:rFonts w:eastAsia="Calibri" w:cs="Times New Roman" w:ascii="Times New Roman" w:hAnsi="Times New Roman"/>
          <w:sz w:val="24"/>
          <w:szCs w:val="24"/>
          <w:highlight w:val="yellow"/>
        </w:rPr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sz w:val="24"/>
          <w:szCs w:val="24"/>
          <w:highlight w:val="yellow"/>
        </w:rPr>
      </w:pPr>
      <w:r>
        <w:rPr>
          <w:rFonts w:eastAsia="Calibri" w:cs="Times New Roman" w:ascii="Times New Roman" w:hAnsi="Times New Roman"/>
          <w:sz w:val="24"/>
          <w:szCs w:val="24"/>
          <w:highlight w:val="yellow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  <w:t>ОБЯЗАТЕЛЬСТВА СТОРОН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  <w:t>Застройщик обязан: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4.1.1. В полном объёме и в срок выполнять все положения настоящего Договора;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4.1.2. Организовывать и осуществлять мероприятия, связанные со строительством Многоквартирного жилого дома, путем заключения необходимых договоров с третьими лицами, привлекаемыми Застройщиком к строительству;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4.1.3. Организовать мероприятия по техническому надзору за ходом организации и производства строительно-монтажных работ;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4.1.4. Обеспечить ввод Многоквартирного жилого дома в эксплуатацию в срок, указанный в п. 3.3 Договора;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4.1.5. После завершения строительства Многоквартирного жилого дома передать Инвестору Помещение по акту приёма-передачи</w:t>
      </w:r>
      <w:r>
        <w:rPr>
          <w:rFonts w:cs="Times New Roman" w:ascii="Times New Roman" w:hAnsi="Times New Roman"/>
          <w:sz w:val="24"/>
          <w:szCs w:val="24"/>
        </w:rPr>
        <w:t>, п</w:t>
      </w:r>
      <w:r>
        <w:rPr>
          <w:rFonts w:eastAsia="Calibri" w:cs="Times New Roman" w:ascii="Times New Roman" w:hAnsi="Times New Roman"/>
          <w:sz w:val="24"/>
          <w:szCs w:val="24"/>
        </w:rPr>
        <w:t>ри условии надлежащего исполнения Инвестором обязательств по оплате денежных средств;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4.1.6. Информировать Инвестора о проекте строительства Помещения, ходе строительства Помещения,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eastAsia="Calibri" w:cs="Times New Roman" w:ascii="Times New Roman" w:hAnsi="Times New Roman"/>
          <w:sz w:val="24"/>
          <w:szCs w:val="24"/>
        </w:rPr>
        <w:t>о сроках ввода жилого дома в эксплуатацию;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4.1.7. После получения разрешения на ввод в эксплуатацию Многоквартирного жилого дома письменно уведомить Участника долевого строительства о готовности передачи Помещения и необходимости подписания акта приема-передачи.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  <w:t>Инвестор обязан: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4.2.1. Своевременно, осуществлять платежи, в соответствии с Графиком платежей.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4.2.2. Принять Помещение по акту приёма-передачи в течение 10 дней после получения от Застройщика уведомления о готовности передачи Помещения;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4.2.3.  До регистрации права собственности на Помещение в Управлении федеральной службы государственной регистрации, кадастра и картографии Республики Дагестан Инвестор не вправе производить перепланировку, переоборудование Помещения, остекление лоджий и балконов, прокладку любых дополнительных сетей и коммуникаций, возводить внутренние перегородки, проемы в несущих стенах, изменять проектное положение сантехнических разводов и стояков, газового оборудования, схемы электроразводки, без предварительного письменного согласования с Застройщиком;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4.2.4. В случае нарушения данного обязательства, Застройщик вправе взыскать с Инвестора средства, необходимые для приведения Помещения в проектное состояние.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  <w:t>Застройщик вправе: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4.3.1. Определять в соответствии с настоящим Договором и проектом объемы и конкретные направления использования инвестиций.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4.3.2. Привлекать подрядчиков для выполнения строительных и иных работ;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4.3.3. Обеспечивать контроль за соответствием объема и качества выполняемых работ.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4.3.4. Осуществить досрочную передачу Помещения Инвестору.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4.3.5. В случае невнесения Инвестором платежей более 2 (двух) месяцев, Застройщик вправе расторгнуть договор в одностороннем порядке. В этом случае, Инвестору возвращается сумма, внесенных им ранее платежей, а Застройщик освобождается от обязанности передать Помещение в соответствии с п. 4.1.5.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  <w:t>Инвестор вправе: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4.4.1. Получать информацию о проекте строительства Помещения, ходе строительства Помещения, о сроках ввода жилого дома в эксплуатацию;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4.4.2. Назначить доверенное лицо для представления интересов в отношениях с Застройщиком на основании нотариально удостоверенной доверенности;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4.4.3. Уступить права и обязанности по настоящему Договору третьим лицам при условии предварительного письменного согласования с Застройщиком.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  <w:t>ГАРАНТИЯ КАЧЕСТВА И ОТВЕТСТВЕННОСТЬ СТОРОН</w:t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Гарантийный срок для Помещения устанавливается договором и составляет пять лет.</w:t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 xml:space="preserve">Гарантийный срок на технологическое и инженерное оборудование, входящее в состав передаваемого Инвестору Помещения составляет три года. </w:t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Указанные гарантийные сроки исчисляется со дня передачи Помещения Инвестору по акту приема-передачи.</w:t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Застройщик гарантирует Инвестору, что передаваемое Помещение будет построено в соответствии с требованиями государственных норм и правил.</w:t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Застройщик гарантирует Инвестору, что передаваемое Помещение, не подарено, не заложено, свободно от обязательств, в споре и под запретом не состоит, или каким-либо иным образом не обременено.</w:t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С момента подписания сторонами настоящего Договора, Стороны обязуются в полном объеме исполнять свои права и обязанности, предусмотренные настоящим Договором.</w:t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Стороны несут ответственность за неисполнение или ненадлежащее исполнение принятых на себя обязательств по настоящему договору в соответствии с действующим законодательством РФ.</w:t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Стороны освобождаются от ответственности за частичное или полное неисполнение обязательств по Договору, если такое неисполнение явилось следствием действия обстоятельств непреодолимой силы, не поддающихся разумному контролю Сторон, возникших после заключения Договора, а также объективно препятствующих полному или частичному выполнению Сторонами своих обязательств.</w:t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 xml:space="preserve">Договор может быть расторгнут также по обоюдному согласию сторон. </w:t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Любая информация о финансовом положении Сторон и условиях настоящего договора, а также договоров с третьими лицами, участвующими в реализации проекта, считается конфиденциальной и не подлежит разглашению.</w:t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Все споры и разногласия Стороны будут стремиться урегулировать в досудебном порядке.</w:t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Споры, вытекающие из настоящего договора, подлежат рассмотрению в порядке, предусмотренном действующим законодательством РФ.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  <w:t>ЗАКЛЮЧИТЕЛЬНЫЕ ПОЛОЖЕНИЯ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Настоящий договор вступает в силу со дня его подписания Сторонами и прекращает своё действие после подписания акта приёма-передачи Помещения.</w:t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Условия настоящего договора могут быть изменены по взаимному соглашению Сторон. Все изменения, дополнения и соглашения к настоящему договору являются неотъемлемой частью настоящего договора, если совершены в письменной форме и подписаны Сторонами.</w:t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Настоящий договор составлен в двух экземплярах, имеющих одинаковую юридическую силу, по одному экземпляру для каждой Стороны</w:t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Оформление права собственности на результат инвестиционной деятельности не является предметом настоящего договора.</w:t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После заключения настоящего договора все предыдущие соглашения между Сторонами как письменные, так и устные признаются утратившими свою силу.</w:t>
      </w:r>
    </w:p>
    <w:p>
      <w:pPr>
        <w:pStyle w:val="ListParagraph"/>
        <w:numPr>
          <w:ilvl w:val="1"/>
          <w:numId w:val="1"/>
        </w:numPr>
        <w:ind w:hanging="0" w:start="0"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При заключении и исполнении настоящего Договора стороны руководствуются Федеральным законом от 25.02.1999 № 39-ФЗ «Об инвестиционной деятельности в Российской Федерации, осуществляемой в форме капитальных вложений»</w:t>
      </w:r>
    </w:p>
    <w:p>
      <w:pPr>
        <w:pStyle w:val="ListParagraph"/>
        <w:spacing w:lineRule="auto" w:line="240" w:before="0" w:after="0"/>
        <w:ind w:hanging="567" w:start="567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ListParagraph"/>
        <w:spacing w:lineRule="auto" w:line="240" w:before="0" w:after="0"/>
        <w:ind w:hanging="567" w:start="567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ind w:hanging="567" w:start="567"/>
        <w:contextualSpacing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  <w:t>РЕКВИЗИТЫ И ПОДПИСИ СТОРОН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</w:r>
    </w:p>
    <w:tbl>
      <w:tblPr>
        <w:tblStyle w:val="a3"/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4390"/>
        <w:gridCol w:w="4955"/>
      </w:tblGrid>
      <w:tr>
        <w:trPr/>
        <w:tc>
          <w:tcPr>
            <w:tcW w:w="4390" w:type="dxa"/>
            <w:tcBorders/>
          </w:tcPr>
          <w:p>
            <w:pPr>
              <w:pStyle w:val="TableParagraph"/>
              <w:suppressAutoHyphens w:val="true"/>
              <w:spacing w:before="0" w:after="0"/>
              <w:jc w:val="start"/>
              <w:rPr>
                <w:b/>
                <w:sz w:val="24"/>
              </w:rPr>
            </w:pPr>
            <w:r>
              <w:rPr>
                <w:b/>
                <w:spacing w:val="-2"/>
                <w:kern w:val="0"/>
                <w:sz w:val="24"/>
                <w:szCs w:val="22"/>
                <w:lang w:val="ru-RU" w:eastAsia="en-US" w:bidi="ar-SA"/>
              </w:rPr>
              <w:t>ЗАСТРОЙЩИК</w:t>
            </w:r>
          </w:p>
          <w:p>
            <w:pPr>
              <w:pStyle w:val="TableParagraph"/>
              <w:suppressAutoHyphens w:val="true"/>
              <w:spacing w:before="0" w:after="0"/>
              <w:jc w:val="start"/>
              <w:rPr>
                <w:b/>
                <w:sz w:val="24"/>
              </w:rPr>
            </w:pPr>
            <w:r>
              <w:rPr>
                <w:b/>
                <w:kern w:val="0"/>
                <w:sz w:val="24"/>
                <w:szCs w:val="22"/>
                <w:lang w:val="ru-RU" w:eastAsia="en-US" w:bidi="ar-SA"/>
              </w:rPr>
              <w:t>ООО</w:t>
            </w:r>
            <w:r>
              <w:rPr>
                <w:b/>
                <w:spacing w:val="-2"/>
                <w:kern w:val="0"/>
                <w:sz w:val="24"/>
                <w:szCs w:val="22"/>
                <w:lang w:val="ru-RU" w:eastAsia="en-US" w:bidi="ar-SA"/>
              </w:rPr>
              <w:t xml:space="preserve"> </w:t>
            </w:r>
            <w:r>
              <w:rPr>
                <w:b/>
                <w:kern w:val="0"/>
                <w:sz w:val="24"/>
                <w:szCs w:val="22"/>
                <w:lang w:val="ru-RU" w:eastAsia="en-US" w:bidi="ar-SA"/>
              </w:rPr>
              <w:t>«ИСХА КОНЦЕПТ</w:t>
            </w:r>
            <w:r>
              <w:rPr>
                <w:b/>
                <w:spacing w:val="-2"/>
                <w:kern w:val="0"/>
                <w:sz w:val="24"/>
                <w:szCs w:val="22"/>
                <w:lang w:val="ru-RU" w:eastAsia="en-US" w:bidi="ar-SA"/>
              </w:rPr>
              <w:t>»</w:t>
            </w:r>
          </w:p>
          <w:p>
            <w:pPr>
              <w:pStyle w:val="TableParagraph"/>
              <w:suppressAutoHyphens w:val="true"/>
              <w:spacing w:before="0" w:after="0"/>
              <w:ind w:start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suppressAutoHyphens w:val="true"/>
              <w:spacing w:before="0" w:after="0"/>
              <w:jc w:val="star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val="ru-RU" w:eastAsia="en-US" w:bidi="ar-SA"/>
              </w:rPr>
              <w:t>ОГРН</w:t>
            </w:r>
            <w:r>
              <w:rPr>
                <w:spacing w:val="-3"/>
                <w:kern w:val="0"/>
                <w:sz w:val="24"/>
                <w:szCs w:val="22"/>
                <w:lang w:val="ru-RU" w:eastAsia="en-US" w:bidi="ar-SA"/>
              </w:rPr>
              <w:t xml:space="preserve"> </w:t>
            </w:r>
            <w:r>
              <w:rPr>
                <w:spacing w:val="-2"/>
                <w:kern w:val="0"/>
                <w:sz w:val="24"/>
                <w:szCs w:val="22"/>
                <w:lang w:val="ru-RU" w:eastAsia="en-US" w:bidi="ar-SA"/>
              </w:rPr>
              <w:t>1250500015644</w:t>
            </w:r>
          </w:p>
          <w:p>
            <w:pPr>
              <w:pStyle w:val="TableParagraph"/>
              <w:suppressAutoHyphens w:val="true"/>
              <w:spacing w:before="0" w:after="0"/>
              <w:jc w:val="star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val="ru-RU" w:eastAsia="en-US" w:bidi="ar-SA"/>
              </w:rPr>
              <w:t>ИНН</w:t>
            </w:r>
            <w:r>
              <w:rPr>
                <w:spacing w:val="-2"/>
                <w:kern w:val="0"/>
                <w:sz w:val="24"/>
                <w:szCs w:val="22"/>
                <w:lang w:val="ru-RU" w:eastAsia="en-US" w:bidi="ar-SA"/>
              </w:rPr>
              <w:t xml:space="preserve"> 0500040900</w:t>
            </w:r>
          </w:p>
          <w:p>
            <w:pPr>
              <w:pStyle w:val="TableParagraph"/>
              <w:suppressAutoHyphens w:val="true"/>
              <w:spacing w:before="0" w:after="0"/>
              <w:jc w:val="star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val="ru-RU" w:eastAsia="en-US" w:bidi="ar-SA"/>
              </w:rPr>
              <w:t>КПП</w:t>
            </w:r>
            <w:r>
              <w:rPr>
                <w:spacing w:val="-3"/>
                <w:kern w:val="0"/>
                <w:sz w:val="24"/>
                <w:szCs w:val="22"/>
                <w:lang w:val="ru-RU" w:eastAsia="en-US" w:bidi="ar-SA"/>
              </w:rPr>
              <w:t xml:space="preserve"> </w:t>
            </w:r>
            <w:r>
              <w:rPr>
                <w:spacing w:val="-2"/>
                <w:kern w:val="0"/>
                <w:sz w:val="24"/>
                <w:szCs w:val="22"/>
                <w:lang w:val="ru-RU" w:eastAsia="en-US" w:bidi="ar-SA"/>
              </w:rPr>
              <w:t>050001001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start="57"/>
              <w:jc w:val="start"/>
              <w:rPr>
                <w:sz w:val="26"/>
                <w:szCs w:val="26"/>
              </w:rPr>
            </w:pPr>
            <w:r>
              <w:rPr>
                <w:rFonts w:eastAsia="Calibri" w:cs=""/>
                <w:kern w:val="0"/>
                <w:sz w:val="24"/>
                <w:szCs w:val="22"/>
                <w:lang w:val="ru-RU" w:eastAsia="en-US" w:bidi="ar-SA"/>
              </w:rPr>
              <w:t xml:space="preserve">Юридический адрес: </w:t>
            </w:r>
            <w:r>
              <w:rPr>
                <w:rFonts w:eastAsia="Calibri" w:cs=""/>
                <w:kern w:val="0"/>
                <w:sz w:val="26"/>
                <w:szCs w:val="26"/>
                <w:lang w:val="ru-RU" w:eastAsia="en-US" w:bidi="ar-SA"/>
              </w:rPr>
              <w:t>367026, Республика Дагестан, г. Махачкала, ул. Мурсалова, д.9-А</w:t>
            </w:r>
          </w:p>
          <w:p>
            <w:pPr>
              <w:pStyle w:val="TableParagraph"/>
              <w:suppressAutoHyphens w:val="true"/>
              <w:spacing w:before="0" w:after="0"/>
              <w:jc w:val="start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val="ru-RU" w:eastAsia="en-US" w:bidi="ar-SA"/>
              </w:rPr>
              <w:t xml:space="preserve">Телефон: </w:t>
            </w:r>
            <w:r>
              <w:rPr>
                <w:kern w:val="0"/>
                <w:sz w:val="26"/>
                <w:szCs w:val="26"/>
                <w:lang w:val="ru-RU" w:eastAsia="en-US" w:bidi="ar-SA"/>
              </w:rPr>
              <w:t>+79217111181</w:t>
            </w:r>
          </w:p>
          <w:p>
            <w:pPr>
              <w:pStyle w:val="TableParagraph"/>
              <w:suppressAutoHyphens w:val="true"/>
              <w:spacing w:before="0" w:after="0"/>
              <w:jc w:val="start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val="ru-RU" w:eastAsia="en-US" w:bidi="ar-SA"/>
              </w:rPr>
              <w:t>Эл.почта:</w:t>
            </w:r>
          </w:p>
          <w:p>
            <w:pPr>
              <w:pStyle w:val="TableParagraph"/>
              <w:suppressAutoHyphens w:val="true"/>
              <w:spacing w:before="0" w:after="0"/>
              <w:ind w:start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suppressAutoHyphens w:val="true"/>
              <w:spacing w:before="0" w:after="0"/>
              <w:jc w:val="both"/>
              <w:rPr>
                <w:sz w:val="24"/>
              </w:rPr>
            </w:pPr>
            <w:r>
              <w:rPr>
                <w:kern w:val="0"/>
                <w:sz w:val="24"/>
                <w:szCs w:val="22"/>
                <w:lang w:val="ru-RU" w:eastAsia="en-US" w:bidi="ar-SA"/>
              </w:rPr>
              <w:t>Генеральный</w:t>
            </w:r>
            <w:r>
              <w:rPr>
                <w:spacing w:val="-7"/>
                <w:kern w:val="0"/>
                <w:sz w:val="24"/>
                <w:szCs w:val="22"/>
                <w:lang w:val="ru-RU" w:eastAsia="en-US" w:bidi="ar-SA"/>
              </w:rPr>
              <w:t xml:space="preserve"> </w:t>
            </w:r>
            <w:r>
              <w:rPr>
                <w:spacing w:val="-2"/>
                <w:kern w:val="0"/>
                <w:sz w:val="24"/>
                <w:szCs w:val="22"/>
                <w:lang w:val="ru-RU" w:eastAsia="en-US" w:bidi="ar-SA"/>
              </w:rPr>
              <w:t xml:space="preserve">директор: 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b/>
                <w:bCs/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2"/>
                <w:lang w:val="ru-RU" w:eastAsia="en-US" w:bidi="ar-SA"/>
              </w:rPr>
              <w:t xml:space="preserve">  </w:t>
            </w:r>
            <w:r>
              <w:rPr>
                <w:rFonts w:eastAsia="Calibri" w:cs=""/>
                <w:kern w:val="0"/>
                <w:sz w:val="24"/>
                <w:szCs w:val="22"/>
                <w:lang w:val="ru-RU" w:eastAsia="en-US" w:bidi="ar-SA"/>
              </w:rPr>
              <w:t xml:space="preserve">Магомедов И.А. </w:t>
            </w:r>
            <w:r>
              <w:rPr>
                <w:rFonts w:eastAsia="Calibri" w:cs=""/>
                <w:kern w:val="0"/>
                <w:sz w:val="24"/>
                <w:szCs w:val="22"/>
                <w:u w:val="single"/>
                <w:lang w:val="ru-RU" w:eastAsia="en-US" w:bidi="ar-SA"/>
              </w:rPr>
              <w:tab/>
              <w:t>____________</w:t>
            </w:r>
          </w:p>
        </w:tc>
        <w:tc>
          <w:tcPr>
            <w:tcW w:w="495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b/>
                <w:bCs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  <w:t xml:space="preserve">ИНВЕСТОР 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b/>
                <w:bCs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b/>
                <w:bCs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4"/>
                <w:szCs w:val="24"/>
                <w:lang w:val="ru-RU" w:eastAsia="en-US" w:bidi="ar-SA"/>
              </w:rPr>
              <w:t xml:space="preserve">ФИО: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color w:val="auto"/>
                <w:kern w:val="0"/>
                <w:sz w:val="24"/>
                <w:szCs w:val="24"/>
                <w:lang w:val="ru-RU" w:eastAsia="en-US" w:bidi="ar-SA"/>
              </w:rPr>
              <w:t>{fullname}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ПАСПОРТ выдан: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{passport_issued_by}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Телефон: {phone_number}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Эл.почта: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Инвестор: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color w:val="auto"/>
                <w:kern w:val="0"/>
                <w:sz w:val="24"/>
                <w:szCs w:val="24"/>
                <w:lang w:val="ru-RU" w:eastAsia="en-US" w:bidi="ar-SA"/>
              </w:rPr>
              <w:t>{shortname}</w:t>
            </w:r>
            <w:r>
              <w:rPr>
                <w:rFonts w:eastAsia="Times New Roman" w:cs="Times New Roman" w:ascii="Times New Roman" w:hAnsi="Times New Roman"/>
                <w:b/>
                <w:bCs/>
                <w:color w:val="auto"/>
                <w:kern w:val="0"/>
                <w:sz w:val="24"/>
                <w:szCs w:val="24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__________________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b/>
                <w:bCs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i/>
          <w:i/>
          <w:sz w:val="24"/>
          <w:szCs w:val="24"/>
        </w:rPr>
      </w:pPr>
      <w:r>
        <w:rPr>
          <w:rFonts w:eastAsia="Calibri" w:cs="Times New Roman" w:ascii="Times New Roman" w:hAnsi="Times New Roman"/>
          <w:i/>
          <w:sz w:val="24"/>
          <w:szCs w:val="24"/>
        </w:rPr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i/>
          <w:i/>
          <w:sz w:val="24"/>
          <w:szCs w:val="24"/>
        </w:rPr>
      </w:pPr>
      <w:r>
        <w:rPr>
          <w:rFonts w:eastAsia="Calibri" w:cs="Times New Roman" w:ascii="Times New Roman" w:hAnsi="Times New Roman"/>
          <w:i/>
          <w:sz w:val="24"/>
          <w:szCs w:val="24"/>
        </w:rPr>
      </w:r>
    </w:p>
    <w:p>
      <w:pPr>
        <w:pStyle w:val="Normal"/>
        <w:spacing w:lineRule="auto" w:line="240" w:before="0" w:after="0"/>
        <w:ind w:start="5954"/>
        <w:contextualSpacing/>
        <w:jc w:val="both"/>
        <w:rPr>
          <w:rFonts w:ascii="Times New Roman" w:hAnsi="Times New Roman" w:eastAsia="Calibri" w:cs="Times New Roman"/>
          <w:i/>
          <w:i/>
          <w:sz w:val="24"/>
          <w:szCs w:val="24"/>
        </w:rPr>
      </w:pPr>
      <w:r>
        <w:rPr>
          <w:rFonts w:eastAsia="Calibri" w:cs="Times New Roman" w:ascii="Times New Roman" w:hAnsi="Times New Roman"/>
          <w:i/>
          <w:sz w:val="24"/>
          <w:szCs w:val="24"/>
        </w:rPr>
      </w:r>
    </w:p>
    <w:p>
      <w:pPr>
        <w:pStyle w:val="Normal"/>
        <w:spacing w:lineRule="auto" w:line="240" w:before="0" w:after="0"/>
        <w:ind w:start="5954"/>
        <w:contextualSpacing/>
        <w:jc w:val="both"/>
        <w:rPr>
          <w:rFonts w:ascii="Times New Roman" w:hAnsi="Times New Roman" w:eastAsia="Calibri" w:cs="Times New Roman"/>
          <w:i/>
          <w:i/>
          <w:sz w:val="24"/>
          <w:szCs w:val="24"/>
        </w:rPr>
      </w:pPr>
      <w:r>
        <w:rPr>
          <w:rFonts w:eastAsia="Calibri" w:cs="Times New Roman" w:ascii="Times New Roman" w:hAnsi="Times New Roman"/>
          <w:i/>
          <w:sz w:val="24"/>
          <w:szCs w:val="24"/>
        </w:rPr>
      </w:r>
    </w:p>
    <w:p>
      <w:pPr>
        <w:pStyle w:val="Normal"/>
        <w:spacing w:lineRule="auto" w:line="240" w:before="0" w:after="0"/>
        <w:ind w:start="5954"/>
        <w:contextualSpacing/>
        <w:jc w:val="both"/>
        <w:rPr>
          <w:rFonts w:ascii="Times New Roman" w:hAnsi="Times New Roman" w:eastAsia="Calibri" w:cs="Times New Roman"/>
          <w:i/>
          <w:i/>
          <w:sz w:val="24"/>
          <w:szCs w:val="24"/>
        </w:rPr>
      </w:pPr>
      <w:r>
        <w:rPr>
          <w:rFonts w:eastAsia="Calibri" w:cs="Times New Roman" w:ascii="Times New Roman" w:hAnsi="Times New Roman"/>
          <w:i/>
          <w:sz w:val="24"/>
          <w:szCs w:val="24"/>
        </w:rPr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i/>
          <w:i/>
          <w:sz w:val="24"/>
          <w:szCs w:val="24"/>
        </w:rPr>
      </w:pPr>
      <w:r>
        <w:rPr>
          <w:rFonts w:eastAsia="Calibri" w:cs="Times New Roman" w:ascii="Times New Roman" w:hAnsi="Times New Roman"/>
          <w:i/>
          <w:sz w:val="24"/>
          <w:szCs w:val="24"/>
        </w:rPr>
      </w:r>
    </w:p>
    <w:p>
      <w:pPr>
        <w:pStyle w:val="Normal"/>
        <w:spacing w:lineRule="auto" w:line="240" w:before="0" w:after="0"/>
        <w:ind w:start="5954"/>
        <w:contextualSpacing/>
        <w:jc w:val="both"/>
        <w:rPr>
          <w:rFonts w:ascii="Times New Roman" w:hAnsi="Times New Roman" w:eastAsia="Calibri" w:cs="Times New Roman"/>
          <w:i/>
          <w:i/>
          <w:sz w:val="24"/>
          <w:szCs w:val="24"/>
        </w:rPr>
      </w:pPr>
      <w:r>
        <w:rPr>
          <w:rFonts w:eastAsia="Calibri" w:cs="Times New Roman" w:ascii="Times New Roman" w:hAnsi="Times New Roman"/>
          <w:i/>
          <w:sz w:val="24"/>
          <w:szCs w:val="24"/>
        </w:rPr>
      </w:r>
    </w:p>
    <w:p>
      <w:pPr>
        <w:pStyle w:val="Normal"/>
        <w:spacing w:lineRule="auto" w:line="240" w:before="0" w:after="0"/>
        <w:ind w:start="5954"/>
        <w:contextualSpacing/>
        <w:jc w:val="both"/>
        <w:rPr>
          <w:rFonts w:ascii="Times New Roman" w:hAnsi="Times New Roman" w:eastAsia="Calibri" w:cs="Times New Roman"/>
          <w:i/>
          <w:i/>
          <w:sz w:val="24"/>
          <w:szCs w:val="24"/>
        </w:rPr>
      </w:pPr>
      <w:r>
        <w:rPr>
          <w:rFonts w:eastAsia="Calibri" w:cs="Times New Roman" w:ascii="Times New Roman" w:hAnsi="Times New Roman"/>
          <w:i/>
          <w:sz w:val="24"/>
          <w:szCs w:val="24"/>
        </w:rPr>
        <w:t>Приложение № 1</w:t>
      </w:r>
    </w:p>
    <w:p>
      <w:pPr>
        <w:pStyle w:val="Normal"/>
        <w:spacing w:lineRule="auto" w:line="240" w:before="0" w:after="0"/>
        <w:ind w:start="5954"/>
        <w:contextualSpacing/>
        <w:jc w:val="both"/>
        <w:rPr>
          <w:rFonts w:ascii="Times New Roman" w:hAnsi="Times New Roman" w:eastAsia="Calibri" w:cs="Times New Roman"/>
          <w:i/>
          <w:i/>
          <w:sz w:val="24"/>
          <w:szCs w:val="24"/>
        </w:rPr>
      </w:pPr>
      <w:r>
        <w:rPr>
          <w:rFonts w:eastAsia="Calibri" w:cs="Times New Roman" w:ascii="Times New Roman" w:hAnsi="Times New Roman"/>
          <w:i/>
          <w:sz w:val="24"/>
          <w:szCs w:val="24"/>
        </w:rPr>
        <w:t>к договору инвестирования в строительство многоквартирного жилого дома от * * 2025 г.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i/>
          <w:i/>
          <w:sz w:val="24"/>
          <w:szCs w:val="24"/>
        </w:rPr>
      </w:pPr>
      <w:r>
        <w:rPr>
          <w:rFonts w:eastAsia="Calibri" w:cs="Times New Roman" w:ascii="Times New Roman" w:hAnsi="Times New Roman"/>
          <w:i/>
          <w:sz w:val="24"/>
          <w:szCs w:val="24"/>
        </w:rPr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i/>
          <w:i/>
          <w:sz w:val="24"/>
          <w:szCs w:val="24"/>
        </w:rPr>
      </w:pPr>
      <w:r>
        <w:rPr>
          <w:rFonts w:eastAsia="Calibri" w:cs="Times New Roman" w:ascii="Times New Roman" w:hAnsi="Times New Roman"/>
          <w:i/>
          <w:sz w:val="24"/>
          <w:szCs w:val="24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eastAsia="Calibri" w:cs="Times New Roman"/>
          <w:b/>
          <w:sz w:val="24"/>
          <w:szCs w:val="24"/>
        </w:rPr>
      </w:pPr>
      <w:r>
        <w:rPr>
          <w:rFonts w:eastAsia="Calibri" w:cs="Times New Roman" w:ascii="Times New Roman" w:hAnsi="Times New Roman"/>
          <w:b/>
          <w:sz w:val="24"/>
          <w:szCs w:val="24"/>
        </w:rPr>
        <w:t>ГРАФИК ПЛАТЕЖЕЙ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firstLine="708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В соответствии с п. 2.2 Договора Инвестор обязуется вносить платежи не позднее дат, указанных в настоящем Графике платежей.</w:t>
      </w:r>
    </w:p>
    <w:p>
      <w:pPr>
        <w:pStyle w:val="Normal"/>
        <w:spacing w:lineRule="auto" w:line="240" w:before="0" w:after="0"/>
        <w:ind w:firstLine="708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 xml:space="preserve">Инвестор уведомлен, что в случае просрочки внесения очередного платежа более 2 (двух) месяцев </w:t>
      </w:r>
      <w:bookmarkStart w:id="1" w:name="_Hlk185016097"/>
      <w:r>
        <w:rPr>
          <w:rFonts w:eastAsia="Calibri" w:cs="Times New Roman" w:ascii="Times New Roman" w:hAnsi="Times New Roman"/>
          <w:sz w:val="24"/>
          <w:szCs w:val="24"/>
        </w:rPr>
        <w:t>Застройщик вправе расторгнуть договор в одностороннем порядке. В этом случае, Инвестору возвращается сумма, внесенных им ранее платежей, а Застройщик освобождается от обязанности передать Помещение в соответствии с п. 4.1.5.</w:t>
      </w:r>
      <w:bookmarkEnd w:id="1"/>
    </w:p>
    <w:tbl>
      <w:tblPr>
        <w:tblStyle w:val="a3"/>
        <w:tblW w:w="9433" w:type="dxa"/>
        <w:jc w:val="start"/>
        <w:tblInd w:w="-96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794"/>
        <w:gridCol w:w="2698"/>
        <w:gridCol w:w="2833"/>
        <w:gridCol w:w="3108"/>
      </w:tblGrid>
      <w:tr>
        <w:trPr>
          <w:trHeight w:val="428" w:hRule="atLeast"/>
        </w:trPr>
        <w:tc>
          <w:tcPr>
            <w:tcW w:w="794" w:type="dxa"/>
            <w:tcBorders/>
          </w:tcPr>
          <w:p>
            <w:pPr>
              <w:pStyle w:val="Normal"/>
              <w:widowControl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№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п/п</w:t>
            </w:r>
          </w:p>
        </w:tc>
        <w:tc>
          <w:tcPr>
            <w:tcW w:w="2698" w:type="dxa"/>
            <w:tcBorders/>
          </w:tcPr>
          <w:p>
            <w:pPr>
              <w:pStyle w:val="Normal"/>
              <w:widowControl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Платеж (руб)</w:t>
            </w:r>
          </w:p>
        </w:tc>
        <w:tc>
          <w:tcPr>
            <w:tcW w:w="2833" w:type="dxa"/>
            <w:tcBorders/>
          </w:tcPr>
          <w:p>
            <w:pPr>
              <w:pStyle w:val="Normal"/>
              <w:widowControl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Дата платежа</w:t>
            </w:r>
          </w:p>
        </w:tc>
        <w:tc>
          <w:tcPr>
            <w:tcW w:w="3108" w:type="dxa"/>
            <w:tcBorders/>
          </w:tcPr>
          <w:p>
            <w:pPr>
              <w:pStyle w:val="Normal"/>
              <w:widowControl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Остаток (руб)</w:t>
            </w:r>
          </w:p>
        </w:tc>
      </w:tr>
    </w:tbl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Style w:val="SourceText"/>
          <w:rFonts w:cs="Times New Roman" w:ascii="Times New Roman" w:hAnsi="Times New Roman"/>
        </w:rPr>
        <w:t>{#paymentTable}</w:t>
      </w:r>
    </w:p>
    <w:tbl>
      <w:tblPr>
        <w:tblStyle w:val="a3"/>
        <w:tblW w:w="9433" w:type="dxa"/>
        <w:jc w:val="start"/>
        <w:tblInd w:w="-96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794"/>
        <w:gridCol w:w="2698"/>
        <w:gridCol w:w="2833"/>
        <w:gridCol w:w="3108"/>
      </w:tblGrid>
      <w:tr>
        <w:trPr>
          <w:trHeight w:val="266" w:hRule="atLeast"/>
        </w:trPr>
        <w:tc>
          <w:tcPr>
            <w:tcW w:w="794" w:type="dxa"/>
            <w:tcBorders/>
          </w:tcPr>
          <w:p>
            <w:pPr>
              <w:pStyle w:val="Normal"/>
              <w:widowControl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{number}</w:t>
            </w:r>
          </w:p>
        </w:tc>
        <w:tc>
          <w:tcPr>
            <w:tcW w:w="2698" w:type="dxa"/>
            <w:tcBorders/>
          </w:tcPr>
          <w:p>
            <w:pPr>
              <w:pStyle w:val="Normal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{payment}</w:t>
            </w:r>
          </w:p>
        </w:tc>
        <w:tc>
          <w:tcPr>
            <w:tcW w:w="2833" w:type="dxa"/>
            <w:tcBorders/>
          </w:tcPr>
          <w:p>
            <w:pPr>
              <w:pStyle w:val="Normal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{date}</w:t>
            </w:r>
          </w:p>
        </w:tc>
        <w:tc>
          <w:tcPr>
            <w:tcW w:w="3108" w:type="dxa"/>
            <w:tcBorders/>
          </w:tcPr>
          <w:p>
            <w:pPr>
              <w:pStyle w:val="Normal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{remaining}</w:t>
            </w:r>
          </w:p>
        </w:tc>
      </w:tr>
    </w:tbl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Style w:val="SourceText"/>
          <w:rFonts w:cs="Times New Roman" w:ascii="Times New Roman" w:hAnsi="Times New Roman"/>
        </w:rPr>
        <w:t>{/paymentTable}</w:t>
      </w:r>
    </w:p>
    <w:tbl>
      <w:tblPr>
        <w:tblStyle w:val="a3"/>
        <w:tblW w:w="9433" w:type="dxa"/>
        <w:jc w:val="start"/>
        <w:tblInd w:w="-96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794"/>
        <w:gridCol w:w="4114"/>
        <w:gridCol w:w="1417"/>
        <w:gridCol w:w="3108"/>
      </w:tblGrid>
      <w:tr>
        <w:trPr>
          <w:trHeight w:val="250" w:hRule="atLeast"/>
        </w:trPr>
        <w:tc>
          <w:tcPr>
            <w:tcW w:w="794" w:type="dxa"/>
            <w:tcBorders/>
          </w:tcPr>
          <w:p>
            <w:pPr>
              <w:pStyle w:val="Normal"/>
              <w:widowControl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5531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Итого:</w:t>
            </w:r>
          </w:p>
        </w:tc>
        <w:tc>
          <w:tcPr>
            <w:tcW w:w="3108" w:type="dxa"/>
            <w:tcBorders/>
          </w:tcPr>
          <w:p>
            <w:pPr>
              <w:pStyle w:val="Normal"/>
              <w:widowControl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{price}</w:t>
            </w:r>
          </w:p>
        </w:tc>
      </w:tr>
      <w:tr>
        <w:trPr>
          <w:trHeight w:val="944" w:hRule="atLeast"/>
        </w:trPr>
        <w:tc>
          <w:tcPr>
            <w:tcW w:w="4908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525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contextualSpacing/>
              <w:jc w:val="start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701" w:right="850" w:gutter="0" w:header="708" w:top="993" w:footer="0" w:bottom="851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  <w:id w:val="-1430574979"/>
    </w:sdtPr>
    <w:sdtContent>
      <w:p>
        <w:pPr>
          <w:pStyle w:val="Head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6</w:t>
        </w:r>
        <w:r>
          <w:rPr/>
          <w:fldChar w:fldCharType="end"/>
        </w:r>
      </w:p>
    </w:sdtContent>
  </w:sdt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isLgl/>
      <w:numFmt w:val="decimal"/>
      <w:lvlText w:val="%1.%2."/>
      <w:lvlJc w:val="start"/>
      <w:pPr>
        <w:tabs>
          <w:tab w:val="num" w:pos="0"/>
        </w:tabs>
        <w:ind w:start="1080" w:hanging="720"/>
      </w:pPr>
      <w:rPr>
        <w:b w:val="false"/>
        <w:bCs w:val="false"/>
      </w:rPr>
    </w:lvl>
    <w:lvl w:ilvl="2">
      <w:start w:val="1"/>
      <w:isLgl/>
      <w:numFmt w:val="decimal"/>
      <w:lvlText w:val="%1.%2.%3."/>
      <w:lvlJc w:val="start"/>
      <w:pPr>
        <w:tabs>
          <w:tab w:val="num" w:pos="0"/>
        </w:tabs>
        <w:ind w:start="1080" w:hanging="720"/>
      </w:pPr>
      <w:rPr/>
    </w:lvl>
    <w:lvl w:ilvl="3">
      <w:start w:val="1"/>
      <w:isLgl/>
      <w:numFmt w:val="decimal"/>
      <w:lvlText w:val="%1.%2.%3.%4."/>
      <w:lvlJc w:val="start"/>
      <w:pPr>
        <w:tabs>
          <w:tab w:val="num" w:pos="0"/>
        </w:tabs>
        <w:ind w:start="1440" w:hanging="1080"/>
      </w:pPr>
      <w:rPr/>
    </w:lvl>
    <w:lvl w:ilvl="4">
      <w:start w:val="1"/>
      <w:isLgl/>
      <w:numFmt w:val="decimal"/>
      <w:lvlText w:val="%1.%2.%3.%4.%5."/>
      <w:lvlJc w:val="start"/>
      <w:pPr>
        <w:tabs>
          <w:tab w:val="num" w:pos="0"/>
        </w:tabs>
        <w:ind w:start="1440" w:hanging="1080"/>
      </w:pPr>
      <w:rPr/>
    </w:lvl>
    <w:lvl w:ilvl="5">
      <w:start w:val="1"/>
      <w:isLgl/>
      <w:numFmt w:val="decimal"/>
      <w:lvlText w:val="%1.%2.%3.%4.%5.%6."/>
      <w:lvlJc w:val="start"/>
      <w:pPr>
        <w:tabs>
          <w:tab w:val="num" w:pos="0"/>
        </w:tabs>
        <w:ind w:start="1800" w:hanging="1440"/>
      </w:pPr>
      <w:rPr/>
    </w:lvl>
    <w:lvl w:ilvl="6">
      <w:start w:val="1"/>
      <w:isLgl/>
      <w:numFmt w:val="decimal"/>
      <w:lvlText w:val="%1.%2.%3.%4.%5.%6.%7."/>
      <w:lvlJc w:val="start"/>
      <w:pPr>
        <w:tabs>
          <w:tab w:val="num" w:pos="0"/>
        </w:tabs>
        <w:ind w:start="1800" w:hanging="1440"/>
      </w:pPr>
      <w:rPr/>
    </w:lvl>
    <w:lvl w:ilvl="7">
      <w:start w:val="1"/>
      <w:isLgl/>
      <w:numFmt w:val="decimal"/>
      <w:lvlText w:val="%1.%2.%3.%4.%5.%6.%7.%8."/>
      <w:lvlJc w:val="start"/>
      <w:pPr>
        <w:tabs>
          <w:tab w:val="num" w:pos="0"/>
        </w:tabs>
        <w:ind w:start="2160" w:hanging="1800"/>
      </w:pPr>
      <w:rPr/>
    </w:lvl>
    <w:lvl w:ilvl="8">
      <w:start w:val="1"/>
      <w:isLgl/>
      <w:numFmt w:val="decimal"/>
      <w:lvlText w:val="%1.%2.%3.%4.%5.%6.%7.%8.%9."/>
      <w:lvlJc w:val="start"/>
      <w:pPr>
        <w:tabs>
          <w:tab w:val="num" w:pos="0"/>
        </w:tabs>
        <w:ind w:start="2160" w:hanging="180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690" w:hanging="69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1410" w:hanging="690"/>
      </w:pPr>
      <w:rPr/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2160" w:hanging="720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2880" w:hanging="720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396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46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576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648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7560" w:hanging="180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183b9c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Верхний колонтитул Знак"/>
    <w:basedOn w:val="DefaultParagraphFont"/>
    <w:link w:val="Header"/>
    <w:uiPriority w:val="99"/>
    <w:qFormat/>
    <w:rsid w:val="00b517e7"/>
    <w:rPr/>
  </w:style>
  <w:style w:type="character" w:styleId="Style15" w:customStyle="1">
    <w:name w:val="Нижний колонтитул Знак"/>
    <w:basedOn w:val="DefaultParagraphFont"/>
    <w:link w:val="Footer"/>
    <w:uiPriority w:val="99"/>
    <w:qFormat/>
    <w:rsid w:val="00b517e7"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uiPriority w:val="34"/>
    <w:qFormat/>
    <w:rsid w:val="00915a2d"/>
    <w:pPr>
      <w:spacing w:before="0" w:after="16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4"/>
    <w:uiPriority w:val="99"/>
    <w:unhideWhenUsed/>
    <w:rsid w:val="00b517e7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5"/>
    <w:uiPriority w:val="99"/>
    <w:unhideWhenUsed/>
    <w:rsid w:val="00b517e7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TableParagraph" w:customStyle="1">
    <w:name w:val="Table Paragraph"/>
    <w:basedOn w:val="Normal"/>
    <w:uiPriority w:val="1"/>
    <w:qFormat/>
    <w:rsid w:val="007c4ec2"/>
    <w:pPr>
      <w:widowControl w:val="false"/>
      <w:spacing w:lineRule="auto" w:line="240" w:before="0" w:after="0"/>
      <w:ind w:start="110"/>
    </w:pPr>
    <w:rPr>
      <w:rFonts w:ascii="Times New Roman" w:hAnsi="Times New Roman" w:eastAsia="Times New Roman" w:cs="Times New Roman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0170f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AD4B83-0C66-497A-AF67-5208F15645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2867</TotalTime>
  <Application>LibreOffice/25.8.1.1$MacOSX_AARCH64 LibreOffice_project/54047653041915e595ad4e45cccea684809c77b5</Application>
  <AppVersion>15.0000</AppVersion>
  <Pages>6</Pages>
  <Words>1669</Words>
  <Characters>11845</Characters>
  <CharactersWithSpaces>13477</CharactersWithSpaces>
  <Paragraphs>120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2025-09-22T15:58:00Z</dcterms:created>
  <dc:creator>111</dc:creator>
  <dc:description/>
  <dc:language>ru-RU</dc:language>
  <cp:lastModifiedBy/>
  <dcterms:modified xsi:type="dcterms:W3CDTF">2025-10-18T19:59:03Z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