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5B0" w:rsidRPr="001B45B0" w:rsidRDefault="001B45B0" w:rsidP="001B45B0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Зміст</w:t>
      </w:r>
    </w:p>
    <w:p w:rsidR="001B45B0" w:rsidRPr="001B45B0" w:rsidRDefault="001B45B0" w:rsidP="001B45B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B45B0">
        <w:rPr>
          <w:rFonts w:ascii="Times New Roman" w:hAnsi="Times New Roman" w:cs="Times New Roman"/>
          <w:sz w:val="24"/>
          <w:szCs w:val="24"/>
        </w:rPr>
        <w:tab/>
        <w:t>КЕД процеси в сильних магнітних полях;</w:t>
      </w:r>
    </w:p>
    <w:p w:rsidR="001B45B0" w:rsidRPr="001B45B0" w:rsidRDefault="001B45B0" w:rsidP="001B45B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B45B0">
        <w:rPr>
          <w:rFonts w:ascii="Times New Roman" w:hAnsi="Times New Roman" w:cs="Times New Roman"/>
          <w:sz w:val="24"/>
          <w:szCs w:val="24"/>
        </w:rPr>
        <w:t>•</w:t>
      </w:r>
      <w:r w:rsidRPr="001B45B0">
        <w:rPr>
          <w:rFonts w:ascii="Times New Roman" w:hAnsi="Times New Roman" w:cs="Times New Roman"/>
          <w:sz w:val="24"/>
          <w:szCs w:val="24"/>
        </w:rPr>
        <w:tab/>
        <w:t>КЕД процеси в потенціалі двох кулонівських центрів;</w:t>
      </w:r>
    </w:p>
    <w:p w:rsidR="001B45B0" w:rsidRPr="001B45B0" w:rsidRDefault="001B45B0" w:rsidP="001B45B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B45B0">
        <w:rPr>
          <w:rFonts w:ascii="Times New Roman" w:hAnsi="Times New Roman" w:cs="Times New Roman"/>
          <w:sz w:val="24"/>
          <w:szCs w:val="24"/>
        </w:rPr>
        <w:t>•</w:t>
      </w:r>
      <w:r w:rsidRPr="001B45B0">
        <w:rPr>
          <w:rFonts w:ascii="Times New Roman" w:hAnsi="Times New Roman" w:cs="Times New Roman"/>
          <w:sz w:val="24"/>
          <w:szCs w:val="24"/>
        </w:rPr>
        <w:tab/>
        <w:t>втрати енергії зарядженої частинки при проходженні через замагнічений електронний газ;</w:t>
      </w:r>
    </w:p>
    <w:p w:rsidR="001B45B0" w:rsidRPr="001B45B0" w:rsidRDefault="001B45B0" w:rsidP="001B45B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B45B0">
        <w:rPr>
          <w:rFonts w:ascii="Times New Roman" w:hAnsi="Times New Roman" w:cs="Times New Roman"/>
          <w:sz w:val="24"/>
          <w:szCs w:val="24"/>
        </w:rPr>
        <w:t>•</w:t>
      </w:r>
      <w:r w:rsidRPr="001B45B0">
        <w:rPr>
          <w:rFonts w:ascii="Times New Roman" w:hAnsi="Times New Roman" w:cs="Times New Roman"/>
          <w:sz w:val="24"/>
          <w:szCs w:val="24"/>
        </w:rPr>
        <w:tab/>
        <w:t>вплив польової емісії з матеріалів прискорюючих структур у зовнішніх електромагнітних полях на виникнення високовакуумного пробою;</w:t>
      </w:r>
    </w:p>
    <w:p w:rsidR="001D1212" w:rsidRPr="002E2353" w:rsidRDefault="001B45B0" w:rsidP="001B45B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B45B0">
        <w:rPr>
          <w:rFonts w:ascii="Times New Roman" w:hAnsi="Times New Roman" w:cs="Times New Roman"/>
          <w:sz w:val="24"/>
          <w:szCs w:val="24"/>
        </w:rPr>
        <w:t>•</w:t>
      </w:r>
      <w:r w:rsidRPr="001B45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Юра</w:t>
      </w:r>
      <w:r w:rsidRPr="001B45B0">
        <w:rPr>
          <w:rFonts w:ascii="Times New Roman" w:hAnsi="Times New Roman" w:cs="Times New Roman"/>
          <w:sz w:val="24"/>
          <w:szCs w:val="24"/>
        </w:rPr>
        <w:t>.</w:t>
      </w:r>
    </w:p>
    <w:sectPr w:rsidR="001D1212" w:rsidRPr="002E2353" w:rsidSect="002E2353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defaultTabStop w:val="708"/>
  <w:drawingGridHorizontalSpacing w:val="110"/>
  <w:displayHorizontalDrawingGridEvery w:val="2"/>
  <w:characterSpacingControl w:val="doNotCompress"/>
  <w:compat/>
  <w:rsids>
    <w:rsidRoot w:val="001B45B0"/>
    <w:rsid w:val="000B2200"/>
    <w:rsid w:val="00191043"/>
    <w:rsid w:val="001B45B0"/>
    <w:rsid w:val="001D1212"/>
    <w:rsid w:val="002E2353"/>
    <w:rsid w:val="00F20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2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4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xvdm</dc:creator>
  <cp:lastModifiedBy>xvdm</cp:lastModifiedBy>
  <cp:revision>1</cp:revision>
  <dcterms:created xsi:type="dcterms:W3CDTF">2021-11-04T13:38:00Z</dcterms:created>
  <dcterms:modified xsi:type="dcterms:W3CDTF">2021-11-04T13:39:00Z</dcterms:modified>
</cp:coreProperties>
</file>