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Analyse des Risques - Projet Smart Fridge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Risque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Probabilité</w:t>
            </w:r>
          </w:p>
        </w:tc>
        <w:tc>
          <w:tcPr>
            <w:tcW w:type="dxa" w:w="1440"/>
          </w:tcPr>
          <w:p>
            <w:r>
              <w:t>Mesures de mitigation</w:t>
            </w:r>
          </w:p>
        </w:tc>
        <w:tc>
          <w:tcPr>
            <w:tcW w:type="dxa" w:w="1440"/>
          </w:tcPr>
          <w:p>
            <w:r>
              <w:t>Criticité</w:t>
            </w:r>
          </w:p>
        </w:tc>
      </w:tr>
      <w:tr>
        <w:tc>
          <w:tcPr>
            <w:tcW w:type="dxa" w:w="1440"/>
          </w:tcPr>
          <w:p>
            <w:r>
              <w:t>Reconnaissance erronée des produits</w:t>
            </w:r>
          </w:p>
        </w:tc>
        <w:tc>
          <w:tcPr>
            <w:tcW w:type="dxa" w:w="1440"/>
          </w:tcPr>
          <w:p>
            <w:r>
              <w:t>L’IA confond des produits similaires, entraînant des ajouts incorrects dans le panier Drive.</w:t>
            </w:r>
          </w:p>
        </w:tc>
        <w:tc>
          <w:tcPr>
            <w:tcW w:type="dxa" w:w="1440"/>
          </w:tcPr>
          <w:p>
            <w:r>
              <w:t>Élevé</w:t>
            </w:r>
          </w:p>
        </w:tc>
        <w:tc>
          <w:tcPr>
            <w:tcW w:type="dxa" w:w="1440"/>
          </w:tcPr>
          <w:p>
            <w:r>
              <w:t>Moyenne</w:t>
            </w:r>
          </w:p>
        </w:tc>
        <w:tc>
          <w:tcPr>
            <w:tcW w:type="dxa" w:w="1440"/>
          </w:tcPr>
          <w:p>
            <w:r>
              <w:t>Amélioration du dataset, apprentissage supervisé et tests utilisateurs avant déploiement.</w:t>
            </w:r>
          </w:p>
        </w:tc>
        <w:tc>
          <w:tcPr>
            <w:tcW w:type="dxa" w:w="1440"/>
          </w:tcPr>
          <w:p>
            <w:r>
              <w:t>Moyenne</w:t>
            </w:r>
          </w:p>
        </w:tc>
      </w:tr>
      <w:tr>
        <w:tc>
          <w:tcPr>
            <w:tcW w:type="dxa" w:w="1440"/>
          </w:tcPr>
          <w:p>
            <w:r>
              <w:t>Dépendance à un seul partenaire Drive</w:t>
            </w:r>
          </w:p>
        </w:tc>
        <w:tc>
          <w:tcPr>
            <w:tcW w:type="dxa" w:w="1440"/>
          </w:tcPr>
          <w:p>
            <w:r>
              <w:t>Blocage potentiel si un partenaire (Leclerc, Carrefour) refuse ou change ses conditions d’API.</w:t>
            </w:r>
          </w:p>
        </w:tc>
        <w:tc>
          <w:tcPr>
            <w:tcW w:type="dxa" w:w="1440"/>
          </w:tcPr>
          <w:p>
            <w:r>
              <w:t>Très élevé</w:t>
            </w:r>
          </w:p>
        </w:tc>
        <w:tc>
          <w:tcPr>
            <w:tcW w:type="dxa" w:w="1440"/>
          </w:tcPr>
          <w:p>
            <w:r>
              <w:t>Moyenne</w:t>
            </w:r>
          </w:p>
        </w:tc>
        <w:tc>
          <w:tcPr>
            <w:tcW w:type="dxa" w:w="1440"/>
          </w:tcPr>
          <w:p>
            <w:r>
              <w:t>Création d’un microservice multi-retailers dès la phase Prototype pour limiter la dépendance.</w:t>
            </w:r>
          </w:p>
        </w:tc>
        <w:tc>
          <w:tcPr>
            <w:tcW w:type="dxa" w:w="1440"/>
          </w:tcPr>
          <w:p>
            <w:r>
              <w:t>Forte</w:t>
            </w:r>
          </w:p>
        </w:tc>
      </w:tr>
      <w:tr>
        <w:tc>
          <w:tcPr>
            <w:tcW w:type="dxa" w:w="1440"/>
          </w:tcPr>
          <w:p>
            <w:r>
              <w:t>Acceptabilité / Vie privée</w:t>
            </w:r>
          </w:p>
        </w:tc>
        <w:tc>
          <w:tcPr>
            <w:tcW w:type="dxa" w:w="1440"/>
          </w:tcPr>
          <w:p>
            <w:r>
              <w:t>Méfiance des utilisateurs face à une caméra connectée dans la cuisine, crainte de surveillance.</w:t>
            </w:r>
          </w:p>
        </w:tc>
        <w:tc>
          <w:tcPr>
            <w:tcW w:type="dxa" w:w="1440"/>
          </w:tcPr>
          <w:p>
            <w:r>
              <w:t>Élevé</w:t>
            </w:r>
          </w:p>
        </w:tc>
        <w:tc>
          <w:tcPr>
            <w:tcW w:type="dxa" w:w="1440"/>
          </w:tcPr>
          <w:p>
            <w:r>
              <w:t>Élevée</w:t>
            </w:r>
          </w:p>
        </w:tc>
        <w:tc>
          <w:tcPr>
            <w:tcW w:type="dxa" w:w="1440"/>
          </w:tcPr>
          <w:p>
            <w:r>
              <w:t>Traitement local des images (Edge AI), anonymisation des données et communication transparente.</w:t>
            </w:r>
          </w:p>
        </w:tc>
        <w:tc>
          <w:tcPr>
            <w:tcW w:type="dxa" w:w="1440"/>
          </w:tcPr>
          <w:p>
            <w:r>
              <w:t>Forte</w:t>
            </w:r>
          </w:p>
        </w:tc>
      </w:tr>
    </w:tbl>
    <w:p/>
    <w:p>
      <w:pPr>
        <w:pStyle w:val="Heading2"/>
      </w:pPr>
      <w:r>
        <w:t>Suivi et ajustements</w:t>
      </w:r>
    </w:p>
    <w:p>
      <w:r>
        <w:t>Les risques identifiés ont conduit à des ajustements du Gantt et du budget :</w:t>
        <w:br/>
        <w:t>- Intégration d’une phase de tests utilisateurs plus longue (Phase 4 – Tests &amp; Validation).</w:t>
        <w:br/>
        <w:t>- Ajout d’une marge de sécurité budgétaire de 10 % pour anticiper les aléas techniques et partenariaux.</w:t>
        <w:br/>
        <w:t>- Inclusion de la création d’un microservice multi-retailers dans la phase de développement.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