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2B610" w14:textId="02A5AD59" w:rsidR="00DB2048" w:rsidRDefault="00EE7566" w:rsidP="00DB2048">
      <w:pPr>
        <w:pStyle w:val="Heading2"/>
        <w:numPr>
          <w:ilvl w:val="0"/>
          <w:numId w:val="1"/>
        </w:numPr>
        <w:spacing w:before="150" w:beforeAutospacing="0" w:after="0" w:afterAutospacing="0" w:line="630" w:lineRule="atLeast"/>
        <w:rPr>
          <w:rFonts w:ascii="Helvetica" w:hAnsi="Helvetica" w:cs="Helvetica"/>
          <w:b w:val="0"/>
          <w:bCs w:val="0"/>
          <w:color w:val="000000"/>
          <w:sz w:val="45"/>
          <w:szCs w:val="45"/>
        </w:rPr>
      </w:pPr>
      <w:r w:rsidRPr="001C6291">
        <w:rPr>
          <w:b w:val="0"/>
          <w:bCs w:val="0"/>
          <w:sz w:val="44"/>
          <w:szCs w:val="44"/>
        </w:rPr>
        <w:t>Sophie ,T. (2015)</w:t>
      </w:r>
      <w:r w:rsidR="00DB2048" w:rsidRPr="001C6291">
        <w:rPr>
          <w:b w:val="0"/>
          <w:bCs w:val="0"/>
          <w:sz w:val="44"/>
          <w:szCs w:val="44"/>
        </w:rPr>
        <w:t>.</w:t>
      </w:r>
      <w:r w:rsidR="00DB2048">
        <w:t xml:space="preserve"> </w:t>
      </w:r>
      <w:r w:rsidR="00DB2048" w:rsidRPr="00DB2048">
        <w:rPr>
          <w:rFonts w:ascii="Helvetica" w:hAnsi="Helvetica" w:cs="Helvetica"/>
          <w:b w:val="0"/>
          <w:bCs w:val="0"/>
          <w:color w:val="000000"/>
          <w:sz w:val="45"/>
          <w:szCs w:val="45"/>
        </w:rPr>
        <w:t>4 Legal Aspects You Need To Be Aware Of When Developing A Mobile App</w:t>
      </w:r>
      <w:r w:rsidR="00DB2048">
        <w:rPr>
          <w:rFonts w:ascii="Helvetica" w:hAnsi="Helvetica" w:cs="Helvetica"/>
          <w:b w:val="0"/>
          <w:bCs w:val="0"/>
          <w:color w:val="000000"/>
          <w:sz w:val="45"/>
          <w:szCs w:val="45"/>
        </w:rPr>
        <w:t xml:space="preserve">. Available from </w:t>
      </w:r>
      <w:hyperlink r:id="rId5" w:history="1">
        <w:r w:rsidR="00DB2048" w:rsidRPr="00280F49">
          <w:rPr>
            <w:rStyle w:val="Hyperlink"/>
            <w:rFonts w:ascii="Helvetica" w:hAnsi="Helvetica" w:cs="Helvetica"/>
            <w:b w:val="0"/>
            <w:bCs w:val="0"/>
            <w:sz w:val="45"/>
            <w:szCs w:val="45"/>
          </w:rPr>
          <w:t>https://www.inmobi.com/blog/2015/01/19/4-legal-aspects-you-need-to-be-aware-of-when-developing-a-mobile-app</w:t>
        </w:r>
      </w:hyperlink>
      <w:r w:rsidR="00DB2048">
        <w:rPr>
          <w:rFonts w:ascii="Helvetica" w:hAnsi="Helvetica" w:cs="Helvetica"/>
          <w:b w:val="0"/>
          <w:bCs w:val="0"/>
          <w:color w:val="000000"/>
          <w:sz w:val="45"/>
          <w:szCs w:val="45"/>
        </w:rPr>
        <w:t xml:space="preserve"> [Accessed 22 </w:t>
      </w:r>
      <w:r w:rsidR="00DB2048" w:rsidRPr="001C6291">
        <w:rPr>
          <w:rFonts w:ascii="Arial" w:hAnsi="Arial" w:cs="Arial"/>
          <w:b w:val="0"/>
          <w:bCs w:val="0"/>
          <w:color w:val="000000"/>
          <w:sz w:val="45"/>
          <w:szCs w:val="45"/>
        </w:rPr>
        <w:t>February</w:t>
      </w:r>
      <w:r w:rsidR="00DB2048">
        <w:rPr>
          <w:rFonts w:ascii="Helvetica" w:hAnsi="Helvetica" w:cs="Helvetica"/>
          <w:b w:val="0"/>
          <w:bCs w:val="0"/>
          <w:color w:val="000000"/>
          <w:sz w:val="45"/>
          <w:szCs w:val="45"/>
        </w:rPr>
        <w:t xml:space="preserve"> 2018]</w:t>
      </w:r>
    </w:p>
    <w:p w14:paraId="28F7CDFB" w14:textId="4150A428" w:rsidR="00DB2048" w:rsidRPr="001C6291" w:rsidRDefault="001C6291" w:rsidP="00DB2048">
      <w:pPr>
        <w:pStyle w:val="Heading2"/>
        <w:numPr>
          <w:ilvl w:val="0"/>
          <w:numId w:val="1"/>
        </w:numPr>
        <w:spacing w:before="150" w:beforeAutospacing="0" w:after="0" w:afterAutospacing="0" w:line="630" w:lineRule="atLeast"/>
        <w:rPr>
          <w:rFonts w:ascii="Helvetica" w:hAnsi="Helvetica" w:cs="Helvetica"/>
          <w:b w:val="0"/>
          <w:bCs w:val="0"/>
          <w:color w:val="000000"/>
          <w:sz w:val="45"/>
          <w:szCs w:val="45"/>
        </w:rPr>
      </w:pPr>
      <w:r w:rsidRPr="001C6291">
        <w:rPr>
          <w:rFonts w:ascii="Arial" w:hAnsi="Arial" w:cs="Arial"/>
          <w:b w:val="0"/>
          <w:bCs w:val="0"/>
          <w:sz w:val="44"/>
          <w:szCs w:val="44"/>
        </w:rPr>
        <w:t>Non-Disclosure agreements</w:t>
      </w:r>
      <w:r>
        <w:rPr>
          <w:b w:val="0"/>
          <w:bCs w:val="0"/>
        </w:rPr>
        <w:t xml:space="preserve">. </w:t>
      </w:r>
      <w:r>
        <w:rPr>
          <w:rFonts w:ascii="Arial" w:hAnsi="Arial" w:cs="Arial"/>
          <w:b w:val="0"/>
          <w:bCs w:val="0"/>
          <w:sz w:val="44"/>
          <w:szCs w:val="44"/>
        </w:rPr>
        <w:t xml:space="preserve">Available from </w:t>
      </w:r>
      <w:hyperlink r:id="rId6" w:history="1">
        <w:r w:rsidRPr="00280F49">
          <w:rPr>
            <w:rStyle w:val="Hyperlink"/>
            <w:rFonts w:ascii="Arial" w:hAnsi="Arial" w:cs="Arial"/>
            <w:b w:val="0"/>
            <w:bCs w:val="0"/>
            <w:sz w:val="44"/>
            <w:szCs w:val="44"/>
          </w:rPr>
          <w:t>https://www.gov.uk/government/publications/non-disclosure-agreements/non-disclosure-agreements</w:t>
        </w:r>
      </w:hyperlink>
      <w:r>
        <w:rPr>
          <w:rFonts w:ascii="Arial" w:hAnsi="Arial" w:cs="Arial"/>
          <w:b w:val="0"/>
          <w:bCs w:val="0"/>
          <w:sz w:val="44"/>
          <w:szCs w:val="44"/>
        </w:rPr>
        <w:t xml:space="preserve"> [Accessed 22 February 2018]</w:t>
      </w:r>
    </w:p>
    <w:p w14:paraId="4DB66554" w14:textId="3DEC0526" w:rsidR="001C6291" w:rsidRPr="001C6291" w:rsidRDefault="001C6291" w:rsidP="00DB2048">
      <w:pPr>
        <w:pStyle w:val="Heading2"/>
        <w:numPr>
          <w:ilvl w:val="0"/>
          <w:numId w:val="1"/>
        </w:numPr>
        <w:spacing w:before="150" w:beforeAutospacing="0" w:after="0" w:afterAutospacing="0" w:line="630" w:lineRule="atLeast"/>
        <w:rPr>
          <w:rFonts w:ascii="Helvetica" w:hAnsi="Helvetica" w:cs="Helvetica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sz w:val="44"/>
          <w:szCs w:val="44"/>
        </w:rPr>
        <w:t xml:space="preserve">EUGDPR – Information portal. Available from </w:t>
      </w:r>
      <w:hyperlink r:id="rId7" w:history="1">
        <w:r w:rsidRPr="00280F49">
          <w:rPr>
            <w:rStyle w:val="Hyperlink"/>
            <w:rFonts w:ascii="Arial" w:hAnsi="Arial" w:cs="Arial"/>
            <w:b w:val="0"/>
            <w:bCs w:val="0"/>
            <w:sz w:val="44"/>
            <w:szCs w:val="44"/>
          </w:rPr>
          <w:t>https://eugdpr.org/</w:t>
        </w:r>
      </w:hyperlink>
      <w:r>
        <w:rPr>
          <w:rFonts w:ascii="Arial" w:hAnsi="Arial" w:cs="Arial"/>
          <w:b w:val="0"/>
          <w:bCs w:val="0"/>
          <w:sz w:val="44"/>
          <w:szCs w:val="44"/>
        </w:rPr>
        <w:t xml:space="preserve"> [Accessed 22 February]</w:t>
      </w:r>
    </w:p>
    <w:p w14:paraId="228E5694" w14:textId="7584718F" w:rsidR="001C6291" w:rsidRDefault="001C6291" w:rsidP="00DB2048">
      <w:pPr>
        <w:pStyle w:val="Heading2"/>
        <w:numPr>
          <w:ilvl w:val="0"/>
          <w:numId w:val="1"/>
        </w:numPr>
        <w:spacing w:before="150" w:beforeAutospacing="0" w:after="0" w:afterAutospacing="0" w:line="630" w:lineRule="atLeast"/>
        <w:rPr>
          <w:rFonts w:ascii="Helvetica" w:hAnsi="Helvetica" w:cs="Helvetica"/>
          <w:b w:val="0"/>
          <w:bCs w:val="0"/>
          <w:color w:val="000000"/>
          <w:sz w:val="45"/>
          <w:szCs w:val="45"/>
        </w:rPr>
      </w:pPr>
      <w:r w:rsidRPr="001C6291">
        <w:rPr>
          <w:rFonts w:ascii="Helvetica" w:hAnsi="Helvetica" w:cs="Helvetica"/>
          <w:b w:val="0"/>
          <w:bCs w:val="0"/>
          <w:color w:val="000000"/>
          <w:sz w:val="45"/>
          <w:szCs w:val="45"/>
        </w:rPr>
        <w:t>what-does-general-data-protection-regulation-gdpr-govern_en</w:t>
      </w:r>
      <w:r>
        <w:rPr>
          <w:rFonts w:ascii="Helvetica" w:hAnsi="Helvetica" w:cs="Helvetica"/>
          <w:b w:val="0"/>
          <w:bCs w:val="0"/>
          <w:color w:val="000000"/>
          <w:sz w:val="45"/>
          <w:szCs w:val="45"/>
        </w:rPr>
        <w:t xml:space="preserve">. Available from </w:t>
      </w:r>
      <w:hyperlink r:id="rId8" w:history="1">
        <w:r w:rsidRPr="00280F49">
          <w:rPr>
            <w:rStyle w:val="Hyperlink"/>
            <w:rFonts w:ascii="Helvetica" w:hAnsi="Helvetica" w:cs="Helvetica"/>
            <w:b w:val="0"/>
            <w:bCs w:val="0"/>
            <w:sz w:val="45"/>
            <w:szCs w:val="45"/>
          </w:rPr>
          <w:t>https://ec.europa.eu/info/law/law-topic/data-protection/reform/what-does-</w:t>
        </w:r>
        <w:r w:rsidRPr="00280F49">
          <w:rPr>
            <w:rStyle w:val="Hyperlink"/>
            <w:rFonts w:ascii="Helvetica" w:hAnsi="Helvetica" w:cs="Helvetica"/>
            <w:b w:val="0"/>
            <w:bCs w:val="0"/>
            <w:sz w:val="45"/>
            <w:szCs w:val="45"/>
          </w:rPr>
          <w:lastRenderedPageBreak/>
          <w:t>general-data-protection-regulation-gdpr-govern_en</w:t>
        </w:r>
      </w:hyperlink>
      <w:r>
        <w:rPr>
          <w:rFonts w:ascii="Helvetica" w:hAnsi="Helvetica" w:cs="Helvetica"/>
          <w:b w:val="0"/>
          <w:bCs w:val="0"/>
          <w:color w:val="000000"/>
          <w:sz w:val="45"/>
          <w:szCs w:val="45"/>
        </w:rPr>
        <w:t xml:space="preserve"> [Accessed 22 February]</w:t>
      </w:r>
    </w:p>
    <w:p w14:paraId="75056FD6" w14:textId="2A32618A" w:rsidR="001C6291" w:rsidRDefault="001C6291" w:rsidP="00DB2048">
      <w:pPr>
        <w:pStyle w:val="Heading2"/>
        <w:numPr>
          <w:ilvl w:val="0"/>
          <w:numId w:val="1"/>
        </w:numPr>
        <w:spacing w:before="150" w:beforeAutospacing="0" w:after="0" w:afterAutospacing="0" w:line="630" w:lineRule="atLeast"/>
        <w:rPr>
          <w:rFonts w:ascii="Helvetica" w:hAnsi="Helvetica" w:cs="Helvetica"/>
          <w:b w:val="0"/>
          <w:bCs w:val="0"/>
          <w:color w:val="000000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000000"/>
          <w:sz w:val="45"/>
          <w:szCs w:val="45"/>
        </w:rPr>
        <w:t xml:space="preserve">How copyright protect your work. Available from </w:t>
      </w:r>
      <w:hyperlink r:id="rId9" w:history="1">
        <w:r w:rsidRPr="00280F49">
          <w:rPr>
            <w:rStyle w:val="Hyperlink"/>
            <w:rFonts w:ascii="Helvetica" w:hAnsi="Helvetica" w:cs="Helvetica"/>
            <w:b w:val="0"/>
            <w:bCs w:val="0"/>
            <w:sz w:val="45"/>
            <w:szCs w:val="45"/>
          </w:rPr>
          <w:t>https://www.gov.uk/copyright</w:t>
        </w:r>
      </w:hyperlink>
      <w:r>
        <w:rPr>
          <w:rFonts w:ascii="Helvetica" w:hAnsi="Helvetica" w:cs="Helvetica"/>
          <w:b w:val="0"/>
          <w:bCs w:val="0"/>
          <w:color w:val="000000"/>
          <w:sz w:val="45"/>
          <w:szCs w:val="45"/>
        </w:rPr>
        <w:t xml:space="preserve"> </w:t>
      </w:r>
      <w:r w:rsidR="00AC35A8">
        <w:rPr>
          <w:rFonts w:ascii="Helvetica" w:hAnsi="Helvetica" w:cs="Helvetica"/>
          <w:b w:val="0"/>
          <w:bCs w:val="0"/>
          <w:color w:val="000000"/>
          <w:sz w:val="45"/>
          <w:szCs w:val="45"/>
        </w:rPr>
        <w:t>[Accessed 22 February]</w:t>
      </w:r>
    </w:p>
    <w:p w14:paraId="69D4B589" w14:textId="77777777" w:rsidR="00AC35A8" w:rsidRPr="001C6291" w:rsidRDefault="00AC35A8" w:rsidP="00AC35A8">
      <w:pPr>
        <w:pStyle w:val="Heading2"/>
        <w:spacing w:before="150" w:beforeAutospacing="0" w:after="0" w:afterAutospacing="0" w:line="630" w:lineRule="atLeast"/>
        <w:ind w:left="720"/>
        <w:rPr>
          <w:rFonts w:ascii="Helvetica" w:hAnsi="Helvetica" w:cs="Helvetica"/>
          <w:b w:val="0"/>
          <w:bCs w:val="0"/>
          <w:color w:val="000000"/>
          <w:sz w:val="45"/>
          <w:szCs w:val="45"/>
        </w:rPr>
      </w:pPr>
      <w:bookmarkStart w:id="0" w:name="_GoBack"/>
      <w:bookmarkEnd w:id="0"/>
    </w:p>
    <w:p w14:paraId="68B0F53D" w14:textId="1489B9B2" w:rsidR="00DB2048" w:rsidRPr="00DB2048" w:rsidRDefault="00DB2048" w:rsidP="00DB2048">
      <w:pPr>
        <w:pStyle w:val="Heading2"/>
        <w:spacing w:before="150" w:beforeAutospacing="0" w:after="0" w:afterAutospacing="0" w:line="630" w:lineRule="atLeast"/>
        <w:rPr>
          <w:rFonts w:ascii="Helvetica" w:hAnsi="Helvetica" w:cs="Helvetica"/>
          <w:b w:val="0"/>
          <w:bCs w:val="0"/>
          <w:color w:val="000000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000000"/>
          <w:sz w:val="45"/>
          <w:szCs w:val="45"/>
        </w:rPr>
        <w:t xml:space="preserve"> </w:t>
      </w:r>
    </w:p>
    <w:p w14:paraId="2C36C1D0" w14:textId="25FE2589" w:rsidR="001454B3" w:rsidRDefault="001454B3"/>
    <w:sectPr w:rsidR="00145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E66C4"/>
    <w:multiLevelType w:val="hybridMultilevel"/>
    <w:tmpl w:val="6E1CA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566"/>
    <w:rsid w:val="0009407B"/>
    <w:rsid w:val="001454B3"/>
    <w:rsid w:val="001C6291"/>
    <w:rsid w:val="006F472B"/>
    <w:rsid w:val="00AC35A8"/>
    <w:rsid w:val="00DB2048"/>
    <w:rsid w:val="00EE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25060"/>
  <w15:chartTrackingRefBased/>
  <w15:docId w15:val="{B778E34C-4530-4802-AAE0-9A0692ED1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20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2048"/>
    <w:rPr>
      <w:rFonts w:ascii="Times New Roman" w:eastAsia="Times New Roman" w:hAnsi="Times New Roman" w:cs="Times New Roman"/>
      <w:b/>
      <w:bCs/>
      <w:sz w:val="36"/>
      <w:szCs w:val="36"/>
      <w:lang w:eastAsia="en-GB" w:bidi="te-IN"/>
    </w:rPr>
  </w:style>
  <w:style w:type="character" w:styleId="Hyperlink">
    <w:name w:val="Hyperlink"/>
    <w:basedOn w:val="DefaultParagraphFont"/>
    <w:uiPriority w:val="99"/>
    <w:unhideWhenUsed/>
    <w:rsid w:val="00DB20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.europa.eu/info/law/law-topic/data-protection/reform/what-does-general-data-protection-regulation-gdpr-govern_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ugdpr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v.uk/government/publications/non-disclosure-agreements/non-disclosure-agreemen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nmobi.com/blog/2015/01/19/4-legal-aspects-you-need-to-be-aware-of-when-developing-a-mobile-ap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v.uk/copyr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Manogna Devulapally</dc:creator>
  <cp:keywords/>
  <dc:description/>
  <cp:lastModifiedBy>Manogna Devulapally</cp:lastModifiedBy>
  <cp:revision>2</cp:revision>
  <dcterms:created xsi:type="dcterms:W3CDTF">2019-02-22T20:07:00Z</dcterms:created>
  <dcterms:modified xsi:type="dcterms:W3CDTF">2019-02-22T20:07:00Z</dcterms:modified>
</cp:coreProperties>
</file>