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br/>
      </w:r>
    </w:p>
    <w:p>
      <w:pPr>
        <w:pStyle w:val="Title"/>
        <w:jc w:val="center"/>
      </w:pPr>
      <w:r>
        <w:t>TECHNICAL REPORT: SENTINEL</w:t>
      </w:r>
    </w:p>
    <w:p>
      <w:pPr>
        <w:jc w:val="center"/>
      </w:pPr>
      <w:r>
        <w:rPr>
          <w:b/>
          <w:sz w:val="32"/>
        </w:rPr>
        <w:t>Scalable, ENabled, Trustworthy Infrastructure for Next-genAI Execution Layer</w:t>
      </w:r>
    </w:p>
    <w:p>
      <w:r>
        <w:br/>
        <w:br/>
        <w:br/>
      </w:r>
    </w:p>
    <w:tbl>
      <w:tblPr>
        <w:tblW w:type="auto" w:w="0"/>
        <w:jc w:val="center"/>
        <w:tblLook w:firstColumn="1" w:firstRow="1" w:lastColumn="0" w:lastRow="0" w:noHBand="0" w:noVBand="1" w:val="04A0"/>
      </w:tblPr>
      <w:tblGrid>
        <w:gridCol w:w="4320"/>
        <w:gridCol w:w="4320"/>
      </w:tblGrid>
      <w:tr>
        <w:tc>
          <w:tcPr>
            <w:tcW w:type="dxa" w:w="4320"/>
          </w:tcPr>
          <w:p>
            <w:r>
              <w:rPr>
                <w:b/>
              </w:rPr>
              <w:t>Project Developers:</w:t>
            </w:r>
          </w:p>
        </w:tc>
        <w:tc>
          <w:tcPr>
            <w:tcW w:type="dxa" w:w="4320"/>
          </w:tcPr>
          <w:p>
            <w:r>
              <w:t>Karthikeya Kurra and Nishitha</w:t>
            </w:r>
          </w:p>
        </w:tc>
      </w:tr>
      <w:tr>
        <w:tc>
          <w:tcPr>
            <w:tcW w:type="dxa" w:w="4320"/>
          </w:tcPr>
          <w:p>
            <w:r>
              <w:rPr>
                <w:b/>
              </w:rPr>
              <w:t>Industry Partner:</w:t>
            </w:r>
          </w:p>
        </w:tc>
        <w:tc>
          <w:tcPr>
            <w:tcW w:type="dxa" w:w="4320"/>
          </w:tcPr>
          <w:p>
            <w:r>
              <w:t>Best Egg (Mike Urban, CTOO)</w:t>
            </w:r>
          </w:p>
        </w:tc>
      </w:tr>
      <w:tr>
        <w:tc>
          <w:tcPr>
            <w:tcW w:type="dxa" w:w="4320"/>
          </w:tcPr>
          <w:p>
            <w:r>
              <w:rPr>
                <w:b/>
              </w:rPr>
              <w:t>Course:</w:t>
            </w:r>
          </w:p>
        </w:tc>
        <w:tc>
          <w:tcPr>
            <w:tcW w:type="dxa" w:w="4320"/>
          </w:tcPr>
          <w:p>
            <w:r>
              <w:t>CISC 867010 — Spring 2026</w:t>
            </w:r>
          </w:p>
        </w:tc>
      </w:tr>
      <w:tr>
        <w:tc>
          <w:tcPr>
            <w:tcW w:type="dxa" w:w="4320"/>
          </w:tcPr>
          <w:p>
            <w:r>
              <w:rPr>
                <w:b/>
              </w:rPr>
              <w:t>Repository:</w:t>
            </w:r>
          </w:p>
        </w:tc>
        <w:tc>
          <w:tcPr>
            <w:tcW w:type="dxa" w:w="4320"/>
          </w:tcPr>
          <w:p>
            <w:r>
              <w:t>github.com/Khey17/sentinel-nextgenai-execution-layer</w:t>
            </w:r>
          </w:p>
        </w:tc>
      </w:tr>
    </w:tbl>
    <w:p>
      <w:r>
        <w:br w:type="page"/>
      </w:r>
    </w:p>
    <w:p>
      <w:pPr>
        <w:pStyle w:val="Heading1"/>
      </w:pPr>
      <w:r>
        <w:t>1. Project Overview, Goals, and Scope</w:t>
      </w:r>
    </w:p>
    <w:p>
      <w:r>
        <w:t>The Sentinel project was initiated as a collaborative research effort with Best Egg to modernize the risk analysis pipeline for personal loan applications. The core challenge was to define and create a scalable, resilient, and secure GenAI orchestration layer capable of integrating vast amounts of unstructured financial data (bank statements, paystubs, W-2s) into an automated decision-making process.</w:t>
      </w:r>
    </w:p>
    <w:p>
      <w:r>
        <w:t>Traditional underwriting often relies on manual review or rigid, regex-based parsing, which fails to capture the nuance of complex transaction patterns. While Large Language Models (LLMs) like Gemini 2.5 Flash offer the reasoning capabilities to solve this, they introduce a significant privacy risk. Transmitting raw Personal Identifiable Information (PII) to external APIs creates a liability for data theft and violates strict financial data retention policies.</w:t>
      </w:r>
    </w:p>
    <w:p>
      <w:pPr>
        <w:pStyle w:val="Heading2"/>
      </w:pPr>
      <w:r>
        <w:t>1.1. Problem Statement and Motivation</w:t>
      </w:r>
    </w:p>
    <w:p>
      <w:r>
        <w:t>Before Sentinel, the standard fintech pipeline faced three compounding risks that prevented widespread GenAI adoption:</w:t>
      </w:r>
    </w:p>
    <w:p>
      <w:pPr>
        <w:pStyle w:val="ListBullet"/>
      </w:pPr>
      <w:r>
        <w:rPr>
          <w:b/>
        </w:rPr>
        <w:t xml:space="preserve">Context Retention Risk: </w:t>
      </w:r>
      <w:r>
        <w:t>LLMs often store prompt data to train future models, meaning a customer's SSN or account history could become part of a third-party model's knowledge base.</w:t>
      </w:r>
    </w:p>
    <w:p>
      <w:pPr>
        <w:pStyle w:val="ListBullet"/>
      </w:pPr>
      <w:r>
        <w:rPr>
          <w:b/>
        </w:rPr>
        <w:t xml:space="preserve">Attack Surface Expansion: </w:t>
      </w:r>
      <w:r>
        <w:t>Raw data stored in context logs is a high-value target for malicious actors, creating a single point of failure for thousands of applicants.</w:t>
      </w:r>
    </w:p>
    <w:p>
      <w:pPr>
        <w:pStyle w:val="ListBullet"/>
      </w:pPr>
      <w:r>
        <w:rPr>
          <w:b/>
        </w:rPr>
        <w:t xml:space="preserve">Policy-Architecture Gap: </w:t>
      </w:r>
      <w:r>
        <w:t>Privacy is typically treated as a 'best-effort' policy rather than an architectural fact. Sentinel aims to make privacy a structural guarantee.</w:t>
      </w:r>
    </w:p>
    <w:p>
      <w:pPr>
        <w:pStyle w:val="Heading2"/>
      </w:pPr>
      <w:r>
        <w:t>1.2. Original Goals and Scope Boundary</w:t>
      </w:r>
    </w:p>
    <w:p>
      <w:r>
        <w:t>The project scope was strictly defined to ensure a production-ready MVP:</w:t>
      </w:r>
    </w:p>
    <w:tbl>
      <w:tblPr>
        <w:tblStyle w:val="TableGrid"/>
        <w:tblW w:type="auto" w:w="0"/>
        <w:tblLook w:firstColumn="1" w:firstRow="1" w:lastColumn="0" w:lastRow="0" w:noHBand="0" w:noVBand="1" w:val="04A0"/>
      </w:tblPr>
      <w:tblGrid>
        <w:gridCol w:w="4320"/>
        <w:gridCol w:w="4320"/>
      </w:tblGrid>
      <w:tr>
        <w:tc>
          <w:tcPr>
            <w:tcW w:type="dxa" w:w="4320"/>
          </w:tcPr>
          <w:p>
            <w:r>
              <w:rPr>
                <w:b/>
              </w:rPr>
              <w:t>In Scope (v1.0.0)</w:t>
            </w:r>
          </w:p>
        </w:tc>
        <w:tc>
          <w:tcPr>
            <w:tcW w:type="dxa" w:w="4320"/>
          </w:tcPr>
          <w:p>
            <w:r>
              <w:rPr>
                <w:b/>
              </w:rPr>
              <w:t>Out of Scope (Deferred)</w:t>
            </w:r>
          </w:p>
        </w:tc>
      </w:tr>
      <w:tr>
        <w:tc>
          <w:tcPr>
            <w:tcW w:type="dxa" w:w="4320"/>
          </w:tcPr>
          <w:p>
            <w:r>
              <w:t>Processing of digital PDF bank statements and paystubs</w:t>
            </w:r>
          </w:p>
        </w:tc>
        <w:tc>
          <w:tcPr>
            <w:tcW w:type="dxa" w:w="4320"/>
          </w:tcPr>
          <w:p>
            <w:r>
              <w:t>OCR for scanned/handwritten documents</w:t>
            </w:r>
          </w:p>
        </w:tc>
      </w:tr>
      <w:tr>
        <w:tc>
          <w:tcPr>
            <w:tcW w:type="dxa" w:w="4320"/>
          </w:tcPr>
          <w:p>
            <w:r>
              <w:t>Six-stage privacy-enforcing sequential pipeline</w:t>
            </w:r>
          </w:p>
        </w:tc>
        <w:tc>
          <w:tcPr>
            <w:tcW w:type="dxa" w:w="4320"/>
          </w:tcPr>
          <w:p>
            <w:r>
              <w:t>Direct lending decision automation</w:t>
            </w:r>
          </w:p>
        </w:tc>
      </w:tr>
      <w:tr>
        <w:tc>
          <w:tcPr>
            <w:tcW w:type="dxa" w:w="4320"/>
          </w:tcPr>
          <w:p>
            <w:r>
              <w:t>Deterministic 100-point credit scorecarding</w:t>
            </w:r>
          </w:p>
        </w:tc>
        <w:tc>
          <w:tcPr>
            <w:tcW w:type="dxa" w:w="4320"/>
          </w:tcPr>
          <w:p>
            <w:r>
              <w:t>Multi-tenant authentication and RBAC</w:t>
            </w:r>
          </w:p>
        </w:tc>
      </w:tr>
      <w:tr>
        <w:tc>
          <w:tcPr>
            <w:tcW w:type="dxa" w:w="4320"/>
          </w:tcPr>
          <w:p>
            <w:r>
              <w:t>Cloud deployment with production secret management</w:t>
            </w:r>
          </w:p>
        </w:tc>
        <w:tc>
          <w:tcPr>
            <w:tcW w:type="dxa" w:w="4320"/>
          </w:tcPr>
          <w:p>
            <w:r>
              <w:t>Phase 3 agentic self-correcting pipelines</w:t>
            </w:r>
          </w:p>
        </w:tc>
      </w:tr>
    </w:tbl>
    <w:p>
      <w:r>
        <w:br w:type="page"/>
      </w:r>
    </w:p>
    <w:p>
      <w:pPr>
        <w:pStyle w:val="Heading1"/>
      </w:pPr>
      <w:r>
        <w:t>2. Technical Approach and System Design</w:t>
      </w:r>
    </w:p>
    <w:p>
      <w:r>
        <w:t>Sentinel is built as an event-driven, asynchronous processing engine. This 'Engine Room' design ensures high throughput while maintaining an extremely responsive user interface. By decoupling the document intake from the computationally intensive NLP stages, the system can handle large batch uploads without blocking the main application thread.</w:t>
      </w:r>
    </w:p>
    <w:p>
      <w:pPr>
        <w:pStyle w:val="Heading2"/>
      </w:pPr>
      <w:r>
        <w:t>2.1. Deployed Cloud Topology</w:t>
      </w:r>
    </w:p>
    <w:p>
      <w:r>
        <w:t>The system is deployed on Google Cloud Platform using a serverless architecture for maximum scalability and cost-efficiency. The topology consists of three primary Cloud Run services interacting with GCP managed services.</w:t>
      </w:r>
    </w:p>
    <w:p>
      <w:r>
        <w:drawing>
          <wp:inline xmlns:a="http://schemas.openxmlformats.org/drawingml/2006/main" xmlns:pic="http://schemas.openxmlformats.org/drawingml/2006/picture">
            <wp:extent cx="5303520" cy="9784569"/>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303520" cy="9784569"/>
                    </a:xfrm>
                    <a:prstGeom prst="rect"/>
                  </pic:spPr>
                </pic:pic>
              </a:graphicData>
            </a:graphic>
          </wp:inline>
        </w:drawing>
      </w:r>
    </w:p>
    <w:p>
      <w:pPr>
        <w:jc w:val="center"/>
      </w:pPr>
      <w:r>
        <w:t>Figure 1: Sentinel Cloud Topology and Distributed Pipeline Architecture.</w:t>
      </w:r>
    </w:p>
    <w:p>
      <w:pPr>
        <w:pStyle w:val="Heading2"/>
      </w:pPr>
      <w:r>
        <w:t>2.2. Major Components and Technical Roles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Technology</w:t>
            </w:r>
          </w:p>
        </w:tc>
        <w:tc>
          <w:tcPr>
            <w:tcW w:type="dxa" w:w="2880"/>
          </w:tcPr>
          <w:p>
            <w:r>
              <w:rPr>
                <w:b/>
              </w:rPr>
              <w:t>Role</w:t>
            </w:r>
          </w:p>
        </w:tc>
      </w:tr>
      <w:tr>
        <w:tc>
          <w:tcPr>
            <w:tcW w:type="dxa" w:w="2880"/>
          </w:tcPr>
          <w:p>
            <w:r>
              <w:t>Ingestion Layer</w:t>
            </w:r>
          </w:p>
        </w:tc>
        <w:tc>
          <w:tcPr>
            <w:tcW w:type="dxa" w:w="2880"/>
          </w:tcPr>
          <w:p>
            <w:r>
              <w:t>FastAPI</w:t>
            </w:r>
          </w:p>
        </w:tc>
        <w:tc>
          <w:tcPr>
            <w:tcW w:type="dxa" w:w="2880"/>
          </w:tcPr>
          <w:p>
            <w:r>
              <w:t>REST entry point with Pydantic schema validation.</w:t>
            </w:r>
          </w:p>
        </w:tc>
      </w:tr>
      <w:tr>
        <w:tc>
          <w:tcPr>
            <w:tcW w:type="dxa" w:w="2880"/>
          </w:tcPr>
          <w:p>
            <w:r>
              <w:t>Task Broker</w:t>
            </w:r>
          </w:p>
        </w:tc>
        <w:tc>
          <w:tcPr>
            <w:tcW w:type="dxa" w:w="2880"/>
          </w:tcPr>
          <w:p>
            <w:r>
              <w:t>Redis</w:t>
            </w:r>
          </w:p>
        </w:tc>
        <w:tc>
          <w:tcPr>
            <w:tcW w:type="dxa" w:w="2880"/>
          </w:tcPr>
          <w:p>
            <w:r>
              <w:t>High-speed queue for worker coordination.</w:t>
            </w:r>
          </w:p>
        </w:tc>
      </w:tr>
      <w:tr>
        <w:tc>
          <w:tcPr>
            <w:tcW w:type="dxa" w:w="2880"/>
          </w:tcPr>
          <w:p>
            <w:r>
              <w:t>Processing Engine</w:t>
            </w:r>
          </w:p>
        </w:tc>
        <w:tc>
          <w:tcPr>
            <w:tcW w:type="dxa" w:w="2880"/>
          </w:tcPr>
          <w:p>
            <w:r>
              <w:t>Celery</w:t>
            </w:r>
          </w:p>
        </w:tc>
        <w:tc>
          <w:tcPr>
            <w:tcW w:type="dxa" w:w="2880"/>
          </w:tcPr>
          <w:p>
            <w:r>
              <w:t>Parallel workers executing the document pipeline.</w:t>
            </w:r>
          </w:p>
        </w:tc>
      </w:tr>
      <w:tr>
        <w:tc>
          <w:tcPr>
            <w:tcW w:type="dxa" w:w="2880"/>
          </w:tcPr>
          <w:p>
            <w:r>
              <w:t>Privacy Guard</w:t>
            </w:r>
          </w:p>
        </w:tc>
        <w:tc>
          <w:tcPr>
            <w:tcW w:type="dxa" w:w="2880"/>
          </w:tcPr>
          <w:p>
            <w:r>
              <w:t>spaCy / Presidio</w:t>
            </w:r>
          </w:p>
        </w:tc>
        <w:tc>
          <w:tcPr>
            <w:tcW w:type="dxa" w:w="2880"/>
          </w:tcPr>
          <w:p>
            <w:r>
              <w:t>Local NLP ensemble for zero-latency PII removal.</w:t>
            </w:r>
          </w:p>
        </w:tc>
      </w:tr>
      <w:tr>
        <w:tc>
          <w:tcPr>
            <w:tcW w:type="dxa" w:w="2880"/>
          </w:tcPr>
          <w:p>
            <w:r>
              <w:t>Intelligence</w:t>
            </w:r>
          </w:p>
        </w:tc>
        <w:tc>
          <w:tcPr>
            <w:tcW w:type="dxa" w:w="2880"/>
          </w:tcPr>
          <w:p>
            <w:r>
              <w:t>Gemini 2.5 Flash</w:t>
            </w:r>
          </w:p>
        </w:tc>
        <w:tc>
          <w:tcPr>
            <w:tcW w:type="dxa" w:w="2880"/>
          </w:tcPr>
          <w:p>
            <w:r>
              <w:t>Vertex AI for structured fact extraction.</w:t>
            </w:r>
          </w:p>
        </w:tc>
      </w:tr>
      <w:tr>
        <w:tc>
          <w:tcPr>
            <w:tcW w:type="dxa" w:w="2880"/>
          </w:tcPr>
          <w:p>
            <w:r>
              <w:t>Security Vault</w:t>
            </w:r>
          </w:p>
        </w:tc>
        <w:tc>
          <w:tcPr>
            <w:tcW w:type="dxa" w:w="2880"/>
          </w:tcPr>
          <w:p>
            <w:r>
              <w:t>Secret Manager</w:t>
            </w:r>
          </w:p>
        </w:tc>
        <w:tc>
          <w:tcPr>
            <w:tcW w:type="dxa" w:w="2880"/>
          </w:tcPr>
          <w:p>
            <w:r>
              <w:t>Runtime injection of API keys (Zero-Trust).</w:t>
            </w:r>
          </w:p>
        </w:tc>
      </w:tr>
      <w:tr>
        <w:tc>
          <w:tcPr>
            <w:tcW w:type="dxa" w:w="2880"/>
          </w:tcPr>
          <w:p>
            <w:r>
              <w:t>Relational Store</w:t>
            </w:r>
          </w:p>
        </w:tc>
        <w:tc>
          <w:tcPr>
            <w:tcW w:type="dxa" w:w="2880"/>
          </w:tcPr>
          <w:p>
            <w:r>
              <w:t>PostgreSQL</w:t>
            </w:r>
          </w:p>
        </w:tc>
        <w:tc>
          <w:tcPr>
            <w:tcW w:type="dxa" w:w="2880"/>
          </w:tcPr>
          <w:p>
            <w:r>
              <w:t>Persistence for job state and reason codes.</w:t>
            </w:r>
          </w:p>
        </w:tc>
      </w:tr>
    </w:tbl>
    <w:p>
      <w:r>
        <w:br w:type="page"/>
      </w:r>
    </w:p>
    <w:p>
      <w:pPr>
        <w:pStyle w:val="Heading1"/>
      </w:pPr>
      <w:r>
        <w:t>3. Project Implementation Quality and Code Organization</w:t>
      </w:r>
    </w:p>
    <w:p>
      <w:r>
        <w:t>Sentinel was built following the 'One Module, One Job' philosophy. Each stage of the document lifecycle is encapsulated in a standalone Python module, ensuring a clear separation of concerns and preventing logic bleeding.</w:t>
      </w:r>
    </w:p>
    <w:p>
      <w:pPr>
        <w:pStyle w:val="Heading2"/>
      </w:pPr>
      <w:r>
        <w:t>3.1. Codebase Architecture</w:t>
      </w:r>
    </w:p>
    <w:p>
      <w:r>
        <w:t>The repository is organized into modular services to facilitate independent scaling:</w:t>
      </w:r>
    </w:p>
    <w:p>
      <w:pPr>
        <w:pStyle w:val="ListBullet"/>
      </w:pPr>
      <w:r>
        <w:rPr>
          <w:b/>
        </w:rPr>
        <w:t xml:space="preserve">src/api/app/redactor.py: </w:t>
      </w:r>
      <w:r>
        <w:t>Contains the ensemble PII logic using spaCy and Presidio.</w:t>
      </w:r>
    </w:p>
    <w:p>
      <w:pPr>
        <w:pStyle w:val="ListBullet"/>
      </w:pPr>
      <w:r>
        <w:rPr>
          <w:b/>
        </w:rPr>
        <w:t xml:space="preserve">src/api/app/scorer.py: </w:t>
      </w:r>
      <w:r>
        <w:t>Implements the deterministic 100-point scorecard with reason codes.</w:t>
      </w:r>
    </w:p>
    <w:p>
      <w:pPr>
        <w:pStyle w:val="ListBullet"/>
      </w:pPr>
      <w:r>
        <w:rPr>
          <w:b/>
        </w:rPr>
        <w:t xml:space="preserve">src/api/app/authenticator.py: </w:t>
      </w:r>
      <w:r>
        <w:t>Performs PDF metadata and mathematical balance checks.</w:t>
      </w:r>
    </w:p>
    <w:p>
      <w:pPr>
        <w:pStyle w:val="ListBullet"/>
      </w:pPr>
      <w:r>
        <w:rPr>
          <w:b/>
        </w:rPr>
        <w:t xml:space="preserve">src/api/app/aggregator.py: </w:t>
      </w:r>
      <w:r>
        <w:t>Merges multiple documents into a single application decision.</w:t>
      </w:r>
    </w:p>
    <w:p>
      <w:pPr>
        <w:pStyle w:val="Heading2"/>
      </w:pPr>
      <w:r>
        <w:t>3.2. ML Models and Choice of Metrics</w:t>
      </w:r>
    </w:p>
    <w:p>
      <w:r>
        <w:t>The system runs three distinct models in the production pipeline, each selected for its specific performance/latency trade-off.</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Role</w:t>
            </w:r>
          </w:p>
        </w:tc>
        <w:tc>
          <w:tcPr>
            <w:tcW w:type="dxa" w:w="2880"/>
          </w:tcPr>
          <w:p>
            <w:r>
              <w:rPr>
                <w:b/>
              </w:rPr>
              <w:t>Why this Choice</w:t>
            </w:r>
          </w:p>
        </w:tc>
      </w:tr>
      <w:tr>
        <w:tc>
          <w:tcPr>
            <w:tcW w:type="dxa" w:w="2880"/>
          </w:tcPr>
          <w:p>
            <w:r>
              <w:t>Gemini 2.5 Flash</w:t>
            </w:r>
          </w:p>
        </w:tc>
        <w:tc>
          <w:tcPr>
            <w:tcW w:type="dxa" w:w="2880"/>
          </w:tcPr>
          <w:p>
            <w:r>
              <w:t>Structured Extraction</w:t>
            </w:r>
          </w:p>
        </w:tc>
        <w:tc>
          <w:tcPr>
            <w:tcW w:type="dxa" w:w="2880"/>
          </w:tcPr>
          <w:p>
            <w:r>
              <w:t>Fast-tier, schema-pinned JSON output, region-local.</w:t>
            </w:r>
          </w:p>
        </w:tc>
      </w:tr>
      <w:tr>
        <w:tc>
          <w:tcPr>
            <w:tcW w:type="dxa" w:w="2880"/>
          </w:tcPr>
          <w:p>
            <w:r>
              <w:t>spaCy en_core_web_lg</w:t>
            </w:r>
          </w:p>
        </w:tc>
        <w:tc>
          <w:tcPr>
            <w:tcW w:type="dxa" w:w="2880"/>
          </w:tcPr>
          <w:p>
            <w:r>
              <w:t>NER for PII</w:t>
            </w:r>
          </w:p>
        </w:tc>
        <w:tc>
          <w:tcPr>
            <w:tcW w:type="dxa" w:w="2880"/>
          </w:tcPr>
          <w:p>
            <w:r>
              <w:t>High-recall NER; runs CPU-only within memory limits.</w:t>
            </w:r>
          </w:p>
        </w:tc>
      </w:tr>
      <w:tr>
        <w:tc>
          <w:tcPr>
            <w:tcW w:type="dxa" w:w="2880"/>
          </w:tcPr>
          <w:p>
            <w:r>
              <w:t>Microsoft Presidio</w:t>
            </w:r>
          </w:p>
        </w:tc>
        <w:tc>
          <w:tcPr>
            <w:tcW w:type="dxa" w:w="2880"/>
          </w:tcPr>
          <w:p>
            <w:r>
              <w:t>Pattern PII</w:t>
            </w:r>
          </w:p>
        </w:tc>
        <w:tc>
          <w:tcPr>
            <w:tcW w:type="dxa" w:w="2880"/>
          </w:tcPr>
          <w:p>
            <w:r>
              <w:t>Deterministic regex tier; catches SSNs/Account numbers.</w:t>
            </w:r>
          </w:p>
        </w:tc>
      </w:tr>
    </w:tbl>
    <w:p>
      <w:r>
        <w:br w:type="page"/>
      </w:r>
    </w:p>
    <w:p>
      <w:pPr>
        <w:pStyle w:val="Heading1"/>
      </w:pPr>
      <w:r>
        <w:t>4. Performance, Resources, and Scalability</w:t>
      </w:r>
    </w:p>
    <w:p>
      <w:r>
        <w:t>The pipeline was instrumented with Prometheus timers at every stage. Analysis shows that processing time is dominated by the LLM inference stage, which justifies the asynchronous, queue-based architecture.</w:t>
      </w:r>
    </w:p>
    <w:p>
      <w:r>
        <w:drawing>
          <wp:inline xmlns:a="http://schemas.openxmlformats.org/drawingml/2006/main" xmlns:pic="http://schemas.openxmlformats.org/drawingml/2006/picture">
            <wp:extent cx="4572000" cy="2612571"/>
            <wp:docPr id="2" name="Picture 2"/>
            <wp:cNvGraphicFramePr>
              <a:graphicFrameLocks noChangeAspect="1"/>
            </wp:cNvGraphicFramePr>
            <a:graphic>
              <a:graphicData uri="http://schemas.openxmlformats.org/drawingml/2006/picture">
                <pic:pic>
                  <pic:nvPicPr>
                    <pic:cNvPr id="0" name="latency_by_step.png"/>
                    <pic:cNvPicPr/>
                  </pic:nvPicPr>
                  <pic:blipFill>
                    <a:blip r:embed="rId10"/>
                    <a:stretch>
                      <a:fillRect/>
                    </a:stretch>
                  </pic:blipFill>
                  <pic:spPr>
                    <a:xfrm>
                      <a:off x="0" y="0"/>
                      <a:ext cx="4572000" cy="2612571"/>
                    </a:xfrm>
                    <a:prstGeom prst="rect"/>
                  </pic:spPr>
                </pic:pic>
              </a:graphicData>
            </a:graphic>
          </wp:inline>
        </w:drawing>
      </w:r>
    </w:p>
    <w:p>
      <w:pPr>
        <w:jc w:val="center"/>
      </w:pPr>
      <w:r>
        <w:t>Figure 2: Pipeline Latency Profiling. Gemini extraction accounts for ~60-70% of wall-clock time.</w:t>
      </w:r>
    </w:p>
    <w:p>
      <w:pPr>
        <w:pStyle w:val="Heading2"/>
      </w:pPr>
      <w:r>
        <w:t>4.1. System Scalability and Hard Ceilings</w:t>
      </w:r>
    </w:p>
    <w:p>
      <w:r>
        <w:t>Sentinel scales linearly with the number of worker instances. However, the theoretical ceiling is governed by the Vertex AI quota limits. Our benchmarks show that even with infinite workers, the system is capped by regional RPM.</w:t>
      </w:r>
    </w:p>
    <w:p>
      <w:r>
        <w:drawing>
          <wp:inline xmlns:a="http://schemas.openxmlformats.org/drawingml/2006/main" xmlns:pic="http://schemas.openxmlformats.org/drawingml/2006/picture">
            <wp:extent cx="4572000" cy="2612571"/>
            <wp:docPr id="3" name="Picture 3"/>
            <wp:cNvGraphicFramePr>
              <a:graphicFrameLocks noChangeAspect="1"/>
            </wp:cNvGraphicFramePr>
            <a:graphic>
              <a:graphicData uri="http://schemas.openxmlformats.org/drawingml/2006/picture">
                <pic:pic>
                  <pic:nvPicPr>
                    <pic:cNvPr id="0" name="throughput_scenarios.png"/>
                    <pic:cNvPicPr/>
                  </pic:nvPicPr>
                  <pic:blipFill>
                    <a:blip r:embed="rId11"/>
                    <a:stretch>
                      <a:fillRect/>
                    </a:stretch>
                  </pic:blipFill>
                  <pic:spPr>
                    <a:xfrm>
                      <a:off x="0" y="0"/>
                      <a:ext cx="4572000" cy="2612571"/>
                    </a:xfrm>
                    <a:prstGeom prst="rect"/>
                  </pic:spPr>
                </pic:pic>
              </a:graphicData>
            </a:graphic>
          </wp:inline>
        </w:drawing>
      </w:r>
    </w:p>
    <w:p>
      <w:pPr>
        <w:jc w:val="center"/>
      </w:pPr>
      <w:r>
        <w:t>Figure 3: Throughput analysis from a single worker to enterprise-scale deployment.</w:t>
      </w:r>
    </w:p>
    <w:p>
      <w:r>
        <w:br w:type="page"/>
      </w:r>
    </w:p>
    <w:p>
      <w:pPr>
        <w:pStyle w:val="Heading1"/>
      </w:pPr>
      <w:r>
        <w:t>5. Testing, Validation, and Correctness Evidence</w:t>
      </w:r>
    </w:p>
    <w:p>
      <w:r>
        <w:t>Technical integrity is ensured through 688 lines of unit tests, integrated into the GitHub Actions CI/CD pipeline. We prioritize the empirical reproduction of fraud signals and PII leakage scenarios.</w:t>
      </w:r>
    </w:p>
    <w:p>
      <w:pPr>
        <w:pStyle w:val="Heading2"/>
      </w:pPr>
      <w:r>
        <w:t>5.1. Core Validation Modules</w:t>
      </w:r>
    </w:p>
    <w:p>
      <w:pPr>
        <w:pStyle w:val="ListBullet"/>
      </w:pPr>
      <w:r>
        <w:rPr>
          <w:b/>
        </w:rPr>
        <w:t xml:space="preserve">test_authenticator.py: </w:t>
      </w:r>
      <w:r>
        <w:t>Validates PDF balance reconciliation and fraud flags.</w:t>
      </w:r>
    </w:p>
    <w:p>
      <w:pPr>
        <w:pStyle w:val="ListBullet"/>
      </w:pPr>
      <w:r>
        <w:rPr>
          <w:b/>
        </w:rPr>
        <w:t xml:space="preserve">test_guardrails.py: </w:t>
      </w:r>
      <w:r>
        <w:t>Verifies MIME-type, magic byte, and file size enforcement.</w:t>
      </w:r>
    </w:p>
    <w:p>
      <w:pPr>
        <w:pStyle w:val="ListBullet"/>
      </w:pPr>
      <w:r>
        <w:rPr>
          <w:b/>
        </w:rPr>
        <w:t xml:space="preserve">test_redactor.py: </w:t>
      </w:r>
      <w:r>
        <w:t>Ensures 100% PII removal across SSNs, accounts, and names.</w:t>
      </w:r>
    </w:p>
    <w:p>
      <w:pPr>
        <w:pStyle w:val="ListBullet"/>
      </w:pPr>
      <w:r>
        <w:rPr>
          <w:b/>
        </w:rPr>
        <w:t xml:space="preserve">test_classifier.py: </w:t>
      </w:r>
      <w:r>
        <w:t>Tests the keyword-gate to ensure only financial documents enter.</w:t>
      </w:r>
    </w:p>
    <w:p>
      <w:pPr>
        <w:pStyle w:val="Heading1"/>
      </w:pPr>
      <w:r>
        <w:t>6. Reproducibility and Execution Instructions</w:t>
      </w:r>
    </w:p>
    <w:p>
      <w:r>
        <w:t>The system is designed for high portability, with a pinned environment that works identically across development and cloud.</w:t>
      </w:r>
    </w:p>
    <w:p>
      <w:pPr>
        <w:pStyle w:val="Heading2"/>
      </w:pPr>
      <w:r>
        <w:t>6.1. Local Environment Quickstart</w:t>
      </w:r>
    </w:p>
    <w:p>
      <w:r>
        <w:t>To run the full stack locally (requires Docker):</w:t>
      </w:r>
    </w:p>
    <w:p>
      <w:pPr>
        <w:pStyle w:val="ListNumber"/>
      </w:pPr>
      <w:r>
        <w:t>1. git clone https://github.com/Khey17/sentinel-nextgenai-execution-layer.git</w:t>
      </w:r>
    </w:p>
    <w:p>
      <w:pPr>
        <w:pStyle w:val="ListNumber"/>
      </w:pPr>
      <w:r>
        <w:t>2. cd sentinel-nextgenai-execution-layer &amp;&amp; cp .env.example .env</w:t>
      </w:r>
    </w:p>
    <w:p>
      <w:pPr>
        <w:pStyle w:val="ListNumber"/>
      </w:pPr>
      <w:r>
        <w:t>3. docker compose up --build</w:t>
      </w:r>
    </w:p>
    <w:p>
      <w:r>
        <w:t>Frontend: http://localhost:8501 | API Docs: http://localhost:8000/docs</w:t>
      </w:r>
    </w:p>
    <w:p>
      <w:pPr>
        <w:pStyle w:val="Heading1"/>
      </w:pPr>
      <w:r>
        <w:t>7. Results, Reflections, and Future Work</w:t>
      </w:r>
    </w:p>
    <w:p>
      <w:r>
        <w:t>The project successfully delivered a working infrastructure that fulfills all of Best Egg's initial requirements. The most high-leverage architectural decision was replacing 'AI confidence scores' with a deterministic, math-based 100-point scorecard. This ensures that every PASS or NEEDS_REVIEW recommendation comes with auditable reason codes.</w:t>
      </w:r>
    </w:p>
    <w:p>
      <w:pPr>
        <w:pStyle w:val="Heading2"/>
      </w:pPr>
      <w:r>
        <w:t>7.1. Prioritized Roadmap</w:t>
      </w:r>
    </w:p>
    <w:p>
      <w:pPr>
        <w:pStyle w:val="ListBullet"/>
      </w:pPr>
      <w:r>
        <w:t>Infrastructure Scale-out: Moving Celery workers from Cloud Run to GKE for true auto-scaling based on Redis depth.</w:t>
      </w:r>
    </w:p>
    <w:p>
      <w:pPr>
        <w:pStyle w:val="ListBullet"/>
      </w:pPr>
      <w:r>
        <w:t>OCR for Scanned PDFs: Integrating Document AI to handle image-based financial records (the largest functional gap).</w:t>
      </w:r>
    </w:p>
    <w:p>
      <w:pPr>
        <w:pStyle w:val="ListBullet"/>
      </w:pPr>
      <w:r>
        <w:t>Cross-Document Consistency: Automating fraud signals by referencing paystub income against bank statement deposits.</w:t>
      </w:r>
    </w:p>
    <w:p>
      <w:pPr>
        <w:pStyle w:val="ListBullet"/>
      </w:pPr>
      <w:r>
        <w:t>Multi-Tenant Auth: Implementing RBAC for Customer, Business, and Auditor roles.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