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Sentinel: Scalable, ENabled, Trustworthy Infrastructure for Next-genAI Execution Layer</w:t>
      </w:r>
    </w:p>
    <w:p>
      <w:pPr>
        <w:jc w:val="center"/>
      </w:pPr>
      <w:r>
        <w:rPr>
          <w:i/>
        </w:rPr>
        <w:t>A Framework for Secure and Automated Financial Document Processing</w:t>
      </w:r>
    </w:p>
    <w:p>
      <w:r>
        <w:rPr>
          <w:b/>
        </w:rPr>
        <w:t xml:space="preserve">Team: </w:t>
      </w:r>
      <w:r>
        <w:t>Karthikeya Kurra</w:t>
        <w:br/>
      </w:r>
      <w:r>
        <w:rPr>
          <w:b/>
        </w:rPr>
        <w:t xml:space="preserve">Industry Partner: </w:t>
      </w:r>
      <w:r>
        <w:t>Best Egg (Mike Urban, CTOO)</w:t>
        <w:br/>
      </w:r>
      <w:r>
        <w:rPr>
          <w:b/>
        </w:rPr>
        <w:t xml:space="preserve">Mentor: </w:t>
      </w:r>
      <w:r>
        <w:t>Mike Urban</w:t>
        <w:br/>
      </w:r>
      <w:r>
        <w:rPr>
          <w:b/>
        </w:rPr>
        <w:t xml:space="preserve">Course: </w:t>
      </w:r>
      <w:r>
        <w:t>CISC 867010 — Pilot Research Software Engineering (Spring 2026)</w:t>
      </w:r>
    </w:p>
    <w:p>
      <w:pPr>
        <w:pStyle w:val="Heading1"/>
      </w:pPr>
      <w:r>
        <w:t>1. Project Overview, Goals, and Scope</w:t>
      </w:r>
    </w:p>
    <w:p>
      <w:r>
        <w:t>In the rapidly evolving fintech landscape, the automation of credit decisions through Artificial Intelligence is no longer a luxury but a necessity for maintaining competitive customer experiences. However, the integration of Large Language Models (LLMs) into these pipelines introduces significant privacy risks, particularly when handling sensitive Personal Identifiable Information (PII) such as Social Security Numbers and financial transaction histories. Sentinel was developed as a 'Privacy Shield'—a robust orchestration layer designed to redact PII locally before any data is exposed to external LLM contexts.</w:t>
      </w:r>
    </w:p>
    <w:p>
      <w:r>
        <w:t>Our main goal is to provide an end-to-end infrastructure that enables financial institutions to automate the extraction and analysis of unstructured documents (bank statements, paystubs) while enforcing structural privacy guarantees. The system ensures that the LLM only receives anonymized, contextually relevant data, thereby mitigating risks associated with data retention in model logs and potential malicious attacks on third-party infrastructure.</w:t>
      </w:r>
    </w:p>
    <w:p>
      <w:pPr>
        <w:pStyle w:val="Heading1"/>
      </w:pPr>
      <w:r>
        <w:t>2. Technical Approach and System Design</w:t>
      </w:r>
    </w:p>
    <w:p>
      <w:pPr>
        <w:pStyle w:val="Heading2"/>
      </w:pPr>
      <w:r>
        <w:t>2.1. Architecture Overview</w:t>
      </w:r>
    </w:p>
    <w:p>
      <w:r>
        <w:t>Sentinel is built as an event-driven, asynchronous pipeline designed for high-throughput processing. It leverages a distributed task queue model to decouple document ingestion from the computationally intensive extraction and redaction phases. The architecture is centered around a 'relayed' sequence of specialized components, ensuring that no raw data is passed to the AI layer until its redaction has been validated by the local privacy guard.</w:t>
      </w:r>
    </w:p>
    <w:p>
      <w:pPr>
        <w:pStyle w:val="Heading2"/>
      </w:pPr>
      <w:r>
        <w:t>2.2. Major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Type</w:t>
            </w:r>
          </w:p>
        </w:tc>
        <w:tc>
          <w:tcPr>
            <w:tcW w:type="dxa" w:w="2880"/>
          </w:tcPr>
          <w:p>
            <w:r>
              <w:rPr>
                <w:b/>
              </w:rPr>
              <w:t>Role</w:t>
            </w:r>
          </w:p>
        </w:tc>
      </w:tr>
      <w:tr>
        <w:tc>
          <w:tcPr>
            <w:tcW w:type="dxa" w:w="2880"/>
          </w:tcPr>
          <w:p>
            <w:r>
              <w:t>Batch Intake</w:t>
            </w:r>
          </w:p>
        </w:tc>
        <w:tc>
          <w:tcPr>
            <w:tcW w:type="dxa" w:w="2880"/>
          </w:tcPr>
          <w:p>
            <w:r>
              <w:t>FastAPI / Streamlit</w:t>
            </w:r>
          </w:p>
        </w:tc>
        <w:tc>
          <w:tcPr>
            <w:tcW w:type="dxa" w:w="2880"/>
          </w:tcPr>
          <w:p>
            <w:r>
              <w:t>Centralized entry point for batch uploads and job tracking.</w:t>
            </w:r>
          </w:p>
        </w:tc>
      </w:tr>
      <w:tr>
        <w:tc>
          <w:tcPr>
            <w:tcW w:type="dxa" w:w="2880"/>
          </w:tcPr>
          <w:p>
            <w:r>
              <w:t>Redaction Layer</w:t>
            </w:r>
          </w:p>
        </w:tc>
        <w:tc>
          <w:tcPr>
            <w:tcW w:type="dxa" w:w="2880"/>
          </w:tcPr>
          <w:p>
            <w:r>
              <w:t>spaCy + Presidio</w:t>
            </w:r>
          </w:p>
        </w:tc>
        <w:tc>
          <w:tcPr>
            <w:tcW w:type="dxa" w:w="2880"/>
          </w:tcPr>
          <w:p>
            <w:r>
              <w:t>Local NLP engine for PII detection and placeholder replacement.</w:t>
            </w:r>
          </w:p>
        </w:tc>
      </w:tr>
      <w:tr>
        <w:tc>
          <w:tcPr>
            <w:tcW w:type="dxa" w:w="2880"/>
          </w:tcPr>
          <w:p>
            <w:r>
              <w:t>Extraction Layer</w:t>
            </w:r>
          </w:p>
        </w:tc>
        <w:tc>
          <w:tcPr>
            <w:tcW w:type="dxa" w:w="2880"/>
          </w:tcPr>
          <w:p>
            <w:r>
              <w:t>Gemini 2.5 Flash</w:t>
            </w:r>
          </w:p>
        </w:tc>
        <w:tc>
          <w:tcPr>
            <w:tcW w:type="dxa" w:w="2880"/>
          </w:tcPr>
          <w:p>
            <w:r>
              <w:t>Structured financial signal extraction from redacted text.</w:t>
            </w:r>
          </w:p>
        </w:tc>
      </w:tr>
      <w:tr>
        <w:tc>
          <w:tcPr>
            <w:tcW w:type="dxa" w:w="2880"/>
          </w:tcPr>
          <w:p>
            <w:r>
              <w:t>Scoring Engine</w:t>
            </w:r>
          </w:p>
        </w:tc>
        <w:tc>
          <w:tcPr>
            <w:tcW w:type="dxa" w:w="2880"/>
          </w:tcPr>
          <w:p>
            <w:r>
              <w:t>Deterministic Logic</w:t>
            </w:r>
          </w:p>
        </w:tc>
        <w:tc>
          <w:tcPr>
            <w:tcW w:type="dxa" w:w="2880"/>
          </w:tcPr>
          <w:p>
            <w:r>
              <w:t>100-point scorecard applying fintech business rules.</w:t>
            </w:r>
          </w:p>
        </w:tc>
      </w:tr>
      <w:tr>
        <w:tc>
          <w:tcPr>
            <w:tcW w:type="dxa" w:w="2880"/>
          </w:tcPr>
          <w:p>
            <w:r>
              <w:t>Observability</w:t>
            </w:r>
          </w:p>
        </w:tc>
        <w:tc>
          <w:tcPr>
            <w:tcW w:type="dxa" w:w="2880"/>
          </w:tcPr>
          <w:p>
            <w:r>
              <w:t>Prometheus / Grafana</w:t>
            </w:r>
          </w:p>
        </w:tc>
        <w:tc>
          <w:tcPr>
            <w:tcW w:type="dxa" w:w="2880"/>
          </w:tcPr>
          <w:p>
            <w:r>
              <w:t>Real-time monitoring of pipeline health and redaction recall.</w:t>
            </w:r>
          </w:p>
        </w:tc>
      </w:tr>
      <w:tr>
        <w:tc>
          <w:tcPr>
            <w:tcW w:type="dxa" w:w="2880"/>
          </w:tcPr>
          <w:p>
            <w:r>
              <w:t>Secret Vault</w:t>
            </w:r>
          </w:p>
        </w:tc>
        <w:tc>
          <w:tcPr>
            <w:tcW w:type="dxa" w:w="2880"/>
          </w:tcPr>
          <w:p>
            <w:r>
              <w:t>GCP Secret Manager</w:t>
            </w:r>
          </w:p>
        </w:tc>
        <w:tc>
          <w:tcPr>
            <w:tcW w:type="dxa" w:w="2880"/>
          </w:tcPr>
          <w:p>
            <w:r>
              <w:t>Secure runtime injection of API keys and credentials.</w:t>
            </w:r>
          </w:p>
        </w:tc>
      </w:tr>
    </w:tbl>
    <w:p>
      <w:pPr>
        <w:pStyle w:val="Heading2"/>
      </w:pPr>
      <w:r>
        <w:t>2.3. Data Flow</w:t>
      </w:r>
    </w:p>
    <w:p>
      <w:r>
        <w:t>The data journey starts with a raw PDF upload to the FastAPI gateway. The system immediately stores the raw artifact in a secure storage bucket (GCS) and enqueues a processing task in Redis. A Celery worker then executes the following sequence: it parses the document, runs a local dual-scan redaction (spaCy + Presidio), sends the anonymized text to Gemini for extraction, and finally passes the structured data to a deterministic scoring engine. Once the score is persisted to PostgreSQL, the raw document and parsed text are deleted to adhere to data minimization policies.</w:t>
      </w:r>
    </w:p>
    <w:p>
      <w:pPr>
        <w:pStyle w:val="Heading2"/>
      </w:pPr>
      <w:r>
        <w:t>2.4. Key Technical Choices</w:t>
      </w:r>
    </w:p>
    <w:p>
      <w:pPr>
        <w:pStyle w:val="ListBullet"/>
      </w:pPr>
      <w:r>
        <w:t>Local PII Redaction: By running spaCy and Presidio as local libraries, we ensure that zero PII leaves our infrastructure during the anonymization phase.</w:t>
      </w:r>
    </w:p>
    <w:p>
      <w:pPr>
        <w:pStyle w:val="ListBullet"/>
      </w:pPr>
      <w:r>
        <w:t>Async Orchestration: Redis and Celery enable horizontal scalability, allowing the system to handle spikes in application volume without latency in the user interface.</w:t>
      </w:r>
    </w:p>
    <w:p>
      <w:pPr>
        <w:pStyle w:val="ListBullet"/>
      </w:pPr>
      <w:r>
        <w:t>Zero-Trust Secrets: Credentials are never stored in source code; they are injected at runtime via Google Secret Manager and managed through GitHub Actions.</w:t>
      </w:r>
    </w:p>
    <w:p>
      <w:pPr>
        <w:pStyle w:val="ListBullet"/>
      </w:pPr>
      <w:r>
        <w:t>Deterministic Scoring: We utilize rule-based scoring rather than LLM judgment for final decisions to ensure explainability and regulatory compliance.</w:t>
      </w:r>
    </w:p>
    <w:p>
      <w:pPr>
        <w:pStyle w:val="Heading2"/>
      </w:pPr>
      <w:r>
        <w:t>2.5. Connection to Project Requirements</w:t>
      </w:r>
    </w:p>
    <w:p>
      <w:pPr>
        <w:pStyle w:val="ListBullet"/>
      </w:pPr>
      <w:r>
        <w:t>Scalability: Demonstrated through the use of distributed background workers.</w:t>
      </w:r>
    </w:p>
    <w:p>
      <w:pPr>
        <w:pStyle w:val="ListBullet"/>
      </w:pPr>
      <w:r>
        <w:t>Resilience: Enforced by integrated guardrails that reject non-financial documents early.</w:t>
      </w:r>
    </w:p>
    <w:p>
      <w:pPr>
        <w:pStyle w:val="ListBullet"/>
      </w:pPr>
      <w:r>
        <w:t>Security: Validated through local-first NLP and encrypted secret management.</w:t>
      </w:r>
    </w:p>
    <w:p>
      <w:pPr>
        <w:pStyle w:val="ListBullet"/>
      </w:pPr>
      <w:r>
        <w:t>Observability: Surfaced via a 15-panel dashboard tracking real-time pipeline performance.</w:t>
      </w:r>
    </w:p>
    <w:p>
      <w:pPr>
        <w:pStyle w:val="Heading1"/>
      </w:pPr>
      <w:r>
        <w:t>3. Project Implementation Quality and Code Organization</w:t>
      </w:r>
    </w:p>
    <w:p>
      <w:r>
        <w:t>The codebase is organized into modular services (ingestion, worker, monitoring) to facilitate independent scaling and maintenance. Each pipeline stage is encapsulated in a dedicated module (redactor.py, extractor.py, scorer.py), adhering to the single-responsibility principle. We utilize Pydantic for strict data validation at every interface and maintain a clean separation between infrastructure (Docker) and business logic.</w:t>
      </w:r>
    </w:p>
    <w:p>
      <w:pPr>
        <w:pStyle w:val="Heading1"/>
      </w:pPr>
      <w:r>
        <w:t>4. Reproducibility and Execution Instructions</w:t>
      </w:r>
    </w:p>
    <w:p>
      <w:pPr>
        <w:pStyle w:val="Heading2"/>
      </w:pPr>
      <w:r>
        <w:t>4.1. What You Need Before Starting</w:t>
      </w:r>
    </w:p>
    <w:p>
      <w:pPr>
        <w:pStyle w:val="ListBullet"/>
      </w:pPr>
      <w:r>
        <w:t>Docker and Docker Compose</w:t>
      </w:r>
    </w:p>
    <w:p>
      <w:pPr>
        <w:pStyle w:val="ListBullet"/>
      </w:pPr>
      <w:r>
        <w:t>GCP Service Account with Vertex AI permissions</w:t>
      </w:r>
    </w:p>
    <w:p>
      <w:pPr>
        <w:pStyle w:val="ListBullet"/>
      </w:pPr>
      <w:r>
        <w:t>Python 3.11+ (for local testing)</w:t>
      </w:r>
    </w:p>
    <w:p>
      <w:pPr>
        <w:pStyle w:val="Heading2"/>
      </w:pPr>
      <w:r>
        <w:t>4.2. Installation</w:t>
      </w:r>
    </w:p>
    <w:p>
      <w:r>
        <w:t>1. Clone the repository and navigate to the project root.</w:t>
      </w:r>
    </w:p>
    <w:p>
      <w:r>
        <w:t>2. Create a .env file based on .env.example with your GCP and API credentials.</w:t>
      </w:r>
    </w:p>
    <w:p>
      <w:r>
        <w:t>3. Build the containers: docker-compose build</w:t>
      </w:r>
    </w:p>
    <w:p>
      <w:pPr>
        <w:pStyle w:val="Heading2"/>
      </w:pPr>
      <w:r>
        <w:t>4.3. Running the Tool</w:t>
      </w:r>
    </w:p>
    <w:p>
      <w:r>
        <w:t>1. Start the stack: docker-compose up -d</w:t>
      </w:r>
    </w:p>
    <w:p>
      <w:r>
        <w:t>2. Access the Streamlit frontend at http://localhost:8501 to begin batch processing.</w:t>
      </w:r>
    </w:p>
    <w:p>
      <w:pPr>
        <w:pStyle w:val="Heading2"/>
      </w:pPr>
      <w:r>
        <w:t>4.4. What to Expect as Output</w:t>
      </w:r>
    </w:p>
    <w:tbl>
      <w:tblPr>
        <w:tblStyle w:val="TableGrid"/>
        <w:tblW w:type="auto" w:w="0"/>
        <w:tblLook w:firstColumn="1" w:firstRow="1" w:lastColumn="0" w:lastRow="0" w:noHBand="0" w:noVBand="1" w:val="04A0"/>
      </w:tblPr>
      <w:tblGrid>
        <w:gridCol w:w="4320"/>
        <w:gridCol w:w="4320"/>
      </w:tblGrid>
      <w:tr>
        <w:tc>
          <w:tcPr>
            <w:tcW w:type="dxa" w:w="4320"/>
          </w:tcPr>
          <w:p>
            <w:r>
              <w:rPr>
                <w:b/>
              </w:rPr>
              <w:t>Output</w:t>
            </w:r>
          </w:p>
        </w:tc>
        <w:tc>
          <w:tcPr>
            <w:tcW w:type="dxa" w:w="4320"/>
          </w:tcPr>
          <w:p>
            <w:r>
              <w:rPr>
                <w:b/>
              </w:rPr>
              <w:t>Description</w:t>
            </w:r>
          </w:p>
        </w:tc>
      </w:tr>
      <w:tr>
        <w:tc>
          <w:tcPr>
            <w:tcW w:type="dxa" w:w="4320"/>
          </w:tcPr>
          <w:p>
            <w:r>
              <w:t>Redaction Preview</w:t>
            </w:r>
          </w:p>
        </w:tc>
        <w:tc>
          <w:tcPr>
            <w:tcW w:type="dxa" w:w="4320"/>
          </w:tcPr>
          <w:p>
            <w:r>
              <w:t>Side-by-side view of original vs. anonymized text.</w:t>
            </w:r>
          </w:p>
        </w:tc>
      </w:tr>
      <w:tr>
        <w:tc>
          <w:tcPr>
            <w:tcW w:type="dxa" w:w="4320"/>
          </w:tcPr>
          <w:p>
            <w:r>
              <w:t>Extraction JSON</w:t>
            </w:r>
          </w:p>
        </w:tc>
        <w:tc>
          <w:tcPr>
            <w:tcW w:type="dxa" w:w="4320"/>
          </w:tcPr>
          <w:p>
            <w:r>
              <w:t>Structured financial facts extracted from the document.</w:t>
            </w:r>
          </w:p>
        </w:tc>
      </w:tr>
      <w:tr>
        <w:tc>
          <w:tcPr>
            <w:tcW w:type="dxa" w:w="4320"/>
          </w:tcPr>
          <w:p>
            <w:r>
              <w:t>Scorecard</w:t>
            </w:r>
          </w:p>
        </w:tc>
        <w:tc>
          <w:tcPr>
            <w:tcW w:type="dxa" w:w="4320"/>
          </w:tcPr>
          <w:p>
            <w:r>
              <w:t>100-point breakdown with detailed reason codes.</w:t>
            </w:r>
          </w:p>
        </w:tc>
      </w:tr>
      <w:tr>
        <w:tc>
          <w:tcPr>
            <w:tcW w:type="dxa" w:w="4320"/>
          </w:tcPr>
          <w:p>
            <w:r>
              <w:t>Metrics Dashboard</w:t>
            </w:r>
          </w:p>
        </w:tc>
        <w:tc>
          <w:tcPr>
            <w:tcW w:type="dxa" w:w="4320"/>
          </w:tcPr>
          <w:p>
            <w:r>
              <w:t>Live Grafana view of the processing pipeline.</w:t>
            </w:r>
          </w:p>
        </w:tc>
      </w:tr>
    </w:tbl>
    <w:p>
      <w:pPr>
        <w:pStyle w:val="Heading2"/>
      </w:pPr>
      <w:r>
        <w:t>4.5. Dependencies</w:t>
      </w:r>
    </w:p>
    <w:p>
      <w:r>
        <w:t>Key dependencies include FastAPI, Celery, Redis, SQLAlchemy, spaCy, Presidio, and the Google Cloud AI Platform SDK. All dependencies are managed via pyproject.toml and pinned in the Docker environment.</w:t>
      </w:r>
    </w:p>
    <w:p>
      <w:pPr>
        <w:pStyle w:val="Heading1"/>
      </w:pPr>
      <w:r>
        <w:t>5. Testing, Validation, and Correctness Evidence</w:t>
      </w:r>
    </w:p>
    <w:p>
      <w:pPr>
        <w:pStyle w:val="Heading2"/>
      </w:pPr>
      <w:r>
        <w:t>5.1. Validation Built Into the Pipeline</w:t>
      </w:r>
    </w:p>
    <w:p>
      <w:r>
        <w:t>Validation is integrated at every stage: the ingestion layer validates magic bytes and file types; the redaction layer performs an ensemble scan; and the scoring engine uses hard-stop criteria to flag fraudulent or inconsistent data automatically.</w:t>
      </w:r>
    </w:p>
    <w:p>
      <w:pPr>
        <w:pStyle w:val="Heading2"/>
      </w:pPr>
      <w:r>
        <w:t>5.2. End-to-End Testing</w:t>
      </w:r>
    </w:p>
    <w:p>
      <w:r>
        <w:t>We executed end-to-end testing using a suite of 'Gold Standard' financial documents. Each test run verified that PII was 100% removed, that extraction schemas remained consistent, and that the final scorecard reflected the underlying financial data accurately.</w:t>
      </w:r>
    </w:p>
    <w:p>
      <w:pPr>
        <w:pStyle w:val="Heading2"/>
      </w:pPr>
      <w:r>
        <w:t>5.3. Edge Cases and Limitations</w:t>
      </w:r>
    </w:p>
    <w:p>
      <w:r>
        <w:t>The system currently handles multi-page PDFs and varying bank statement formats. A primary limitation is the processing of low-quality scans (OCR is currently planned for v1.1). Additionally, redaction recall is highly dependent on the underlying NLP models and may require custom pattern tuning for obscure document types.</w:t>
      </w:r>
    </w:p>
    <w:p>
      <w:pPr>
        <w:pStyle w:val="Heading1"/>
      </w:pPr>
      <w:r>
        <w:t>6. Performance, Resource, and Scalability</w:t>
      </w:r>
    </w:p>
    <w:p>
      <w:r>
        <w:t>Sentinel is highly performant on moderate compute resources (university cluster). With a single worker instance, processing averages 5-10 documents per minute. Due to the asynchronous design, scalability is achieved by simply increasing the number of Celery workers, allowing the system to scale linearly with workload volume.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