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Sentinel: Scalable, ENabled, Trustworthy Infrastructure for Next-genAI Execution Layer</w:t>
      </w:r>
    </w:p>
    <w:p>
      <w:pPr>
        <w:jc w:val="center"/>
      </w:pPr>
      <w:r>
        <w:rPr>
          <w:b/>
        </w:rPr>
        <w:t>Final Project Report</w:t>
      </w:r>
    </w:p>
    <w:p>
      <w:r>
        <w:rPr>
          <w:b/>
        </w:rPr>
        <w:t xml:space="preserve">Team: </w:t>
      </w:r>
      <w:r>
        <w:t>Karthikeya Kurra and Nishitha</w:t>
        <w:br/>
      </w:r>
      <w:r>
        <w:rPr>
          <w:b/>
        </w:rPr>
        <w:t xml:space="preserve">Industry Partner: </w:t>
      </w:r>
      <w:r>
        <w:t>Best Egg (Mike Urban, CTOO)</w:t>
        <w:br/>
      </w:r>
      <w:r>
        <w:rPr>
          <w:b/>
        </w:rPr>
        <w:t xml:space="preserve">Course: </w:t>
      </w:r>
      <w:r>
        <w:t>CISC 867 - Research Software Engineering, Spring 2026</w:t>
      </w:r>
    </w:p>
    <w:p>
      <w:pPr>
        <w:pStyle w:val="Heading1"/>
      </w:pPr>
      <w:r>
        <w:t>1. Project Overview, Goals, and Scope</w:t>
      </w:r>
    </w:p>
    <w:p>
      <w:r>
        <w:t>Sentinel is a privacy-first orchestration layer built to secure the automated loan and credit approval process in fintech. The system addresses the critical paradox of leveraging Large Language Models (LLMs) while maintaining absolute data privacy. Sentinel acts as a shield, redacting PII locally before data reaches the AI, ensuring that only anonymized facts are used for credit evaluation.</w:t>
      </w:r>
    </w:p>
    <w:p>
      <w:pPr>
        <w:pStyle w:val="Heading1"/>
      </w:pPr>
      <w:r>
        <w:t>2. Technical Approach and System Design</w:t>
      </w:r>
    </w:p>
    <w:p>
      <w:pPr>
        <w:pStyle w:val="Heading2"/>
      </w:pPr>
      <w:r>
        <w:t>2.1. Architecture Overview</w:t>
      </w:r>
    </w:p>
    <w:p>
      <w:r>
        <w:t>The architecture is designed as a distributed, asynchronous pipeline. It uses FastAPI for ingestion, Redis for task queueing, and Celery workers for parallel processing.</w:t>
      </w:r>
    </w:p>
    <w:p>
      <w:r>
        <w:drawing>
          <wp:inline xmlns:a="http://schemas.openxmlformats.org/drawingml/2006/main" xmlns:pic="http://schemas.openxmlformats.org/drawingml/2006/picture">
            <wp:extent cx="5029200" cy="552867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29200" cy="5528675"/>
                    </a:xfrm>
                    <a:prstGeom prst="rect"/>
                  </pic:spPr>
                </pic:pic>
              </a:graphicData>
            </a:graphic>
          </wp:inline>
        </w:drawing>
      </w:r>
    </w:p>
    <w:p>
      <w:pPr>
        <w:jc w:val="center"/>
      </w:pPr>
      <w:r>
        <w:t>Figure 1: High-level System Architecture</w:t>
      </w:r>
    </w:p>
    <w:p>
      <w:pPr>
        <w:pStyle w:val="Heading2"/>
      </w:pPr>
      <w:r>
        <w:t>2.2. Major Components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Type</w:t>
            </w:r>
          </w:p>
        </w:tc>
        <w:tc>
          <w:tcPr>
            <w:tcW w:type="dxa" w:w="2880"/>
          </w:tcPr>
          <w:p>
            <w:r>
              <w:rPr>
                <w:b/>
              </w:rPr>
              <w:t>Role</w:t>
            </w:r>
          </w:p>
        </w:tc>
      </w:tr>
      <w:tr>
        <w:tc>
          <w:tcPr>
            <w:tcW w:type="dxa" w:w="2880"/>
          </w:tcPr>
          <w:p>
            <w:r>
              <w:t>Batch Intake System</w:t>
            </w:r>
          </w:p>
        </w:tc>
        <w:tc>
          <w:tcPr>
            <w:tcW w:type="dxa" w:w="2880"/>
          </w:tcPr>
          <w:p>
            <w:r>
              <w:t>FastAPI</w:t>
            </w:r>
          </w:p>
        </w:tc>
        <w:tc>
          <w:tcPr>
            <w:tcW w:type="dxa" w:w="2880"/>
          </w:tcPr>
          <w:p>
            <w:r>
              <w:t>Centralized entry point for batch uploads.</w:t>
            </w:r>
          </w:p>
        </w:tc>
      </w:tr>
      <w:tr>
        <w:tc>
          <w:tcPr>
            <w:tcW w:type="dxa" w:w="2880"/>
          </w:tcPr>
          <w:p>
            <w:r>
              <w:t>Redaction Layer</w:t>
            </w:r>
          </w:p>
        </w:tc>
        <w:tc>
          <w:tcPr>
            <w:tcW w:type="dxa" w:w="2880"/>
          </w:tcPr>
          <w:p>
            <w:r>
              <w:t>spaCy / Presidio</w:t>
            </w:r>
          </w:p>
        </w:tc>
        <w:tc>
          <w:tcPr>
            <w:tcW w:type="dxa" w:w="2880"/>
          </w:tcPr>
          <w:p>
            <w:r>
              <w:t>Local NLP engine for PII removal.</w:t>
            </w:r>
          </w:p>
        </w:tc>
      </w:tr>
      <w:tr>
        <w:tc>
          <w:tcPr>
            <w:tcW w:type="dxa" w:w="2880"/>
          </w:tcPr>
          <w:p>
            <w:r>
              <w:t>Extraction Layer</w:t>
            </w:r>
          </w:p>
        </w:tc>
        <w:tc>
          <w:tcPr>
            <w:tcW w:type="dxa" w:w="2880"/>
          </w:tcPr>
          <w:p>
            <w:r>
              <w:t>Gemini 2.5 Flash</w:t>
            </w:r>
          </w:p>
        </w:tc>
        <w:tc>
          <w:tcPr>
            <w:tcW w:type="dxa" w:w="2880"/>
          </w:tcPr>
          <w:p>
            <w:r>
              <w:t>Structured extraction from redacted text.</w:t>
            </w:r>
          </w:p>
        </w:tc>
      </w:tr>
      <w:tr>
        <w:tc>
          <w:tcPr>
            <w:tcW w:type="dxa" w:w="2880"/>
          </w:tcPr>
          <w:p>
            <w:r>
              <w:t>Scoring Engine</w:t>
            </w:r>
          </w:p>
        </w:tc>
        <w:tc>
          <w:tcPr>
            <w:tcW w:type="dxa" w:w="2880"/>
          </w:tcPr>
          <w:p>
            <w:r>
              <w:t>Deterministic</w:t>
            </w:r>
          </w:p>
        </w:tc>
        <w:tc>
          <w:tcPr>
            <w:tcW w:type="dxa" w:w="2880"/>
          </w:tcPr>
          <w:p>
            <w:r>
              <w:t>Rules-based credit decisioning.</w:t>
            </w:r>
          </w:p>
        </w:tc>
      </w:tr>
      <w:tr>
        <w:tc>
          <w:tcPr>
            <w:tcW w:type="dxa" w:w="2880"/>
          </w:tcPr>
          <w:p>
            <w:r>
              <w:t>Observability</w:t>
            </w:r>
          </w:p>
        </w:tc>
        <w:tc>
          <w:tcPr>
            <w:tcW w:type="dxa" w:w="2880"/>
          </w:tcPr>
          <w:p>
            <w:r>
              <w:t>Prometheus</w:t>
            </w:r>
          </w:p>
        </w:tc>
        <w:tc>
          <w:tcPr>
            <w:tcW w:type="dxa" w:w="2880"/>
          </w:tcPr>
          <w:p>
            <w:r>
              <w:t>Live pipeline monitoring.</w:t>
            </w:r>
          </w:p>
        </w:tc>
      </w:tr>
    </w:tbl>
    <w:p>
      <w:pPr>
        <w:pStyle w:val="Heading1"/>
      </w:pPr>
      <w:r>
        <w:t>4. Reproducibility and Execution Instructions</w:t>
      </w:r>
    </w:p>
    <w:p>
      <w:r>
        <w:t>The system is fully containerized using Docker, allowing for one-click deployment in both local and cloud environments.</w:t>
      </w:r>
    </w:p>
    <w:p>
      <w:pPr>
        <w:pStyle w:val="Heading1"/>
      </w:pPr>
      <w:r>
        <w:t>5. Testing, Validation, and Correctness Evidence</w:t>
      </w:r>
    </w:p>
    <w:p>
      <w:r>
        <w:t>Sentinel was stress-tested using 1,000 document pairs (2,000 files). The results confirmed that the system scales linearly and maintains consistent PII redaction accuracy across varying document formats.</w:t>
      </w:r>
    </w:p>
    <w:p>
      <w:pPr>
        <w:pStyle w:val="Heading1"/>
      </w:pPr>
      <w:r>
        <w:t>6. Performance, Resource, and Scalability</w:t>
      </w:r>
    </w:p>
    <w:p>
      <w:r>
        <w:t>The following charts illustrate the performance characteristics of Sentinel under load.</w:t>
      </w:r>
    </w:p>
    <w:p>
      <w:r>
        <w:drawing>
          <wp:inline xmlns:a="http://schemas.openxmlformats.org/drawingml/2006/main" xmlns:pic="http://schemas.openxmlformats.org/drawingml/2006/picture">
            <wp:extent cx="4114800" cy="2743200"/>
            <wp:docPr id="2" name="Picture 2"/>
            <wp:cNvGraphicFramePr>
              <a:graphicFrameLocks noChangeAspect="1"/>
            </wp:cNvGraphicFramePr>
            <a:graphic>
              <a:graphicData uri="http://schemas.openxmlformats.org/drawingml/2006/picture">
                <pic:pic>
                  <pic:nvPicPr>
                    <pic:cNvPr id="0" name="latency_chart.png"/>
                    <pic:cNvPicPr/>
                  </pic:nvPicPr>
                  <pic:blipFill>
                    <a:blip r:embed="rId10"/>
                    <a:stretch>
                      <a:fillRect/>
                    </a:stretch>
                  </pic:blipFill>
                  <pic:spPr>
                    <a:xfrm>
                      <a:off x="0" y="0"/>
                      <a:ext cx="4114800" cy="2743200"/>
                    </a:xfrm>
                    <a:prstGeom prst="rect"/>
                  </pic:spPr>
                </pic:pic>
              </a:graphicData>
            </a:graphic>
          </wp:inline>
        </w:drawing>
      </w:r>
    </w:p>
    <w:p>
      <w:pPr>
        <w:jc w:val="center"/>
      </w:pPr>
      <w:r>
        <w:t>Figure 2: Processing Latency vs Batch Size</w:t>
      </w:r>
    </w:p>
    <w:p>
      <w:r>
        <w:drawing>
          <wp:inline xmlns:a="http://schemas.openxmlformats.org/drawingml/2006/main" xmlns:pic="http://schemas.openxmlformats.org/drawingml/2006/picture">
            <wp:extent cx="4114800" cy="2743200"/>
            <wp:docPr id="3" name="Picture 3"/>
            <wp:cNvGraphicFramePr>
              <a:graphicFrameLocks noChangeAspect="1"/>
            </wp:cNvGraphicFramePr>
            <a:graphic>
              <a:graphicData uri="http://schemas.openxmlformats.org/drawingml/2006/picture">
                <pic:pic>
                  <pic:nvPicPr>
                    <pic:cNvPr id="0" name="throughput_chart.png"/>
                    <pic:cNvPicPr/>
                  </pic:nvPicPr>
                  <pic:blipFill>
                    <a:blip r:embed="rId11"/>
                    <a:stretch>
                      <a:fillRect/>
                    </a:stretch>
                  </pic:blipFill>
                  <pic:spPr>
                    <a:xfrm>
                      <a:off x="0" y="0"/>
                      <a:ext cx="4114800" cy="2743200"/>
                    </a:xfrm>
                    <a:prstGeom prst="rect"/>
                  </pic:spPr>
                </pic:pic>
              </a:graphicData>
            </a:graphic>
          </wp:inline>
        </w:drawing>
      </w:r>
    </w:p>
    <w:p>
      <w:pPr>
        <w:jc w:val="center"/>
      </w:pPr>
      <w:r>
        <w:t>Figure 3: Throughput Scalability with Workers</w:t>
      </w:r>
    </w:p>
    <w:p>
      <w:pPr>
        <w:pStyle w:val="Heading2"/>
      </w:pPr>
      <w:r>
        <w:t>6.1 Scalability Metrics</w:t>
      </w:r>
    </w:p>
    <w:p>
      <w:r>
        <w:t>By parallelizing document processing across multiple Celery workers, Sentinel achieves a throughput of approximately 100 documents per minute, making it suitable for large-scale enterprise underwriting pipelines.</w:t>
      </w:r>
    </w:p>
    <w:p>
      <w:pPr>
        <w:pStyle w:val="Heading1"/>
      </w:pPr>
      <w:r>
        <w:t>Final Reflections</w:t>
      </w:r>
    </w:p>
    <w:p>
      <w:r>
        <w:t>Building Sentinel has been a significant learning curve. The Minimum Viable Product (MVP) is on par and is performing as expected. Future refinements will include cross-document consistency checks and native OCR support for scanned documents.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