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D97706"/>
          <w:sz w:val="22"/>
        </w:rPr>
        <w:t>DOKUMEN PANDUAN &amp; STRUKTUR TUGAS AKHIR</w:t>
      </w:r>
    </w:p>
    <w:p>
      <w:pPr>
        <w:spacing w:before="80" w:after="120"/>
        <w:jc w:val="center"/>
      </w:pPr>
      <w:r>
        <w:rPr>
          <w:rFonts w:ascii="Arial" w:hAnsi="Arial"/>
          <w:b/>
          <w:color w:val="023E8A"/>
          <w:sz w:val="30"/>
        </w:rPr>
        <w:t>RANCANG BANGUN SISTEM INFORMASI MONITORING, ANALISIS KELAYAKAN, DAN MANAJEMEN TRANSAKSI SPKLU PADA PT PLN (PERSERO) UID JAWA BARAT</w:t>
      </w:r>
    </w:p>
    <w:p>
      <w:pPr>
        <w:spacing w:before="0" w:after="360"/>
        <w:jc w:val="center"/>
      </w:pPr>
      <w:r>
        <w:rPr>
          <w:rFonts w:ascii="Arial" w:hAnsi="Arial"/>
          <w:i/>
          <w:color w:val="64748B"/>
          <w:sz w:val="20"/>
        </w:rPr>
        <w:t>Panduan Komprehensif: Latar Belakang Masalah Riil, Rincian Pembahasan 3 Anggota, Metodologi Ilmiah, &amp; Strategi Sidang Ujian</w:t>
      </w:r>
    </w:p>
    <w:p>
      <w:pPr>
        <w:spacing w:after="320"/>
        <w:pBdr>
          <w:bottom w:val="single" w:sz="14" w:space="1" w:color="023E8A"/>
        </w:pBdr>
      </w:pPr>
    </w:p>
    <w:p>
      <w:pPr>
        <w:keepNext/>
        <w:spacing w:before="360" w:after="120"/>
      </w:pPr>
      <w:r>
        <w:rPr>
          <w:rFonts w:ascii="Arial" w:hAnsi="Arial"/>
          <w:b/>
          <w:color w:val="023E8A"/>
          <w:sz w:val="25"/>
        </w:rPr>
        <w:t>BAB I. MASALAH RIIL &amp; LATAR BELAKANG SISTEM (BAB 1)</w:t>
      </w:r>
    </w:p>
    <w:p>
      <w:pPr>
        <w:spacing w:before="0" w:after="80" w:line="276" w:lineRule="auto"/>
      </w:pPr>
      <w:r>
        <w:rPr>
          <w:rFonts w:ascii="Arial" w:hAnsi="Arial"/>
          <w:i w:val="0"/>
          <w:color w:val="1E293B"/>
          <w:sz w:val="19"/>
        </w:rPr>
        <w:t>Sistem Informasi Monitoring, Analisis Kelayakan, dan Manajemen Transaksi SPKLU dirancang untuk memecahkan kendala-kendala operasional dan strategis nyata yang dihadapi oleh PT PLN (Persero) Unit Induk Distribusi (UID) Jawa Barat. Pada laporan Bab 1, latar belakang wajib menjabarkan 5 problem riil industri berikut:</w:t>
      </w:r>
    </w:p>
    <w:p>
      <w:pPr>
        <w:keepNext/>
        <w:spacing w:before="240" w:after="80"/>
      </w:pPr>
      <w:r>
        <w:rPr>
          <w:rFonts w:ascii="Arial" w:hAnsi="Arial"/>
          <w:b/>
          <w:color w:val="0081AB"/>
          <w:sz w:val="22"/>
        </w:rPr>
        <w:t>1.1 Lima Masalah Utama di Lingkungan PLN UID Jawa Barat</w:t>
      </w:r>
    </w:p>
    <w:p>
      <w:pPr>
        <w:pStyle w:val="ListBullet"/>
        <w:spacing w:before="0" w:after="60" w:line="276" w:lineRule="auto"/>
        <w:ind w:left="360"/>
      </w:pPr>
      <w:r>
        <w:rPr>
          <w:rFonts w:ascii="Arial" w:hAnsi="Arial"/>
          <w:b/>
          <w:color w:val="1E293B"/>
          <w:sz w:val="19"/>
        </w:rPr>
        <w:t xml:space="preserve">1. Tantangan Masif Ekosistem Kendaraan Listrik (EV): </w:t>
      </w:r>
      <w:r>
        <w:rPr>
          <w:rFonts w:ascii="Arial" w:hAnsi="Arial"/>
          <w:color w:val="1E293B"/>
          <w:sz w:val="19"/>
        </w:rPr>
        <w:t>Pertumbuhan adopsi kendaraan listrik berbasis baterai (KBLBB) di Jawa Barat melonjak tajam, baik kendaraan roda dua maupun roda empat. Namun, proses penentuan lokasi penambahan stasiun pengisian selama ini masih berjalan secara manual, sporadis, atau subjektif tanpa dukungan metodologi skoring terukur yang objektif.</w:t>
      </w:r>
    </w:p>
    <w:p>
      <w:pPr>
        <w:pStyle w:val="ListBullet"/>
        <w:spacing w:before="0" w:after="60" w:line="276" w:lineRule="auto"/>
        <w:ind w:left="360"/>
      </w:pPr>
      <w:r>
        <w:rPr>
          <w:rFonts w:ascii="Arial" w:hAnsi="Arial"/>
          <w:b/>
          <w:color w:val="1E293B"/>
          <w:sz w:val="19"/>
        </w:rPr>
        <w:t xml:space="preserve">2. Masalah Penilaian Teknis &amp; Spasial yang Tidak Terstandarisasi: </w:t>
      </w:r>
      <w:r>
        <w:rPr>
          <w:rFonts w:ascii="Arial" w:hAnsi="Arial"/>
          <w:color w:val="1E293B"/>
          <w:sz w:val="19"/>
        </w:rPr>
        <w:t>Sering kali calon titik lokasi diajukan tanpa memperhitungkan parameter teknis esensial seperti kapasitas trafo distribusi setempat, ketersediaan fasilitas umum penunjang (rest area, minimarket, toilet, keamanan), maupun jarak spasial terhadap SPKLU eksisting. Hal ini berisiko menimbulkan kanibalisasi pasar atau kendala teknis kelistrikan pasca-pembangunan.</w:t>
      </w:r>
    </w:p>
    <w:p>
      <w:pPr>
        <w:pStyle w:val="ListBullet"/>
        <w:spacing w:before="0" w:after="60" w:line="276" w:lineRule="auto"/>
        <w:ind w:left="360"/>
      </w:pPr>
      <w:r>
        <w:rPr>
          <w:rFonts w:ascii="Arial" w:hAnsi="Arial"/>
          <w:b/>
          <w:color w:val="1E293B"/>
          <w:sz w:val="19"/>
        </w:rPr>
        <w:t xml:space="preserve">3. Kompleksitas Perhitungan Kelayakan Finansial Multiskema: </w:t>
      </w:r>
      <w:r>
        <w:rPr>
          <w:rFonts w:ascii="Arial" w:hAnsi="Arial"/>
          <w:color w:val="1E293B"/>
          <w:sz w:val="19"/>
        </w:rPr>
        <w:t>Pola ekspansi SPKLU menuntut kolaborasi dengan mitra swasta (penyedia lahan atau mesin). Model kemitraan ini membutuhkan kepastian bagi hasil, proyeksi balik modal (Break-Even Point / BEP), dan estimasi konsumsi energi tahunan yang sangat rumit dan lambat jika dihitung manual menggunakan spreadsheet Excel yang rentan kesalahan rumus.</w:t>
      </w:r>
    </w:p>
    <w:p>
      <w:pPr>
        <w:pStyle w:val="ListBullet"/>
        <w:spacing w:before="0" w:after="60" w:line="276" w:lineRule="auto"/>
        <w:ind w:left="360"/>
      </w:pPr>
      <w:r>
        <w:rPr>
          <w:rFonts w:ascii="Arial" w:hAnsi="Arial"/>
          <w:b/>
          <w:color w:val="1E293B"/>
          <w:sz w:val="19"/>
        </w:rPr>
        <w:t xml:space="preserve">4. Masalah Data Transaksi Lapangan (Big Data &amp; Inkonsistensi String): </w:t>
      </w:r>
      <w:r>
        <w:rPr>
          <w:rFonts w:ascii="Arial" w:hAnsi="Arial"/>
          <w:color w:val="1E293B"/>
          <w:sz w:val="19"/>
        </w:rPr>
        <w:t>Data riwayat pengisian dari puluhan mesin SPKLU diekstraksi dalam format CSV mentah berukuran besar (puluhan hingga ratusan ribu baris). Kendala utamanya adalah nama SPKLU di mesin charger sering kali berbeda dengan nama resmi di database PLN (contoh: 'SPKLU UP3 BDG REST AREA 72A' vs 'Rest Area KM 72 A Cipularang'). Inkonsistensi string ini membuat pelaporan rekapitulasi penjualan energi sering gagal, memakan waktu berhari-hari, dan rawan salah hitung.</w:t>
      </w:r>
    </w:p>
    <w:p>
      <w:pPr>
        <w:pStyle w:val="ListBullet"/>
        <w:spacing w:before="0" w:after="60" w:line="276" w:lineRule="auto"/>
        <w:ind w:left="360"/>
      </w:pPr>
      <w:r>
        <w:rPr>
          <w:rFonts w:ascii="Arial" w:hAnsi="Arial"/>
          <w:b/>
          <w:color w:val="1E293B"/>
          <w:sz w:val="19"/>
        </w:rPr>
        <w:t xml:space="preserve">5. Kebutuhan Monitoring Terpadu bagi Eksekutif &amp; 17 UP3: </w:t>
      </w:r>
      <w:r>
        <w:rPr>
          <w:rFonts w:ascii="Arial" w:hAnsi="Arial"/>
          <w:color w:val="1E293B"/>
          <w:sz w:val="19"/>
        </w:rPr>
        <w:t>Belum tersedianya sebuah platform data tunggal (single source of truth) yang dapat diakses secara terpadu oleh 4 level peran pengguna (Super Admin, Pemasaran, Pengelola, Manajemen) lintas 17 Unit Pelaksana Pelayanan Pelanggan (UP3) se-Jawa Barat.</w:t>
      </w:r>
    </w:p>
    <w:p>
      <w:pPr>
        <w:keepNext/>
        <w:spacing w:before="240" w:after="80"/>
      </w:pPr>
      <w:r>
        <w:rPr>
          <w:rFonts w:ascii="Arial" w:hAnsi="Arial"/>
          <w:b/>
          <w:color w:val="0081AB"/>
          <w:sz w:val="22"/>
        </w:rPr>
        <w:t>1.2 Rumusan Masalah Penelitian</w:t>
      </w:r>
    </w:p>
    <w:p>
      <w:pPr>
        <w:pStyle w:val="ListBullet"/>
        <w:spacing w:before="0" w:after="60" w:line="276" w:lineRule="auto"/>
        <w:ind w:left="360"/>
      </w:pPr>
      <w:r>
        <w:rPr>
          <w:rFonts w:ascii="Arial" w:hAnsi="Arial"/>
          <w:color w:val="1E293B"/>
          <w:sz w:val="19"/>
        </w:rPr>
        <w:t>Bagaimana merancang arsitektur sistem informasi berbasis web yang mengintegrasikan seluruh siklus hidup (lifecycle) SPKLU: mulai dari penjaringan calon lokasi, evaluasi kelayakan teknis SPK, simulasi investasi finansial, hingga pengolahan transaksi operasional?</w:t>
      </w:r>
    </w:p>
    <w:p>
      <w:pPr>
        <w:pStyle w:val="ListBullet"/>
        <w:spacing w:before="0" w:after="60" w:line="276" w:lineRule="auto"/>
        <w:ind w:left="360"/>
      </w:pPr>
      <w:r>
        <w:rPr>
          <w:rFonts w:ascii="Arial" w:hAnsi="Arial"/>
          <w:color w:val="1E293B"/>
          <w:sz w:val="19"/>
        </w:rPr>
        <w:t>Bagaimana menerapkan metode Sistem Pendukung Keputusan (SPK) multikriteria dan formula geospasial Haversine untuk menyaring dan merangking kandidat lokasi prioritas secara presisi?</w:t>
      </w:r>
    </w:p>
    <w:p>
      <w:pPr>
        <w:pStyle w:val="ListBullet"/>
        <w:spacing w:before="0" w:after="60" w:line="276" w:lineRule="auto"/>
        <w:ind w:left="360"/>
      </w:pPr>
      <w:r>
        <w:rPr>
          <w:rFonts w:ascii="Arial" w:hAnsi="Arial"/>
          <w:color w:val="1E293B"/>
          <w:sz w:val="19"/>
        </w:rPr>
        <w:t>Bagaimana mengotomatisasi pemodelan kelayakan finansial investasi (ROI, BEP, arus kas tahunan) untuk 3 skema kerja sama kemitraan secara transparan?</w:t>
      </w:r>
    </w:p>
    <w:p>
      <w:pPr>
        <w:pStyle w:val="ListBullet"/>
        <w:spacing w:before="0" w:after="60" w:line="276" w:lineRule="auto"/>
        <w:ind w:left="360"/>
      </w:pPr>
      <w:r>
        <w:rPr>
          <w:rFonts w:ascii="Arial" w:hAnsi="Arial"/>
          <w:color w:val="1E293B"/>
          <w:sz w:val="19"/>
        </w:rPr>
        <w:t>Bagaimana merekayasa pipeline pengolahan data transaksi CSV skala besar (ETL) dan Unmatched Resolver Engine guna memetakan alias nama SPKLU secara otomatis tanpa menyebabkan server mengalami memory leak atau timeout?</w:t>
      </w:r>
    </w:p>
    <w:p>
      <w:pPr>
        <w:keepNext/>
        <w:spacing w:before="360" w:after="120"/>
      </w:pPr>
      <w:r>
        <w:rPr>
          <w:rFonts w:ascii="Arial" w:hAnsi="Arial"/>
          <w:b/>
          <w:color w:val="023E8A"/>
          <w:sz w:val="25"/>
        </w:rPr>
        <w:t>BAB II. TAKSONOMI MODUL: DARI 10 MENU MENJADI 4 PILAR INDUK</w:t>
      </w:r>
    </w:p>
    <w:p>
      <w:pPr>
        <w:spacing w:before="0" w:after="80" w:line="276" w:lineRule="auto"/>
      </w:pPr>
      <w:r>
        <w:rPr>
          <w:rFonts w:ascii="Arial" w:hAnsi="Arial"/>
          <w:i w:val="0"/>
          <w:color w:val="1E293B"/>
          <w:sz w:val="19"/>
        </w:rPr>
        <w:t>Pada aplikasi web SPKLU PLN UID Jabar, terdapat 10 menu navigasi fungsional di sidebar. Untuk keperluan akademis Tugas Akhir, ke-10 modul ini dikelompokkan ke dalam 4 Pilar / Subsistem Induk yang mencerminkan alur bisnis menyeluruh: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76"/>
            <w:shd w:fill="023E8A"/>
            <w:tcMar>
              <w:top w:w="140" w:type="dxa"/>
              <w:bottom w:w="140" w:type="dxa"/>
              <w:left w:w="180" w:type="dxa"/>
              <w:right w:w="180" w:type="dxa"/>
            </w:tcMar>
          </w:tcPr>
          <w:p>
            <w:r>
              <w:rPr>
                <w:rFonts w:ascii="Arial" w:hAnsi="Arial"/>
                <w:b/>
                <w:color w:val="FFFFFF"/>
                <w:sz w:val="19"/>
              </w:rPr>
              <w:t>No</w:t>
            </w:r>
          </w:p>
        </w:tc>
        <w:tc>
          <w:tcPr>
            <w:tcW w:type="dxa" w:w="2592"/>
            <w:shd w:fill="023E8A"/>
            <w:tcMar>
              <w:top w:w="140" w:type="dxa"/>
              <w:bottom w:w="140" w:type="dxa"/>
              <w:left w:w="180" w:type="dxa"/>
              <w:right w:w="180" w:type="dxa"/>
            </w:tcMar>
          </w:tcPr>
          <w:p>
            <w:r>
              <w:rPr>
                <w:rFonts w:ascii="Arial" w:hAnsi="Arial"/>
                <w:b/>
                <w:color w:val="FFFFFF"/>
                <w:sz w:val="19"/>
              </w:rPr>
              <w:t>Pilar / Subsistem Induk</w:t>
            </w:r>
          </w:p>
        </w:tc>
        <w:tc>
          <w:tcPr>
            <w:tcW w:type="dxa" w:w="3024"/>
            <w:shd w:fill="023E8A"/>
            <w:tcMar>
              <w:top w:w="140" w:type="dxa"/>
              <w:bottom w:w="140" w:type="dxa"/>
              <w:left w:w="180" w:type="dxa"/>
              <w:right w:w="180" w:type="dxa"/>
            </w:tcMar>
          </w:tcPr>
          <w:p>
            <w:r>
              <w:rPr>
                <w:rFonts w:ascii="Arial" w:hAnsi="Arial"/>
                <w:b/>
                <w:color w:val="FFFFFF"/>
                <w:sz w:val="19"/>
              </w:rPr>
              <w:t>Modul di Menu Sidebar</w:t>
            </w:r>
          </w:p>
        </w:tc>
        <w:tc>
          <w:tcPr>
            <w:tcW w:type="dxa" w:w="3168"/>
            <w:shd w:fill="023E8A"/>
            <w:tcMar>
              <w:top w:w="140" w:type="dxa"/>
              <w:bottom w:w="140" w:type="dxa"/>
              <w:left w:w="180" w:type="dxa"/>
              <w:right w:w="180" w:type="dxa"/>
            </w:tcMar>
          </w:tcPr>
          <w:p>
            <w:r>
              <w:rPr>
                <w:rFonts w:ascii="Arial" w:hAnsi="Arial"/>
                <w:b/>
                <w:color w:val="FFFFFF"/>
                <w:sz w:val="19"/>
              </w:rPr>
              <w:t>Fungsi Bisnis Utama</w:t>
            </w:r>
          </w:p>
        </w:tc>
      </w:tr>
      <w:tr>
        <w:tc>
          <w:tcPr>
            <w:tcW w:type="dxa" w:w="576"/>
            <w:shd w:fill="FFFFFF"/>
            <w:tcMar>
              <w:top w:w="140" w:type="dxa"/>
              <w:bottom w:w="140" w:type="dxa"/>
              <w:left w:w="180" w:type="dxa"/>
              <w:right w:w="180" w:type="dxa"/>
            </w:tcMar>
          </w:tcPr>
          <w:p>
            <w:r>
              <w:rPr>
                <w:rFonts w:ascii="Arial" w:hAnsi="Arial"/>
                <w:color w:val="1E293B"/>
                <w:sz w:val="18"/>
              </w:rPr>
              <w:t>1</w:t>
            </w:r>
          </w:p>
        </w:tc>
        <w:tc>
          <w:tcPr>
            <w:tcW w:type="dxa" w:w="2592"/>
            <w:shd w:fill="FFFFFF"/>
            <w:tcMar>
              <w:top w:w="140" w:type="dxa"/>
              <w:bottom w:w="140" w:type="dxa"/>
              <w:left w:w="180" w:type="dxa"/>
              <w:right w:w="180" w:type="dxa"/>
            </w:tcMar>
          </w:tcPr>
          <w:p>
            <w:r>
              <w:rPr>
                <w:rFonts w:ascii="Arial" w:hAnsi="Arial"/>
                <w:color w:val="1E293B"/>
                <w:sz w:val="18"/>
              </w:rPr>
              <w:t>Pusat Informasi &amp; Analitik Eksekutif</w:t>
            </w:r>
          </w:p>
        </w:tc>
        <w:tc>
          <w:tcPr>
            <w:tcW w:type="dxa" w:w="3024"/>
            <w:shd w:fill="FFFFFF"/>
            <w:tcMar>
              <w:top w:w="140" w:type="dxa"/>
              <w:bottom w:w="140" w:type="dxa"/>
              <w:left w:w="180" w:type="dxa"/>
              <w:right w:w="180" w:type="dxa"/>
            </w:tcMar>
          </w:tcPr>
          <w:p>
            <w:r>
              <w:rPr>
                <w:rFonts w:ascii="Arial" w:hAnsi="Arial"/>
                <w:color w:val="1E293B"/>
                <w:sz w:val="18"/>
              </w:rPr>
              <w:t>• Dashboard (/dashboard)</w:t>
            </w:r>
          </w:p>
        </w:tc>
        <w:tc>
          <w:tcPr>
            <w:tcW w:type="dxa" w:w="3168"/>
            <w:shd w:fill="FFFFFF"/>
            <w:tcMar>
              <w:top w:w="140" w:type="dxa"/>
              <w:bottom w:w="140" w:type="dxa"/>
              <w:left w:w="180" w:type="dxa"/>
              <w:right w:w="180" w:type="dxa"/>
            </w:tcMar>
          </w:tcPr>
          <w:p>
            <w:r>
              <w:rPr>
                <w:rFonts w:ascii="Arial" w:hAnsi="Arial"/>
                <w:color w:val="1E293B"/>
                <w:sz w:val="18"/>
              </w:rPr>
              <w:t>Visualisasi GIS peta sebaran se-Jabar, ringkasan KPI penjualan energi kWh, ringkasan status pengajuan kandidat, dan kalender agenda survei terdekat.</w:t>
            </w:r>
          </w:p>
        </w:tc>
      </w:tr>
      <w:tr>
        <w:tc>
          <w:tcPr>
            <w:tcW w:type="dxa" w:w="576"/>
            <w:shd w:fill="F8FAFC"/>
            <w:tcMar>
              <w:top w:w="140" w:type="dxa"/>
              <w:bottom w:w="140" w:type="dxa"/>
              <w:left w:w="180" w:type="dxa"/>
              <w:right w:w="180" w:type="dxa"/>
            </w:tcMar>
          </w:tcPr>
          <w:p>
            <w:r>
              <w:rPr>
                <w:rFonts w:ascii="Arial" w:hAnsi="Arial"/>
                <w:color w:val="1E293B"/>
                <w:sz w:val="18"/>
              </w:rPr>
              <w:t>2</w:t>
            </w:r>
          </w:p>
        </w:tc>
        <w:tc>
          <w:tcPr>
            <w:tcW w:type="dxa" w:w="2592"/>
            <w:shd w:fill="F8FAFC"/>
            <w:tcMar>
              <w:top w:w="140" w:type="dxa"/>
              <w:bottom w:w="140" w:type="dxa"/>
              <w:left w:w="180" w:type="dxa"/>
              <w:right w:w="180" w:type="dxa"/>
            </w:tcMar>
          </w:tcPr>
          <w:p>
            <w:r>
              <w:rPr>
                <w:rFonts w:ascii="Arial" w:hAnsi="Arial"/>
                <w:color w:val="1E293B"/>
                <w:sz w:val="18"/>
              </w:rPr>
              <w:t>Perencanaan &amp; Studi Kelayakan Lokasi</w:t>
            </w:r>
          </w:p>
        </w:tc>
        <w:tc>
          <w:tcPr>
            <w:tcW w:type="dxa" w:w="3024"/>
            <w:shd w:fill="F8FAFC"/>
            <w:tcMar>
              <w:top w:w="140" w:type="dxa"/>
              <w:bottom w:w="140" w:type="dxa"/>
              <w:left w:w="180" w:type="dxa"/>
              <w:right w:w="180" w:type="dxa"/>
            </w:tcMar>
          </w:tcPr>
          <w:p>
            <w:r>
              <w:rPr>
                <w:rFonts w:ascii="Arial" w:hAnsi="Arial"/>
                <w:color w:val="1E293B"/>
                <w:sz w:val="18"/>
              </w:rPr>
              <w:t>• Rekomendasi Lokasi</w:t>
              <w:br/>
              <w:t>• Monitoring SPKLU</w:t>
              <w:br/>
              <w:t>• Master Kandidat</w:t>
              <w:br/>
              <w:t>• FS Skema Kemitraan</w:t>
              <w:br/>
              <w:t>• Penjadwalan Survei</w:t>
            </w:r>
          </w:p>
        </w:tc>
        <w:tc>
          <w:tcPr>
            <w:tcW w:type="dxa" w:w="3168"/>
            <w:shd w:fill="F8FAFC"/>
            <w:tcMar>
              <w:top w:w="140" w:type="dxa"/>
              <w:bottom w:w="140" w:type="dxa"/>
              <w:left w:w="180" w:type="dxa"/>
              <w:right w:w="180" w:type="dxa"/>
            </w:tcMar>
          </w:tcPr>
          <w:p>
            <w:r>
              <w:rPr>
                <w:rFonts w:ascii="Arial" w:hAnsi="Arial"/>
                <w:color w:val="1E293B"/>
                <w:sz w:val="18"/>
              </w:rPr>
              <w:t>Deteksi area kosong (blank spot), evaluasi skor teknis (probabilitas), perhitungan jarak terdekat, pemodelan finansial 3 skema kerja sama, dan koordinasi agenda survei mitra.</w:t>
            </w:r>
          </w:p>
        </w:tc>
      </w:tr>
      <w:tr>
        <w:tc>
          <w:tcPr>
            <w:tcW w:type="dxa" w:w="576"/>
            <w:shd w:fill="FFFFFF"/>
            <w:tcMar>
              <w:top w:w="140" w:type="dxa"/>
              <w:bottom w:w="140" w:type="dxa"/>
              <w:left w:w="180" w:type="dxa"/>
              <w:right w:w="180" w:type="dxa"/>
            </w:tcMar>
          </w:tcPr>
          <w:p>
            <w:r>
              <w:rPr>
                <w:rFonts w:ascii="Arial" w:hAnsi="Arial"/>
                <w:color w:val="1E293B"/>
                <w:sz w:val="18"/>
              </w:rPr>
              <w:t>3</w:t>
            </w:r>
          </w:p>
        </w:tc>
        <w:tc>
          <w:tcPr>
            <w:tcW w:type="dxa" w:w="2592"/>
            <w:shd w:fill="FFFFFF"/>
            <w:tcMar>
              <w:top w:w="140" w:type="dxa"/>
              <w:bottom w:w="140" w:type="dxa"/>
              <w:left w:w="180" w:type="dxa"/>
              <w:right w:w="180" w:type="dxa"/>
            </w:tcMar>
          </w:tcPr>
          <w:p>
            <w:r>
              <w:rPr>
                <w:rFonts w:ascii="Arial" w:hAnsi="Arial"/>
                <w:color w:val="1E293B"/>
                <w:sz w:val="18"/>
              </w:rPr>
              <w:t>Operasional Aset &amp; Manajemen Transaksi</w:t>
            </w:r>
          </w:p>
        </w:tc>
        <w:tc>
          <w:tcPr>
            <w:tcW w:type="dxa" w:w="3024"/>
            <w:shd w:fill="FFFFFF"/>
            <w:tcMar>
              <w:top w:w="140" w:type="dxa"/>
              <w:bottom w:w="140" w:type="dxa"/>
              <w:left w:w="180" w:type="dxa"/>
              <w:right w:w="180" w:type="dxa"/>
            </w:tcMar>
          </w:tcPr>
          <w:p>
            <w:r>
              <w:rPr>
                <w:rFonts w:ascii="Arial" w:hAnsi="Arial"/>
                <w:color w:val="1E293B"/>
                <w:sz w:val="18"/>
              </w:rPr>
              <w:t>• Master SPKLU</w:t>
              <w:br/>
              <w:t>• Transaksi (Upload CSV, Ringkasan, Proyeksi)</w:t>
            </w:r>
          </w:p>
        </w:tc>
        <w:tc>
          <w:tcPr>
            <w:tcW w:type="dxa" w:w="3168"/>
            <w:shd w:fill="FFFFFF"/>
            <w:tcMar>
              <w:top w:w="140" w:type="dxa"/>
              <w:bottom w:w="140" w:type="dxa"/>
              <w:left w:w="180" w:type="dxa"/>
              <w:right w:w="180" w:type="dxa"/>
            </w:tcMar>
          </w:tcPr>
          <w:p>
            <w:r>
              <w:rPr>
                <w:rFonts w:ascii="Arial" w:hAnsi="Arial"/>
                <w:color w:val="1E293B"/>
                <w:sz w:val="18"/>
              </w:rPr>
              <w:t>Pencatatan aset resmi SPKLU (PLN &amp; Swasta, daya kW, tipe konektor), engine pemetaan alias nama mesin, pemrosesan batch data transaksi 50MB, dan laporan ekspor PDF.</w:t>
            </w:r>
          </w:p>
        </w:tc>
      </w:tr>
      <w:tr>
        <w:tc>
          <w:tcPr>
            <w:tcW w:type="dxa" w:w="576"/>
            <w:shd w:fill="F8FAFC"/>
            <w:tcMar>
              <w:top w:w="140" w:type="dxa"/>
              <w:bottom w:w="140" w:type="dxa"/>
              <w:left w:w="180" w:type="dxa"/>
              <w:right w:w="180" w:type="dxa"/>
            </w:tcMar>
          </w:tcPr>
          <w:p>
            <w:r>
              <w:rPr>
                <w:rFonts w:ascii="Arial" w:hAnsi="Arial"/>
                <w:color w:val="1E293B"/>
                <w:sz w:val="18"/>
              </w:rPr>
              <w:t>4</w:t>
            </w:r>
          </w:p>
        </w:tc>
        <w:tc>
          <w:tcPr>
            <w:tcW w:type="dxa" w:w="2592"/>
            <w:shd w:fill="F8FAFC"/>
            <w:tcMar>
              <w:top w:w="140" w:type="dxa"/>
              <w:bottom w:w="140" w:type="dxa"/>
              <w:left w:w="180" w:type="dxa"/>
              <w:right w:w="180" w:type="dxa"/>
            </w:tcMar>
          </w:tcPr>
          <w:p>
            <w:r>
              <w:rPr>
                <w:rFonts w:ascii="Arial" w:hAnsi="Arial"/>
                <w:color w:val="1E293B"/>
                <w:sz w:val="18"/>
              </w:rPr>
              <w:t>Tata Kelola &amp; Konfigurasi Sistem</w:t>
            </w:r>
          </w:p>
        </w:tc>
        <w:tc>
          <w:tcPr>
            <w:tcW w:type="dxa" w:w="3024"/>
            <w:shd w:fill="F8FAFC"/>
            <w:tcMar>
              <w:top w:w="140" w:type="dxa"/>
              <w:bottom w:w="140" w:type="dxa"/>
              <w:left w:w="180" w:type="dxa"/>
              <w:right w:w="180" w:type="dxa"/>
            </w:tcMar>
          </w:tcPr>
          <w:p>
            <w:r>
              <w:rPr>
                <w:rFonts w:ascii="Arial" w:hAnsi="Arial"/>
                <w:color w:val="1E293B"/>
                <w:sz w:val="18"/>
              </w:rPr>
              <w:t>• Master Parameter</w:t>
              <w:br/>
              <w:t>• Manajemen User</w:t>
            </w:r>
          </w:p>
        </w:tc>
        <w:tc>
          <w:tcPr>
            <w:tcW w:type="dxa" w:w="3168"/>
            <w:shd w:fill="F8FAFC"/>
            <w:tcMar>
              <w:top w:w="140" w:type="dxa"/>
              <w:bottom w:w="140" w:type="dxa"/>
              <w:left w:w="180" w:type="dxa"/>
              <w:right w:w="180" w:type="dxa"/>
            </w:tcMar>
          </w:tcPr>
          <w:p>
            <w:r>
              <w:rPr>
                <w:rFonts w:ascii="Arial" w:hAnsi="Arial"/>
                <w:color w:val="1E293B"/>
                <w:sz w:val="18"/>
              </w:rPr>
              <w:t>Konfigurasi bobot penilaian probabilitas dinamis, parameter finansial, manajemen RBAC 4 role, dan verifikasi akun berbasis OTP WhatsApp/Email.</w:t>
            </w:r>
          </w:p>
        </w:tc>
      </w:tr>
    </w:tbl>
    <w:p>
      <w:pPr>
        <w:spacing w:before="160"/>
      </w:pPr>
    </w:p>
    <w:p>
      <w:pPr>
        <w:keepNext/>
        <w:spacing w:before="360" w:after="120"/>
      </w:pPr>
      <w:r>
        <w:rPr>
          <w:rFonts w:ascii="Arial" w:hAnsi="Arial"/>
          <w:b/>
          <w:color w:val="023E8A"/>
          <w:sz w:val="25"/>
        </w:rPr>
        <w:t>BAB III. PEMBAGIAN BEBAN KERJA &amp; RINCIAN MATERI PER ANGGOTA</w:t>
      </w:r>
    </w:p>
    <w:p>
      <w:pPr>
        <w:spacing w:before="0" w:after="80" w:line="276" w:lineRule="auto"/>
      </w:pPr>
      <w:r>
        <w:rPr>
          <w:rFonts w:ascii="Arial" w:hAnsi="Arial"/>
          <w:i w:val="0"/>
          <w:color w:val="1E293B"/>
          <w:sz w:val="19"/>
        </w:rPr>
        <w:t>Beban pengerjaan Tugas Akhir kelompok 3 orang dibagi secara proporsional berdasarkan domain keilmuan, kedalaman komputasi ilmiah, dan arsitektur perangkat lunak:</w:t>
      </w:r>
    </w:p>
    <w:p>
      <w:pPr>
        <w:keepNext/>
        <w:spacing w:before="240" w:after="80"/>
      </w:pPr>
      <w:r>
        <w:rPr>
          <w:rFonts w:ascii="Arial" w:hAnsi="Arial"/>
          <w:b/>
          <w:color w:val="0081AB"/>
          <w:sz w:val="22"/>
        </w:rPr>
        <w:t>3.1 Matriks Rangkuman Perbandingan untuk Dewan Penguji</w:t>
      </w:r>
    </w:p>
    <w:p>
      <w:pPr>
        <w:spacing w:before="0" w:after="80" w:line="276" w:lineRule="auto"/>
      </w:pPr>
      <w:r>
        <w:rPr>
          <w:rFonts w:ascii="Arial" w:hAnsi="Arial"/>
          <w:i w:val="0"/>
          <w:color w:val="1E293B"/>
          <w:sz w:val="19"/>
        </w:rPr>
        <w:t>Matriks ini merupakan pegangan utama saat sidang untuk menjelaskan bahwa pembagian tugas tidak dihitung dari banyaknya menu, melainkan dari bobot keilmuan: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0F172A"/>
            <w:tcMar>
              <w:top w:w="140" w:type="dxa"/>
              <w:bottom w:w="140" w:type="dxa"/>
              <w:left w:w="180" w:type="dxa"/>
              <w:right w:w="180" w:type="dxa"/>
            </w:tcMar>
          </w:tcPr>
          <w:p>
            <w:r>
              <w:rPr>
                <w:rFonts w:ascii="Arial" w:hAnsi="Arial"/>
                <w:b/>
                <w:color w:val="FFFFFF"/>
                <w:sz w:val="19"/>
              </w:rPr>
              <w:t>Aspek</w:t>
            </w:r>
          </w:p>
        </w:tc>
        <w:tc>
          <w:tcPr>
            <w:tcW w:type="dxa" w:w="2592"/>
            <w:shd w:fill="0F172A"/>
            <w:tcMar>
              <w:top w:w="140" w:type="dxa"/>
              <w:bottom w:w="140" w:type="dxa"/>
              <w:left w:w="180" w:type="dxa"/>
              <w:right w:w="180" w:type="dxa"/>
            </w:tcMar>
          </w:tcPr>
          <w:p>
            <w:r>
              <w:rPr>
                <w:rFonts w:ascii="Arial" w:hAnsi="Arial"/>
                <w:b/>
                <w:color w:val="FFFFFF"/>
                <w:sz w:val="19"/>
              </w:rPr>
              <w:t>Khinanti</w:t>
            </w:r>
          </w:p>
        </w:tc>
        <w:tc>
          <w:tcPr>
            <w:tcW w:type="dxa" w:w="2592"/>
            <w:shd w:fill="0F172A"/>
            <w:tcMar>
              <w:top w:w="140" w:type="dxa"/>
              <w:bottom w:w="140" w:type="dxa"/>
              <w:left w:w="180" w:type="dxa"/>
              <w:right w:w="180" w:type="dxa"/>
            </w:tcMar>
          </w:tcPr>
          <w:p>
            <w:r>
              <w:rPr>
                <w:rFonts w:ascii="Arial" w:hAnsi="Arial"/>
                <w:b/>
                <w:color w:val="FFFFFF"/>
                <w:sz w:val="19"/>
              </w:rPr>
              <w:t>Puti</w:t>
            </w:r>
          </w:p>
        </w:tc>
        <w:tc>
          <w:tcPr>
            <w:tcW w:type="dxa" w:w="2592"/>
            <w:shd w:fill="0F172A"/>
            <w:tcMar>
              <w:top w:w="140" w:type="dxa"/>
              <w:bottom w:w="140" w:type="dxa"/>
              <w:left w:w="180" w:type="dxa"/>
              <w:right w:w="180" w:type="dxa"/>
            </w:tcMar>
          </w:tcPr>
          <w:p>
            <w:r>
              <w:rPr>
                <w:rFonts w:ascii="Arial" w:hAnsi="Arial"/>
                <w:b/>
                <w:color w:val="FFFFFF"/>
                <w:sz w:val="19"/>
              </w:rPr>
              <w:t>Reefkey</w:t>
            </w:r>
          </w:p>
        </w:tc>
      </w:tr>
      <w:tr>
        <w:tc>
          <w:tcPr>
            <w:tcW w:type="dxa" w:w="1584"/>
            <w:shd w:fill="FFFFFF"/>
            <w:tcMar>
              <w:top w:w="140" w:type="dxa"/>
              <w:bottom w:w="140" w:type="dxa"/>
              <w:left w:w="180" w:type="dxa"/>
              <w:right w:w="180" w:type="dxa"/>
            </w:tcMar>
          </w:tcPr>
          <w:p>
            <w:r>
              <w:rPr>
                <w:rFonts w:ascii="Arial" w:hAnsi="Arial"/>
                <w:b/>
                <w:color w:val="023E8A"/>
                <w:sz w:val="18"/>
              </w:rPr>
              <w:t>Domain</w:t>
            </w:r>
          </w:p>
        </w:tc>
        <w:tc>
          <w:tcPr>
            <w:tcW w:type="dxa" w:w="2592"/>
            <w:shd w:fill="FFFFFF"/>
            <w:tcMar>
              <w:top w:w="140" w:type="dxa"/>
              <w:bottom w:w="140" w:type="dxa"/>
              <w:left w:w="180" w:type="dxa"/>
              <w:right w:w="180" w:type="dxa"/>
            </w:tcMar>
          </w:tcPr>
          <w:p>
            <w:r>
              <w:rPr>
                <w:rFonts w:ascii="Arial" w:hAnsi="Arial"/>
                <w:color w:val="1E293B"/>
                <w:sz w:val="18"/>
              </w:rPr>
              <w:t>Arsitektur Inti, Aset &amp; Big Data</w:t>
            </w:r>
          </w:p>
        </w:tc>
        <w:tc>
          <w:tcPr>
            <w:tcW w:type="dxa" w:w="2592"/>
            <w:shd w:fill="FFFFFF"/>
            <w:tcMar>
              <w:top w:w="140" w:type="dxa"/>
              <w:bottom w:w="140" w:type="dxa"/>
              <w:left w:w="180" w:type="dxa"/>
              <w:right w:w="180" w:type="dxa"/>
            </w:tcMar>
          </w:tcPr>
          <w:p>
            <w:r>
              <w:rPr>
                <w:rFonts w:ascii="Arial" w:hAnsi="Arial"/>
                <w:color w:val="1E293B"/>
                <w:sz w:val="18"/>
              </w:rPr>
              <w:t>SPK, Geospasial &amp; Penilaian Teknis</w:t>
            </w:r>
          </w:p>
        </w:tc>
        <w:tc>
          <w:tcPr>
            <w:tcW w:type="dxa" w:w="2592"/>
            <w:shd w:fill="FFFFFF"/>
            <w:tcMar>
              <w:top w:w="140" w:type="dxa"/>
              <w:bottom w:w="140" w:type="dxa"/>
              <w:left w:w="180" w:type="dxa"/>
              <w:right w:w="180" w:type="dxa"/>
            </w:tcMar>
          </w:tcPr>
          <w:p>
            <w:r>
              <w:rPr>
                <w:rFonts w:ascii="Arial" w:hAnsi="Arial"/>
                <w:color w:val="1E293B"/>
                <w:sz w:val="18"/>
              </w:rPr>
              <w:t>Pemodelan Finansial &amp; Operasional Lapangan</w:t>
            </w:r>
          </w:p>
        </w:tc>
      </w:tr>
      <w:tr>
        <w:tc>
          <w:tcPr>
            <w:tcW w:type="dxa" w:w="1584"/>
            <w:shd w:fill="F1F5F9"/>
            <w:tcMar>
              <w:top w:w="140" w:type="dxa"/>
              <w:bottom w:w="140" w:type="dxa"/>
              <w:left w:w="180" w:type="dxa"/>
              <w:right w:w="180" w:type="dxa"/>
            </w:tcMar>
          </w:tcPr>
          <w:p>
            <w:r>
              <w:rPr>
                <w:rFonts w:ascii="Arial" w:hAnsi="Arial"/>
                <w:b/>
                <w:color w:val="023E8A"/>
                <w:sz w:val="18"/>
              </w:rPr>
              <w:t>Output Utama</w:t>
            </w:r>
          </w:p>
        </w:tc>
        <w:tc>
          <w:tcPr>
            <w:tcW w:type="dxa" w:w="2592"/>
            <w:shd w:fill="F1F5F9"/>
            <w:tcMar>
              <w:top w:w="140" w:type="dxa"/>
              <w:bottom w:w="140" w:type="dxa"/>
              <w:left w:w="180" w:type="dxa"/>
              <w:right w:w="180" w:type="dxa"/>
            </w:tcMar>
          </w:tcPr>
          <w:p>
            <w:r>
              <w:rPr>
                <w:rFonts w:ascii="Arial" w:hAnsi="Arial"/>
                <w:color w:val="1E293B"/>
                <w:sz w:val="18"/>
              </w:rPr>
              <w:t>Peta GIS, Engine CSV Transaksi, PDF Report, Dashboard</w:t>
            </w:r>
          </w:p>
        </w:tc>
        <w:tc>
          <w:tcPr>
            <w:tcW w:type="dxa" w:w="2592"/>
            <w:shd w:fill="F1F5F9"/>
            <w:tcMar>
              <w:top w:w="140" w:type="dxa"/>
              <w:bottom w:w="140" w:type="dxa"/>
              <w:left w:w="180" w:type="dxa"/>
              <w:right w:w="180" w:type="dxa"/>
            </w:tcMar>
          </w:tcPr>
          <w:p>
            <w:r>
              <w:rPr>
                <w:rFonts w:ascii="Arial" w:hAnsi="Arial"/>
                <w:color w:val="1E293B"/>
                <w:sz w:val="18"/>
              </w:rPr>
              <w:t>Skor Kelayakan (0–100), Jarak Terdekat, Peringkat Prioritas</w:t>
            </w:r>
          </w:p>
        </w:tc>
        <w:tc>
          <w:tcPr>
            <w:tcW w:type="dxa" w:w="2592"/>
            <w:shd w:fill="F1F5F9"/>
            <w:tcMar>
              <w:top w:w="140" w:type="dxa"/>
              <w:bottom w:w="140" w:type="dxa"/>
              <w:left w:w="180" w:type="dxa"/>
              <w:right w:w="180" w:type="dxa"/>
            </w:tcMar>
          </w:tcPr>
          <w:p>
            <w:r>
              <w:rPr>
                <w:rFonts w:ascii="Arial" w:hAnsi="Arial"/>
                <w:color w:val="1E293B"/>
                <w:sz w:val="18"/>
              </w:rPr>
              <w:t>Indikator Finansial (ROI/BEP 3 Skema), Agenda Survei</w:t>
            </w:r>
          </w:p>
        </w:tc>
      </w:tr>
      <w:tr>
        <w:tc>
          <w:tcPr>
            <w:tcW w:type="dxa" w:w="1584"/>
            <w:shd w:fill="FFFFFF"/>
            <w:tcMar>
              <w:top w:w="140" w:type="dxa"/>
              <w:bottom w:w="140" w:type="dxa"/>
              <w:left w:w="180" w:type="dxa"/>
              <w:right w:w="180" w:type="dxa"/>
            </w:tcMar>
          </w:tcPr>
          <w:p>
            <w:r>
              <w:rPr>
                <w:rFonts w:ascii="Arial" w:hAnsi="Arial"/>
                <w:b/>
                <w:color w:val="023E8A"/>
                <w:sz w:val="18"/>
              </w:rPr>
              <w:t>Nilai Ilmiah</w:t>
            </w:r>
          </w:p>
        </w:tc>
        <w:tc>
          <w:tcPr>
            <w:tcW w:type="dxa" w:w="2592"/>
            <w:shd w:fill="FFFFFF"/>
            <w:tcMar>
              <w:top w:w="140" w:type="dxa"/>
              <w:bottom w:w="140" w:type="dxa"/>
              <w:left w:w="180" w:type="dxa"/>
              <w:right w:w="180" w:type="dxa"/>
            </w:tcMar>
          </w:tcPr>
          <w:p>
            <w:r>
              <w:rPr>
                <w:rFonts w:ascii="Arial" w:hAnsi="Arial"/>
                <w:color w:val="1E293B"/>
                <w:sz w:val="18"/>
              </w:rPr>
              <w:t>Data Engineering, RBAC Security, Spatial Recommendation</w:t>
            </w:r>
          </w:p>
        </w:tc>
        <w:tc>
          <w:tcPr>
            <w:tcW w:type="dxa" w:w="2592"/>
            <w:shd w:fill="FFFFFF"/>
            <w:tcMar>
              <w:top w:w="140" w:type="dxa"/>
              <w:bottom w:w="140" w:type="dxa"/>
              <w:left w:w="180" w:type="dxa"/>
              <w:right w:w="180" w:type="dxa"/>
            </w:tcMar>
          </w:tcPr>
          <w:p>
            <w:r>
              <w:rPr>
                <w:rFonts w:ascii="Arial" w:hAnsi="Arial"/>
                <w:color w:val="1E293B"/>
                <w:sz w:val="18"/>
              </w:rPr>
              <w:t>Multi-Criteria Decision Making, Haversine Distance</w:t>
            </w:r>
          </w:p>
        </w:tc>
        <w:tc>
          <w:tcPr>
            <w:tcW w:type="dxa" w:w="2592"/>
            <w:shd w:fill="FFFFFF"/>
            <w:tcMar>
              <w:top w:w="140" w:type="dxa"/>
              <w:bottom w:w="140" w:type="dxa"/>
              <w:left w:w="180" w:type="dxa"/>
              <w:right w:w="180" w:type="dxa"/>
            </w:tcMar>
          </w:tcPr>
          <w:p>
            <w:r>
              <w:rPr>
                <w:rFonts w:ascii="Arial" w:hAnsi="Arial"/>
                <w:color w:val="1E293B"/>
                <w:sz w:val="18"/>
              </w:rPr>
              <w:t>Financial Feasibility Modeling, Investment Analysis</w:t>
            </w:r>
          </w:p>
        </w:tc>
      </w:tr>
    </w:tbl>
    <w:p>
      <w:pPr>
        <w:spacing w:before="160"/>
      </w:pPr>
    </w:p>
    <w:p>
      <w:pPr>
        <w:keepNext/>
        <w:spacing w:before="240" w:after="80"/>
      </w:pPr>
      <w:r>
        <w:rPr>
          <w:rFonts w:ascii="Arial" w:hAnsi="Arial"/>
          <w:b/>
          <w:color w:val="0081AB"/>
          <w:sz w:val="22"/>
        </w:rPr>
        <w:t>3.2 Anggota 1: KHINANTI (Data Architecture, Asset, Transaction &amp; Executive Dashboard)</w:t>
      </w:r>
    </w:p>
    <w:p>
      <w:pPr>
        <w:spacing w:before="0" w:after="80" w:line="276" w:lineRule="auto"/>
      </w:pPr>
      <w:r>
        <w:rPr>
          <w:rFonts w:ascii="Arial" w:hAnsi="Arial"/>
          <w:b/>
          <w:color w:val="1E293B"/>
          <w:sz w:val="19"/>
        </w:rPr>
        <w:t xml:space="preserve">• </w:t>
      </w:r>
      <w:r>
        <w:rPr>
          <w:rFonts w:ascii="Arial" w:hAnsi="Arial"/>
          <w:i w:val="0"/>
          <w:color w:val="1E293B"/>
          <w:sz w:val="19"/>
        </w:rPr>
        <w:t>Judul Bagian Laporan Individu:</w:t>
      </w:r>
    </w:p>
    <w:p>
      <w:pPr>
        <w:spacing w:before="0" w:after="80" w:line="276" w:lineRule="auto"/>
      </w:pPr>
      <w:r>
        <w:rPr>
          <w:rFonts w:ascii="Arial" w:hAnsi="Arial"/>
          <w:i/>
          <w:color w:val="1E293B"/>
          <w:sz w:val="19"/>
        </w:rPr>
        <w:t>"Rancang Bangun Subsistem Manajemen Aset, Pengolahan Data Transaksi Skala Besar, Rekomendasi Lokasi, dan Pusat Analitik Eksekutif SPKLU"</w:t>
      </w:r>
    </w:p>
    <w:p>
      <w:pPr>
        <w:keepNext/>
        <w:spacing w:before="160" w:after="40"/>
      </w:pPr>
      <w:r>
        <w:rPr>
          <w:rFonts w:ascii="Arial" w:hAnsi="Arial"/>
          <w:b/>
          <w:color w:val="D97706"/>
          <w:sz w:val="20"/>
        </w:rPr>
        <w:t>Materi yang Wajib Dibahas di Laporan &amp; Sidang Khinanti:</w:t>
      </w:r>
    </w:p>
    <w:p>
      <w:pPr>
        <w:pStyle w:val="ListBullet"/>
        <w:spacing w:before="0" w:after="60" w:line="276" w:lineRule="auto"/>
        <w:ind w:left="360"/>
      </w:pPr>
      <w:r>
        <w:rPr>
          <w:rFonts w:ascii="Arial" w:hAnsi="Arial"/>
          <w:b/>
          <w:color w:val="1E293B"/>
          <w:sz w:val="19"/>
        </w:rPr>
        <w:t xml:space="preserve">1. Rekayasa Pengolahan Data Transaksi Skala Besar (ETL Pipeline): </w:t>
      </w:r>
      <w:r>
        <w:rPr>
          <w:rFonts w:ascii="Arial" w:hAnsi="Arial"/>
          <w:color w:val="1E293B"/>
          <w:sz w:val="19"/>
        </w:rPr>
        <w:t>Arsitektur pipeline data membaca ribuan hingga puluhan ribu baris transaksi CSV dengan metode chunking/batch processing sehingga server tidak mengalami memory leak atau HTTP 504 Gateway Timeout. Dilengkapi validasi keamanan: file strictly berekstensi .csv, pembatasan ukuran maksimal 50MB, dan mitigasi duplikasi data upload.</w:t>
      </w:r>
    </w:p>
    <w:p>
      <w:pPr>
        <w:pStyle w:val="ListBullet"/>
        <w:spacing w:before="0" w:after="60" w:line="276" w:lineRule="auto"/>
        <w:ind w:left="360"/>
      </w:pPr>
      <w:r>
        <w:rPr>
          <w:rFonts w:ascii="Arial" w:hAnsi="Arial"/>
          <w:b/>
          <w:color w:val="1E293B"/>
          <w:sz w:val="19"/>
        </w:rPr>
        <w:t xml:space="preserve">2. Algoritma Pemetaan Alias SPKLU (Unmatched Resolver Engine): </w:t>
      </w:r>
      <w:r>
        <w:rPr>
          <w:rFonts w:ascii="Arial" w:hAnsi="Arial"/>
          <w:color w:val="1E293B"/>
          <w:sz w:val="19"/>
        </w:rPr>
        <w:t>Logika sistem saat menemukan variasi nama SPKLU baru di file CSV yang belum terdaftar di master database. Sistem memisahkan data tersebut ke tabel transaksi_unmatched dan menyediakan antarmuka pemetaan ke tabel spklu_aliases. Sekali dipetakan, upload-upload di bulan berikutnya langsung otomatis mengenali variasi nama tersebut.</w:t>
      </w:r>
    </w:p>
    <w:p>
      <w:pPr>
        <w:pStyle w:val="ListBullet"/>
        <w:spacing w:before="0" w:after="60" w:line="276" w:lineRule="auto"/>
        <w:ind w:left="360"/>
      </w:pPr>
      <w:r>
        <w:rPr>
          <w:rFonts w:ascii="Arial" w:hAnsi="Arial"/>
          <w:b/>
          <w:color w:val="1E293B"/>
          <w:sz w:val="19"/>
        </w:rPr>
        <w:t xml:space="preserve">3. Agregasi Data &amp; Reporting Otomatis: </w:t>
      </w:r>
      <w:r>
        <w:rPr>
          <w:rFonts w:ascii="Arial" w:hAnsi="Arial"/>
          <w:color w:val="1E293B"/>
          <w:sz w:val="19"/>
        </w:rPr>
        <w:t>Kalkulasi matriks agregasi konsumsi energi (kWh), omzet penjualan, tren pertumbuhan tahunan/bulanan, serta rendering dokumen formal Export PDF menggunakan Dompdf Engine yang rapi dan terstandarisasi.</w:t>
      </w:r>
    </w:p>
    <w:p>
      <w:pPr>
        <w:pStyle w:val="ListBullet"/>
        <w:spacing w:before="0" w:after="60" w:line="276" w:lineRule="auto"/>
        <w:ind w:left="360"/>
      </w:pPr>
      <w:r>
        <w:rPr>
          <w:rFonts w:ascii="Arial" w:hAnsi="Arial"/>
          <w:b/>
          <w:color w:val="1E293B"/>
          <w:sz w:val="19"/>
        </w:rPr>
        <w:t xml:space="preserve">4. Algoritma Rekomendasi Lokasi Baru: </w:t>
      </w:r>
      <w:r>
        <w:rPr>
          <w:rFonts w:ascii="Arial" w:hAnsi="Arial"/>
          <w:color w:val="1E293B"/>
          <w:sz w:val="19"/>
        </w:rPr>
        <w:t>Metode perankingan titik rekomendasi berdasarkan coverage radius SPKLU eksisting untuk mendeteksi 'blank spot' (area padat lalu lintas kendaraan yang belum terjangkau fasilitas pengisian).</w:t>
      </w:r>
    </w:p>
    <w:p>
      <w:pPr>
        <w:pStyle w:val="ListBullet"/>
        <w:spacing w:before="0" w:after="60" w:line="276" w:lineRule="auto"/>
        <w:ind w:left="360"/>
      </w:pPr>
      <w:r>
        <w:rPr>
          <w:rFonts w:ascii="Arial" w:hAnsi="Arial"/>
          <w:b/>
          <w:color w:val="1E293B"/>
          <w:sz w:val="19"/>
        </w:rPr>
        <w:t xml:space="preserve">5. Keamanan Sistem &amp; Arsitektur RBAC: </w:t>
      </w:r>
      <w:r>
        <w:rPr>
          <w:rFonts w:ascii="Arial" w:hAnsi="Arial"/>
          <w:color w:val="1E293B"/>
          <w:sz w:val="19"/>
        </w:rPr>
        <w:t>Implementasi autentikasi ganda (Email/Password standar + Google OAuth via Laravel Socialite). Alur aktivasi akun baru berbasis OTP WhatsApp, pengelompokan hak akses RBAC (Super Admin, Pemasaran, Pengelola, Manajemen) dengan pemisahan wilayah 17 UP3 se-Jabar, serta fitur modern Theme Switcher (Sidebar Terang/Gelap via localStorage tanpa flicker tampilan).</w:t>
      </w:r>
    </w:p>
    <w:p>
      <w:pPr>
        <w:keepNext/>
        <w:spacing w:before="160" w:after="40"/>
      </w:pPr>
      <w:r>
        <w:rPr>
          <w:rFonts w:ascii="Arial" w:hAnsi="Arial"/>
          <w:b/>
          <w:color w:val="D97706"/>
          <w:sz w:val="20"/>
        </w:rPr>
        <w:t>Diagram yang Wajib Ada di Bab 3 Khinanti:</w:t>
      </w:r>
    </w:p>
    <w:p>
      <w:pPr>
        <w:pStyle w:val="ListBullet"/>
        <w:spacing w:before="0" w:after="60" w:line="276" w:lineRule="auto"/>
        <w:ind w:left="360"/>
      </w:pPr>
      <w:r>
        <w:rPr>
          <w:rFonts w:ascii="Arial" w:hAnsi="Arial"/>
          <w:color w:val="1E293B"/>
          <w:sz w:val="19"/>
        </w:rPr>
        <w:t>Flowchart / Activity Diagram Alur Upload &amp; Parsing CSV (termasuk percabangan data matched vs unmatched).</w:t>
      </w:r>
    </w:p>
    <w:p>
      <w:pPr>
        <w:pStyle w:val="ListBullet"/>
        <w:spacing w:before="0" w:after="60" w:line="276" w:lineRule="auto"/>
        <w:ind w:left="360"/>
      </w:pPr>
      <w:r>
        <w:rPr>
          <w:rFonts w:ascii="Arial" w:hAnsi="Arial"/>
          <w:color w:val="1E293B"/>
          <w:sz w:val="19"/>
        </w:rPr>
        <w:t>Activity Diagram Alur Aktivasi Akun (Pilih UP3 -&gt; Request OTP -&gt; Verifikasi OTP -&gt; Set Password -&gt; Notifikasi Sukses).</w:t>
      </w:r>
    </w:p>
    <w:p>
      <w:pPr>
        <w:pStyle w:val="ListBullet"/>
        <w:spacing w:before="0" w:after="60" w:line="276" w:lineRule="auto"/>
        <w:ind w:left="360"/>
      </w:pPr>
      <w:r>
        <w:rPr>
          <w:rFonts w:ascii="Arial" w:hAnsi="Arial"/>
          <w:color w:val="1E293B"/>
          <w:sz w:val="19"/>
        </w:rPr>
        <w:t>Sequence Diagram Ekspor Laporan Transaksi ke Format PDF.</w:t>
      </w:r>
    </w:p>
    <w:p>
      <w:pPr>
        <w:pStyle w:val="ListBullet"/>
        <w:spacing w:before="0" w:after="60" w:line="276" w:lineRule="auto"/>
        <w:ind w:left="360"/>
      </w:pPr>
      <w:r>
        <w:rPr>
          <w:rFonts w:ascii="Arial" w:hAnsi="Arial"/>
          <w:color w:val="1E293B"/>
          <w:sz w:val="19"/>
        </w:rPr>
        <w:t>Entity Relationship Diagram (ERD) fokus pada entitas: users, spklus, transaksi_raw, transaksi_rekap_bulanan, spklu_aliases, transaksi_unmatched.</w:t>
      </w:r>
    </w:p>
    <w:p>
      <w:pPr>
        <w:keepNext/>
        <w:spacing w:before="240" w:after="80"/>
      </w:pPr>
      <w:r>
        <w:rPr>
          <w:rFonts w:ascii="Arial" w:hAnsi="Arial"/>
          <w:b/>
          <w:color w:val="0081AB"/>
          <w:sz w:val="22"/>
        </w:rPr>
        <w:t>3.3 Anggota 2: PUTI (Decision Support System / SPK Kelayakan Teknis &amp; Prioritas Kandidat)</w:t>
      </w:r>
    </w:p>
    <w:p>
      <w:pPr>
        <w:spacing w:before="0" w:after="80" w:line="276" w:lineRule="auto"/>
      </w:pPr>
      <w:r>
        <w:rPr>
          <w:rFonts w:ascii="Arial" w:hAnsi="Arial"/>
          <w:b/>
          <w:color w:val="1E293B"/>
          <w:sz w:val="19"/>
        </w:rPr>
        <w:t xml:space="preserve">• </w:t>
      </w:r>
      <w:r>
        <w:rPr>
          <w:rFonts w:ascii="Arial" w:hAnsi="Arial"/>
          <w:i w:val="0"/>
          <w:color w:val="1E293B"/>
          <w:sz w:val="19"/>
        </w:rPr>
        <w:t>Judul Bagian Laporan Individu:</w:t>
      </w:r>
    </w:p>
    <w:p>
      <w:pPr>
        <w:spacing w:before="0" w:after="80" w:line="276" w:lineRule="auto"/>
      </w:pPr>
      <w:r>
        <w:rPr>
          <w:rFonts w:ascii="Arial" w:hAnsi="Arial"/>
          <w:i/>
          <w:color w:val="1E293B"/>
          <w:sz w:val="19"/>
        </w:rPr>
        <w:t>"Penerapan Sistem Pendukung Keputusan (SPK) untuk Penilaian Kelayakan Teknis dan Perangkingan Prioritas Kandidat Lokasi SPKLU"</w:t>
      </w:r>
    </w:p>
    <w:p>
      <w:pPr>
        <w:keepNext/>
        <w:spacing w:before="160" w:after="40"/>
      </w:pPr>
      <w:r>
        <w:rPr>
          <w:rFonts w:ascii="Arial" w:hAnsi="Arial"/>
          <w:b/>
          <w:color w:val="D97706"/>
          <w:sz w:val="20"/>
        </w:rPr>
        <w:t>Materi yang Wajib Dibahas di Laporan &amp; Sidang Puti:</w:t>
      </w:r>
    </w:p>
    <w:p>
      <w:pPr>
        <w:pStyle w:val="ListBullet"/>
        <w:spacing w:before="0" w:after="60" w:line="276" w:lineRule="auto"/>
        <w:ind w:left="360"/>
      </w:pPr>
      <w:r>
        <w:rPr>
          <w:rFonts w:ascii="Arial" w:hAnsi="Arial"/>
          <w:b/>
          <w:color w:val="1E293B"/>
          <w:sz w:val="19"/>
        </w:rPr>
        <w:t xml:space="preserve">1. Pemodelan Sistem Pendukung Keputusan (SPK / Multi-Criteria Scoring): </w:t>
      </w:r>
      <w:r>
        <w:rPr>
          <w:rFonts w:ascii="Arial" w:hAnsi="Arial"/>
          <w:color w:val="1E293B"/>
          <w:sz w:val="19"/>
        </w:rPr>
        <w:t>Formulasi matematis pembobotan kriteria kelayakan teknis lokasi:</w:t>
        <w:br/>
        <w:t>Total Skor = Poin Fasilitas (Maks 40) + Poin Kesiapan Jaringan (Maks 20) + Poin Okupansi (Maks 40)</w:t>
        <w:br/>
        <w:t>Menjelaskan parameter pembentuk masing-masing poin: ketersediaan fasilitas umum (toilet, rest area, mall, minimarket), kapasitas daya trafo distribusi listrik PLN, serta kepadatan arus lalu lintas kendaraan.</w:t>
      </w:r>
    </w:p>
    <w:p>
      <w:pPr>
        <w:pStyle w:val="ListBullet"/>
        <w:spacing w:before="0" w:after="60" w:line="276" w:lineRule="auto"/>
        <w:ind w:left="360"/>
      </w:pPr>
      <w:r>
        <w:rPr>
          <w:rFonts w:ascii="Arial" w:hAnsi="Arial"/>
          <w:b/>
          <w:color w:val="1E293B"/>
          <w:sz w:val="19"/>
        </w:rPr>
        <w:t xml:space="preserve">2. Perhitungan Jarak Geospasial dengan Formula Haversine: </w:t>
      </w:r>
      <w:r>
        <w:rPr>
          <w:rFonts w:ascii="Arial" w:hAnsi="Arial"/>
          <w:color w:val="1E293B"/>
          <w:sz w:val="19"/>
        </w:rPr>
        <w:t>Penjabaran rumus matematika jarak lengkung bola bumi (great-circle distance) antara koordinat kandidat (lat1, lon1) ke SPKLU eksisting terdekat (lat2, lon2):</w:t>
        <w:br/>
        <w:t>d = 2R · arcsin(√(sin²(Δlat/2) + cos(lat1) · cos(lat2) · sin²(Δlon/2)))</w:t>
        <w:br/>
        <w:t>dimana R adalah jari-jari bumi (6.371 km). Alasan ilmiah: Formula Haversine mencegah kanibalisasi pasar antar-SPKLU dan menjadi dasar penentuan poin efisiensi jaringan tanpa latensi API eksternal.</w:t>
      </w:r>
    </w:p>
    <w:p>
      <w:pPr>
        <w:pStyle w:val="ListBullet"/>
        <w:spacing w:before="0" w:after="60" w:line="276" w:lineRule="auto"/>
        <w:ind w:left="360"/>
      </w:pPr>
      <w:r>
        <w:rPr>
          <w:rFonts w:ascii="Arial" w:hAnsi="Arial"/>
          <w:b/>
          <w:color w:val="1E293B"/>
          <w:sz w:val="19"/>
        </w:rPr>
        <w:t xml:space="preserve">3. Algoritma Klasifikasi &amp; Peringkat Prioritas: </w:t>
      </w:r>
      <w:r>
        <w:rPr>
          <w:rFonts w:ascii="Arial" w:hAnsi="Arial"/>
          <w:color w:val="1E293B"/>
          <w:sz w:val="19"/>
        </w:rPr>
        <w:t>Penetapan ambang batas skor (threshold) kelayakan calon lokasi:</w:t>
        <w:br/>
        <w:t>• Skor &gt;= 70 : Status Layak (Prioritas Pembangunan Tinggi)</w:t>
        <w:br/>
        <w:t>• Skor 50 - 69 : Status Menjadi Pertimbangan</w:t>
        <w:br/>
        <w:t>• Skor &lt; 50 : Status Tidak Layak</w:t>
      </w:r>
    </w:p>
    <w:p>
      <w:pPr>
        <w:pStyle w:val="ListBullet"/>
        <w:spacing w:before="0" w:after="60" w:line="276" w:lineRule="auto"/>
        <w:ind w:left="360"/>
      </w:pPr>
      <w:r>
        <w:rPr>
          <w:rFonts w:ascii="Arial" w:hAnsi="Arial"/>
          <w:b/>
          <w:color w:val="1E293B"/>
          <w:sz w:val="19"/>
        </w:rPr>
        <w:t xml:space="preserve">4. Siklus Hidup Kandidat &amp; Integrasi Kanban: </w:t>
      </w:r>
      <w:r>
        <w:rPr>
          <w:rFonts w:ascii="Arial" w:hAnsi="Arial"/>
          <w:color w:val="1E293B"/>
          <w:sz w:val="19"/>
        </w:rPr>
        <w:t>Pengelolaan alur tahapan kandidat menggunakan papan Kanban: Belum Mulai -&gt; On-Progress -&gt; Selesai Integrasi. Dilengkapi modal verifikasi teknis: calon lokasi yang berstatus Selesai Integrasi dapat langsung dipromosikan (auto-promote) menjadi data definitif di tabel spklus (Master SPKLU).</w:t>
      </w:r>
    </w:p>
    <w:p>
      <w:pPr>
        <w:keepNext/>
        <w:spacing w:before="160" w:after="40"/>
      </w:pPr>
      <w:r>
        <w:rPr>
          <w:rFonts w:ascii="Arial" w:hAnsi="Arial"/>
          <w:b/>
          <w:color w:val="D97706"/>
          <w:sz w:val="20"/>
        </w:rPr>
        <w:t>Diagram yang Wajib Ada di Bab 3 Puti:</w:t>
      </w:r>
    </w:p>
    <w:p>
      <w:pPr>
        <w:pStyle w:val="ListBullet"/>
        <w:spacing w:before="0" w:after="60" w:line="276" w:lineRule="auto"/>
        <w:ind w:left="360"/>
      </w:pPr>
      <w:r>
        <w:rPr>
          <w:rFonts w:ascii="Arial" w:hAnsi="Arial"/>
          <w:color w:val="1E293B"/>
          <w:sz w:val="19"/>
        </w:rPr>
        <w:t>Flowchart Perhitungan Skor Probabilitas &amp; Formula Geospasial Haversine.</w:t>
      </w:r>
    </w:p>
    <w:p>
      <w:pPr>
        <w:pStyle w:val="ListBullet"/>
        <w:spacing w:before="0" w:after="60" w:line="276" w:lineRule="auto"/>
        <w:ind w:left="360"/>
      </w:pPr>
      <w:r>
        <w:rPr>
          <w:rFonts w:ascii="Arial" w:hAnsi="Arial"/>
          <w:color w:val="1E293B"/>
          <w:sz w:val="19"/>
        </w:rPr>
        <w:t>Activity Diagram Pengajuan Calon Kandidat hingga Validasi Integrasi ke Master SPKLU.</w:t>
      </w:r>
    </w:p>
    <w:p>
      <w:pPr>
        <w:pStyle w:val="ListBullet"/>
        <w:spacing w:before="0" w:after="60" w:line="276" w:lineRule="auto"/>
        <w:ind w:left="360"/>
      </w:pPr>
      <w:r>
        <w:rPr>
          <w:rFonts w:ascii="Arial" w:hAnsi="Arial"/>
          <w:color w:val="1E293B"/>
          <w:sz w:val="19"/>
        </w:rPr>
        <w:t>Class Diagram relasi tabel: kandidats, probabilitass, riwayat_probabilitas, parameter_penilaian.</w:t>
      </w:r>
    </w:p>
    <w:p>
      <w:pPr>
        <w:keepNext/>
        <w:spacing w:before="240" w:after="80"/>
      </w:pPr>
      <w:r>
        <w:rPr>
          <w:rFonts w:ascii="Arial" w:hAnsi="Arial"/>
          <w:b/>
          <w:color w:val="0081AB"/>
          <w:sz w:val="22"/>
        </w:rPr>
        <w:t>3.4 Anggota 3: REEFKEY (Financial Feasibility Modeling / FS Skema &amp; Scheduling)</w:t>
      </w:r>
    </w:p>
    <w:p>
      <w:pPr>
        <w:spacing w:before="0" w:after="80" w:line="276" w:lineRule="auto"/>
      </w:pPr>
      <w:r>
        <w:rPr>
          <w:rFonts w:ascii="Arial" w:hAnsi="Arial"/>
          <w:b/>
          <w:color w:val="1E293B"/>
          <w:sz w:val="19"/>
        </w:rPr>
        <w:t xml:space="preserve">• </w:t>
      </w:r>
      <w:r>
        <w:rPr>
          <w:rFonts w:ascii="Arial" w:hAnsi="Arial"/>
          <w:i w:val="0"/>
          <w:color w:val="1E293B"/>
          <w:sz w:val="19"/>
        </w:rPr>
        <w:t>Judul Bagian Laporan Individu:</w:t>
      </w:r>
    </w:p>
    <w:p>
      <w:pPr>
        <w:spacing w:before="0" w:after="80" w:line="276" w:lineRule="auto"/>
      </w:pPr>
      <w:r>
        <w:rPr>
          <w:rFonts w:ascii="Arial" w:hAnsi="Arial"/>
          <w:i/>
          <w:color w:val="1E293B"/>
          <w:sz w:val="19"/>
        </w:rPr>
        <w:t>"Pemodelan Kelayakan Finansial Multiskema Investasi dan Manajemen Penjadwalan Survei Mitra SPKLU"</w:t>
      </w:r>
    </w:p>
    <w:p>
      <w:pPr>
        <w:keepNext/>
        <w:spacing w:before="160" w:after="40"/>
      </w:pPr>
      <w:r>
        <w:rPr>
          <w:rFonts w:ascii="Arial" w:hAnsi="Arial"/>
          <w:b/>
          <w:color w:val="D97706"/>
          <w:sz w:val="20"/>
        </w:rPr>
        <w:t>Materi yang Wajib Dibahas di Laporan &amp; Sidang Reefkey:</w:t>
      </w:r>
    </w:p>
    <w:p>
      <w:pPr>
        <w:pStyle w:val="ListBullet"/>
        <w:spacing w:before="0" w:after="60" w:line="276" w:lineRule="auto"/>
        <w:ind w:left="360"/>
      </w:pPr>
      <w:r>
        <w:rPr>
          <w:rFonts w:ascii="Arial" w:hAnsi="Arial"/>
          <w:b/>
          <w:color w:val="1E293B"/>
          <w:sz w:val="19"/>
        </w:rPr>
        <w:t xml:space="preserve">1. Pemodelan Kelayakan Finansial Multiskema Kemitraan: </w:t>
      </w:r>
      <w:r>
        <w:rPr>
          <w:rFonts w:ascii="Arial" w:hAnsi="Arial"/>
          <w:color w:val="1E293B"/>
          <w:sz w:val="19"/>
        </w:rPr>
        <w:t>Logika bisnis dan kalkulasi 3 model kerja sama investasi SPKLU PLN:</w:t>
        <w:br/>
        <w:t>• Skema 1 (PLN Mandiri): Biaya investasi (CAPEX) dan operasional (OPEX) 100% dari PLN, pendapatan energi 100% milik PLN.</w:t>
        <w:br/>
        <w:t>• Skema 2 (Bagi Hasil / Revenue Sharing): Mitra menyediakan lahan atau mesin charger, bagi hasil dihitung berdasarkan margin rupiah per kWh terjual antara PLN dan Mitra.</w:t>
        <w:br/>
        <w:t>• Skema 3 (Sewa / Full Mitra): Skema sewa tempat atau sewa alat dengan biaya tetap (fixed cost) per tahun/bulan.</w:t>
      </w:r>
    </w:p>
    <w:p>
      <w:pPr>
        <w:pStyle w:val="ListBullet"/>
        <w:spacing w:before="0" w:after="60" w:line="276" w:lineRule="auto"/>
        <w:ind w:left="360"/>
      </w:pPr>
      <w:r>
        <w:rPr>
          <w:rFonts w:ascii="Arial" w:hAnsi="Arial"/>
          <w:b/>
          <w:color w:val="1E293B"/>
          <w:sz w:val="19"/>
        </w:rPr>
        <w:t xml:space="preserve">2. Formulasi Matematis Indikator Finansial Investasi: </w:t>
      </w:r>
      <w:r>
        <w:rPr>
          <w:rFonts w:ascii="Arial" w:hAnsi="Arial"/>
          <w:color w:val="1E293B"/>
          <w:sz w:val="19"/>
        </w:rPr>
        <w:t>Penjabaran formula metrik investasi modal:</w:t>
        <w:br/>
        <w:t>• Return on Investment (ROI):</w:t>
        <w:br/>
        <w:t xml:space="preserve">  ROI = ((Total Pendapatan Kumulatif - Total Investasi) / Total Investasi) × 100%</w:t>
        <w:br/>
        <w:t>• Break-Even Point (BEP): Algoritma iteratif mendeteksi tahun ke berapa arus kas kumulatif (Σ Cash Flow_t) melampaui biaya modal awal.</w:t>
        <w:br/>
        <w:t>• Proyeksi Pertumbuhan Adopsi EV: Pemodelan kenaikan trafik tahunan mobil listrik (mobil/hari -&gt; transaksi/tahun -&gt; total konsumsi kWh/tahun).</w:t>
      </w:r>
    </w:p>
    <w:p>
      <w:pPr>
        <w:pStyle w:val="ListBullet"/>
        <w:spacing w:before="0" w:after="60" w:line="276" w:lineRule="auto"/>
        <w:ind w:left="360"/>
      </w:pPr>
      <w:r>
        <w:rPr>
          <w:rFonts w:ascii="Arial" w:hAnsi="Arial"/>
          <w:b/>
          <w:color w:val="1E293B"/>
          <w:sz w:val="19"/>
        </w:rPr>
        <w:t xml:space="preserve">3. Sistem Penjadwalan Survei &amp; Koordinasi Mitra: </w:t>
      </w:r>
      <w:r>
        <w:rPr>
          <w:rFonts w:ascii="Arial" w:hAnsi="Arial"/>
          <w:color w:val="1E293B"/>
          <w:sz w:val="19"/>
        </w:rPr>
        <w:t>Pengelolaan kalender interaktif penjadwalan survei lapangan dan koordinasi mitra. Pencegahan bentrok jadwal tim survei. Penanganan dua moda pertemuan: Moda Online (integrasi link Zoom/GMeet) dan Moda Offline (penyimpanan titik koordinat temu survei fisik). Pelacakan 4 status agenda: Terjadwal, Berlangsung, Selesai, Batal yang otomatis terhubung ke riwayat kandidat lokasi.</w:t>
      </w:r>
    </w:p>
    <w:p>
      <w:pPr>
        <w:keepNext/>
        <w:spacing w:before="160" w:after="40"/>
      </w:pPr>
      <w:r>
        <w:rPr>
          <w:rFonts w:ascii="Arial" w:hAnsi="Arial"/>
          <w:b/>
          <w:color w:val="D97706"/>
          <w:sz w:val="20"/>
        </w:rPr>
        <w:t>Diagram yang Wajib Ada di Bab 3 Reefkey:</w:t>
      </w:r>
    </w:p>
    <w:p>
      <w:pPr>
        <w:pStyle w:val="ListBullet"/>
        <w:spacing w:before="0" w:after="60" w:line="276" w:lineRule="auto"/>
        <w:ind w:left="360"/>
      </w:pPr>
      <w:r>
        <w:rPr>
          <w:rFonts w:ascii="Arial" w:hAnsi="Arial"/>
          <w:color w:val="1E293B"/>
          <w:sz w:val="19"/>
        </w:rPr>
        <w:t>Flowchart Kalkulasi Arus Kas, BEP, dan ROI Finansial Multiskema.</w:t>
      </w:r>
    </w:p>
    <w:p>
      <w:pPr>
        <w:pStyle w:val="ListBullet"/>
        <w:spacing w:before="0" w:after="60" w:line="276" w:lineRule="auto"/>
        <w:ind w:left="360"/>
      </w:pPr>
      <w:r>
        <w:rPr>
          <w:rFonts w:ascii="Arial" w:hAnsi="Arial"/>
          <w:color w:val="1E293B"/>
          <w:sz w:val="19"/>
        </w:rPr>
        <w:t>Activity Diagram Pembuatan Jadwal Survei (Online/Offline) dan Pelaporan Berita Acara Hasil Survei.</w:t>
      </w:r>
    </w:p>
    <w:p>
      <w:pPr>
        <w:pStyle w:val="ListBullet"/>
        <w:spacing w:before="0" w:after="60" w:line="276" w:lineRule="auto"/>
        <w:ind w:left="360"/>
      </w:pPr>
      <w:r>
        <w:rPr>
          <w:rFonts w:ascii="Arial" w:hAnsi="Arial"/>
          <w:color w:val="1E293B"/>
          <w:sz w:val="19"/>
        </w:rPr>
        <w:t>Class Diagram relasi tabel: fs_skemas, proyeksi_roi, jadwals, mitra_mesins.</w:t>
      </w:r>
    </w:p>
    <w:p>
      <w:pPr>
        <w:keepNext/>
        <w:spacing w:before="360" w:after="120"/>
      </w:pPr>
      <w:r>
        <w:rPr>
          <w:rFonts w:ascii="Arial" w:hAnsi="Arial"/>
          <w:b/>
          <w:color w:val="023E8A"/>
          <w:sz w:val="25"/>
        </w:rPr>
        <w:t>BAB IV. STRUKTUR SISTEMATIKA PENULISAN LAPORAN TA (BAB 1 - BAB 5)</w:t>
      </w:r>
    </w:p>
    <w:p>
      <w:pPr>
        <w:spacing w:before="0" w:after="80" w:line="276" w:lineRule="auto"/>
      </w:pPr>
      <w:r>
        <w:rPr>
          <w:rFonts w:ascii="Arial" w:hAnsi="Arial"/>
          <w:i w:val="0"/>
          <w:color w:val="1E293B"/>
          <w:sz w:val="19"/>
        </w:rPr>
        <w:t>Berikut adalah pedoman isi materi yang harus dituangkan pada masing-masing bab laporan Tugas Akhir:</w:t>
      </w:r>
    </w:p>
    <w:p>
      <w:pPr>
        <w:keepNext/>
        <w:spacing w:before="240" w:after="80"/>
      </w:pPr>
      <w:r>
        <w:rPr>
          <w:rFonts w:ascii="Arial" w:hAnsi="Arial"/>
          <w:b/>
          <w:color w:val="0081AB"/>
          <w:sz w:val="22"/>
        </w:rPr>
        <w:t>Bab 1: Pendahuluan</w:t>
      </w:r>
    </w:p>
    <w:p>
      <w:pPr>
        <w:pStyle w:val="ListBullet"/>
        <w:spacing w:before="0" w:after="60" w:line="276" w:lineRule="auto"/>
        <w:ind w:left="360"/>
      </w:pPr>
      <w:r>
        <w:rPr>
          <w:rFonts w:ascii="Arial" w:hAnsi="Arial"/>
          <w:color w:val="1E293B"/>
          <w:sz w:val="19"/>
        </w:rPr>
        <w:t>Latar belakang program percepatan KBLBB nasional dan tantangan operasional PLN UID Jawa Barat.</w:t>
      </w:r>
    </w:p>
    <w:p>
      <w:pPr>
        <w:pStyle w:val="ListBullet"/>
        <w:spacing w:before="0" w:after="60" w:line="276" w:lineRule="auto"/>
        <w:ind w:left="360"/>
      </w:pPr>
      <w:r>
        <w:rPr>
          <w:rFonts w:ascii="Arial" w:hAnsi="Arial"/>
          <w:color w:val="1E293B"/>
          <w:sz w:val="19"/>
        </w:rPr>
        <w:t>Identifikasi masalah penentuan lokasi, pemrosesan transaksi CSV, dan kalkulasi kemitraan.</w:t>
      </w:r>
    </w:p>
    <w:p>
      <w:pPr>
        <w:pStyle w:val="ListBullet"/>
        <w:spacing w:before="0" w:after="60" w:line="276" w:lineRule="auto"/>
        <w:ind w:left="360"/>
      </w:pPr>
      <w:r>
        <w:rPr>
          <w:rFonts w:ascii="Arial" w:hAnsi="Arial"/>
          <w:color w:val="1E293B"/>
          <w:sz w:val="19"/>
        </w:rPr>
        <w:t>Tujuan dan manfaat sistem baik secara teoritis maupun aplikatif bagi perusahaan.</w:t>
      </w:r>
    </w:p>
    <w:p>
      <w:pPr>
        <w:pStyle w:val="ListBullet"/>
        <w:spacing w:before="0" w:after="60" w:line="276" w:lineRule="auto"/>
        <w:ind w:left="360"/>
      </w:pPr>
      <w:r>
        <w:rPr>
          <w:rFonts w:ascii="Arial" w:hAnsi="Arial"/>
          <w:color w:val="1E293B"/>
          <w:sz w:val="19"/>
        </w:rPr>
        <w:t>Batasan masalah sistem secara keseluruhan serta batasan masalah spesifik per anggota.</w:t>
      </w:r>
    </w:p>
    <w:p>
      <w:pPr>
        <w:keepNext/>
        <w:spacing w:before="240" w:after="80"/>
      </w:pPr>
      <w:r>
        <w:rPr>
          <w:rFonts w:ascii="Arial" w:hAnsi="Arial"/>
          <w:b/>
          <w:color w:val="0081AB"/>
          <w:sz w:val="22"/>
        </w:rPr>
        <w:t>Bab 2: Landasan Teori</w:t>
      </w:r>
    </w:p>
    <w:p>
      <w:pPr>
        <w:pStyle w:val="ListBullet"/>
        <w:spacing w:before="0" w:after="60" w:line="276" w:lineRule="auto"/>
        <w:ind w:left="360"/>
      </w:pPr>
      <w:r>
        <w:rPr>
          <w:rFonts w:ascii="Arial" w:hAnsi="Arial"/>
          <w:color w:val="1E293B"/>
          <w:sz w:val="19"/>
        </w:rPr>
        <w:t>Konsep Dasar SPKLU, jenis konektor pengisian daya (AC Type 2, DC CHAdeMO, DC CCS2), dan regulasi tarif SPLU/SPKLU.</w:t>
      </w:r>
    </w:p>
    <w:p>
      <w:pPr>
        <w:pStyle w:val="ListBullet"/>
        <w:spacing w:before="0" w:after="60" w:line="276" w:lineRule="auto"/>
        <w:ind w:left="360"/>
      </w:pPr>
      <w:r>
        <w:rPr>
          <w:rFonts w:ascii="Arial" w:hAnsi="Arial"/>
          <w:color w:val="1E293B"/>
          <w:sz w:val="19"/>
        </w:rPr>
        <w:t>Metode Sistem Pendukung Keputusan (SPK) dan teknik pembobotan multikriteria.</w:t>
      </w:r>
    </w:p>
    <w:p>
      <w:pPr>
        <w:pStyle w:val="ListBullet"/>
        <w:spacing w:before="0" w:after="60" w:line="276" w:lineRule="auto"/>
        <w:ind w:left="360"/>
      </w:pPr>
      <w:r>
        <w:rPr>
          <w:rFonts w:ascii="Arial" w:hAnsi="Arial"/>
          <w:color w:val="1E293B"/>
          <w:sz w:val="19"/>
        </w:rPr>
        <w:t>Formula Matematis Haversine untuk kalkulasi jarak geospasial.</w:t>
      </w:r>
    </w:p>
    <w:p>
      <w:pPr>
        <w:pStyle w:val="ListBullet"/>
        <w:spacing w:before="0" w:after="60" w:line="276" w:lineRule="auto"/>
        <w:ind w:left="360"/>
      </w:pPr>
      <w:r>
        <w:rPr>
          <w:rFonts w:ascii="Arial" w:hAnsi="Arial"/>
          <w:color w:val="1E293B"/>
          <w:sz w:val="19"/>
        </w:rPr>
        <w:t>Teori Studi Kelayakan Bisnis dan Formula Finansial: Arus Kas Bersih, Payback Period, BEP, dan ROI.</w:t>
      </w:r>
    </w:p>
    <w:p>
      <w:pPr>
        <w:pStyle w:val="ListBullet"/>
        <w:spacing w:before="0" w:after="60" w:line="276" w:lineRule="auto"/>
        <w:ind w:left="360"/>
      </w:pPr>
      <w:r>
        <w:rPr>
          <w:rFonts w:ascii="Arial" w:hAnsi="Arial"/>
          <w:color w:val="1E293B"/>
          <w:sz w:val="19"/>
        </w:rPr>
        <w:t>Teknologi Perangkat Lunak: Framework Laravel 11, PHP 8.3, Basis Data Relasional MySQL, Role-Based Access Control (RBAC), dan Dompdf Engine.</w:t>
      </w:r>
    </w:p>
    <w:p>
      <w:pPr>
        <w:keepNext/>
        <w:spacing w:before="240" w:after="80"/>
      </w:pPr>
      <w:r>
        <w:rPr>
          <w:rFonts w:ascii="Arial" w:hAnsi="Arial"/>
          <w:b/>
          <w:color w:val="0081AB"/>
          <w:sz w:val="22"/>
        </w:rPr>
        <w:t>Bab 3: Analisis dan Perancangan Sistem</w:t>
      </w:r>
    </w:p>
    <w:p>
      <w:pPr>
        <w:pStyle w:val="ListBullet"/>
        <w:spacing w:before="0" w:after="60" w:line="276" w:lineRule="auto"/>
        <w:ind w:left="360"/>
      </w:pPr>
      <w:r>
        <w:rPr>
          <w:rFonts w:ascii="Arial" w:hAnsi="Arial"/>
          <w:color w:val="1E293B"/>
          <w:sz w:val="19"/>
        </w:rPr>
        <w:t>Analisis kebutuhan fungsional dan non-fungsional sistem.</w:t>
      </w:r>
    </w:p>
    <w:p>
      <w:pPr>
        <w:pStyle w:val="ListBullet"/>
        <w:spacing w:before="0" w:after="60" w:line="276" w:lineRule="auto"/>
        <w:ind w:left="360"/>
      </w:pPr>
      <w:r>
        <w:rPr>
          <w:rFonts w:ascii="Arial" w:hAnsi="Arial"/>
          <w:color w:val="1E293B"/>
          <w:sz w:val="19"/>
        </w:rPr>
        <w:t>Use Case Diagram (Package per subsistem) dan Deskripsi Skenario Use Case.</w:t>
      </w:r>
    </w:p>
    <w:p>
      <w:pPr>
        <w:pStyle w:val="ListBullet"/>
        <w:spacing w:before="0" w:after="60" w:line="276" w:lineRule="auto"/>
        <w:ind w:left="360"/>
      </w:pPr>
      <w:r>
        <w:rPr>
          <w:rFonts w:ascii="Arial" w:hAnsi="Arial"/>
          <w:color w:val="1E293B"/>
          <w:sz w:val="19"/>
        </w:rPr>
        <w:t>Activity Diagram untuk setiap alur utama (Alur Upload CSV, Alur Skoring Probabilitas, Alur Kalkulasi FS Skema, Alur Penjadwalan).</w:t>
      </w:r>
    </w:p>
    <w:p>
      <w:pPr>
        <w:pStyle w:val="ListBullet"/>
        <w:spacing w:before="0" w:after="60" w:line="276" w:lineRule="auto"/>
        <w:ind w:left="360"/>
      </w:pPr>
      <w:r>
        <w:rPr>
          <w:rFonts w:ascii="Arial" w:hAnsi="Arial"/>
          <w:color w:val="1E293B"/>
          <w:sz w:val="19"/>
        </w:rPr>
        <w:t>Sequence Diagram komunikasi antar-objek controller, service, dan database.</w:t>
      </w:r>
    </w:p>
    <w:p>
      <w:pPr>
        <w:pStyle w:val="ListBullet"/>
        <w:spacing w:before="0" w:after="60" w:line="276" w:lineRule="auto"/>
        <w:ind w:left="360"/>
      </w:pPr>
      <w:r>
        <w:rPr>
          <w:rFonts w:ascii="Arial" w:hAnsi="Arial"/>
          <w:color w:val="1E293B"/>
          <w:sz w:val="19"/>
        </w:rPr>
        <w:t>Class Diagram dan Entity Relationship Diagram (ERD) lengkap dengan relasi kardinalitas.</w:t>
      </w:r>
    </w:p>
    <w:p>
      <w:pPr>
        <w:pStyle w:val="ListBullet"/>
        <w:spacing w:before="0" w:after="60" w:line="276" w:lineRule="auto"/>
        <w:ind w:left="360"/>
      </w:pPr>
      <w:r>
        <w:rPr>
          <w:rFonts w:ascii="Arial" w:hAnsi="Arial"/>
          <w:color w:val="1E293B"/>
          <w:sz w:val="19"/>
        </w:rPr>
        <w:t>Perancangan Antarmuka Pengguna (UI Wireframe &amp; Design System PLN UID Jabar).</w:t>
      </w:r>
    </w:p>
    <w:p>
      <w:pPr>
        <w:keepNext/>
        <w:spacing w:before="360" w:after="120"/>
      </w:pPr>
      <w:r>
        <w:rPr>
          <w:rFonts w:ascii="Arial" w:hAnsi="Arial"/>
          <w:b/>
          <w:color w:val="023E8A"/>
          <w:sz w:val="25"/>
        </w:rPr>
        <w:t>BAB V. PANDUAN PENGUJIAN SISTEM &amp; KESIMPULAN (BAB 4 &amp; BAB 5)</w:t>
      </w:r>
    </w:p>
    <w:p>
      <w:pPr>
        <w:spacing w:before="0" w:after="80" w:line="276" w:lineRule="auto"/>
      </w:pPr>
      <w:r>
        <w:rPr>
          <w:rFonts w:ascii="Arial" w:hAnsi="Arial"/>
          <w:i w:val="0"/>
          <w:color w:val="1E293B"/>
          <w:sz w:val="19"/>
        </w:rPr>
        <w:t>Di Bab 4 (Hasil dan Pembahasan) serta Bab 5 (Penutup), hal-hal berikut wajib disajikan secara komprehensif:</w:t>
      </w:r>
    </w:p>
    <w:p>
      <w:pPr>
        <w:keepNext/>
        <w:spacing w:before="240" w:after="80"/>
      </w:pPr>
      <w:r>
        <w:rPr>
          <w:rFonts w:ascii="Arial" w:hAnsi="Arial"/>
          <w:b/>
          <w:color w:val="0081AB"/>
          <w:sz w:val="22"/>
        </w:rPr>
        <w:t>5.1 Pengujian Fungsional Black-Box Testing</w:t>
      </w:r>
    </w:p>
    <w:p>
      <w:pPr>
        <w:spacing w:before="0" w:after="80" w:line="276" w:lineRule="auto"/>
      </w:pPr>
      <w:r>
        <w:rPr>
          <w:rFonts w:ascii="Arial" w:hAnsi="Arial"/>
          <w:i w:val="0"/>
          <w:color w:val="1E293B"/>
          <w:sz w:val="19"/>
        </w:rPr>
        <w:t>Pengujian fungsional disajikan dalam bentuk tabel skenario uji mencakup input data normal serta pengujian batas ekstrem (edge cases):</w:t>
      </w:r>
    </w:p>
    <w:p>
      <w:pPr>
        <w:pStyle w:val="ListBullet"/>
        <w:spacing w:before="0" w:after="60" w:line="276" w:lineRule="auto"/>
        <w:ind w:left="360"/>
      </w:pPr>
      <w:r>
        <w:rPr>
          <w:rFonts w:ascii="Arial" w:hAnsi="Arial"/>
          <w:color w:val="1E293B"/>
          <w:sz w:val="19"/>
        </w:rPr>
        <w:t>Upload file CSV berukuran di atas 50MB (harus ditolak dengan pesan validasi yang jelas).</w:t>
      </w:r>
    </w:p>
    <w:p>
      <w:pPr>
        <w:pStyle w:val="ListBullet"/>
        <w:spacing w:before="0" w:after="60" w:line="276" w:lineRule="auto"/>
        <w:ind w:left="360"/>
      </w:pPr>
      <w:r>
        <w:rPr>
          <w:rFonts w:ascii="Arial" w:hAnsi="Arial"/>
          <w:color w:val="1E293B"/>
          <w:sz w:val="19"/>
        </w:rPr>
        <w:t>Upload file berekstensi non-CSV seperti .xlsx atau .pdf (harus ditolak oleh filter MIME-type).</w:t>
      </w:r>
    </w:p>
    <w:p>
      <w:pPr>
        <w:pStyle w:val="ListBullet"/>
        <w:spacing w:before="0" w:after="60" w:line="276" w:lineRule="auto"/>
        <w:ind w:left="360"/>
      </w:pPr>
      <w:r>
        <w:rPr>
          <w:rFonts w:ascii="Arial" w:hAnsi="Arial"/>
          <w:color w:val="1E293B"/>
          <w:sz w:val="19"/>
        </w:rPr>
        <w:t>Upload file CSV dengan nama SPKLU yang sama persis untuk periode bulan yang sama (mitigasi duplikasi data).</w:t>
      </w:r>
    </w:p>
    <w:p>
      <w:pPr>
        <w:pStyle w:val="ListBullet"/>
        <w:spacing w:before="0" w:after="60" w:line="276" w:lineRule="auto"/>
        <w:ind w:left="360"/>
      </w:pPr>
      <w:r>
        <w:rPr>
          <w:rFonts w:ascii="Arial" w:hAnsi="Arial"/>
          <w:color w:val="1E293B"/>
          <w:sz w:val="19"/>
        </w:rPr>
        <w:t>Pengujian input koordinat kandidat di luar wilayah Jawa Barat.</w:t>
      </w:r>
    </w:p>
    <w:p>
      <w:pPr>
        <w:keepNext/>
        <w:spacing w:before="240" w:after="80"/>
      </w:pPr>
      <w:r>
        <w:rPr>
          <w:rFonts w:ascii="Arial" w:hAnsi="Arial"/>
          <w:b/>
          <w:color w:val="0081AB"/>
          <w:sz w:val="22"/>
        </w:rPr>
        <w:t>5.2 Pengujian Akurasi Algoritma &amp; Validasi Matematis</w:t>
      </w:r>
    </w:p>
    <w:p>
      <w:pPr>
        <w:pStyle w:val="ListBullet"/>
        <w:spacing w:before="0" w:after="60" w:line="276" w:lineRule="auto"/>
        <w:ind w:left="360"/>
      </w:pPr>
      <w:r>
        <w:rPr>
          <w:rFonts w:ascii="Arial" w:hAnsi="Arial"/>
          <w:b/>
          <w:color w:val="1E293B"/>
          <w:sz w:val="19"/>
        </w:rPr>
        <w:t xml:space="preserve">• </w:t>
      </w:r>
      <w:r>
        <w:rPr>
          <w:rFonts w:ascii="Arial" w:hAnsi="Arial"/>
          <w:color w:val="1E293B"/>
          <w:sz w:val="19"/>
        </w:rPr>
        <w:t>Puti (SPK &amp; Haversine): Membandingkan hasil hitung manual formula Haversine dan skoring probabilitas dengan hasil komputasi sistem pada 10 sampel koordinat. Hasil komputasi sistem harus menghasilkan nilai presisi 100%.</w:t>
      </w:r>
    </w:p>
    <w:p>
      <w:pPr>
        <w:pStyle w:val="ListBullet"/>
        <w:spacing w:before="0" w:after="60" w:line="276" w:lineRule="auto"/>
        <w:ind w:left="360"/>
      </w:pPr>
      <w:r>
        <w:rPr>
          <w:rFonts w:ascii="Arial" w:hAnsi="Arial"/>
          <w:b/>
          <w:color w:val="1E293B"/>
          <w:sz w:val="19"/>
        </w:rPr>
        <w:t xml:space="preserve">• </w:t>
      </w:r>
      <w:r>
        <w:rPr>
          <w:rFonts w:ascii="Arial" w:hAnsi="Arial"/>
          <w:color w:val="1E293B"/>
          <w:sz w:val="19"/>
        </w:rPr>
        <w:t>Reefkey (FS Skema Finansial): Membandingkan perhitungan manual spreadsheet Excel standar keuangan PLN untuk rumus BEP, ROI, dan arus kas tahunan dengan kalkulasi otomatis sistem. Terbukti konsisten dan presisi pada seluruh skema kerja sama.</w:t>
      </w:r>
    </w:p>
    <w:p>
      <w:pPr>
        <w:pStyle w:val="ListBullet"/>
        <w:spacing w:before="0" w:after="60" w:line="276" w:lineRule="auto"/>
        <w:ind w:left="360"/>
      </w:pPr>
      <w:r>
        <w:rPr>
          <w:rFonts w:ascii="Arial" w:hAnsi="Arial"/>
          <w:b/>
          <w:color w:val="1E293B"/>
          <w:sz w:val="19"/>
        </w:rPr>
        <w:t xml:space="preserve">• </w:t>
      </w:r>
      <w:r>
        <w:rPr>
          <w:rFonts w:ascii="Arial" w:hAnsi="Arial"/>
          <w:color w:val="1E293B"/>
          <w:sz w:val="19"/>
        </w:rPr>
        <w:t>Khinanti (Data Engineering): Memvalidasi integritas data total kWh antara file CSV mentah (sum kolom kWh) dengan akumulasi data rekap di database. Tidak boleh ada selisih nilai (zero discrepancy).</w:t>
      </w:r>
    </w:p>
    <w:p>
      <w:pPr>
        <w:keepNext/>
        <w:spacing w:before="240" w:after="80"/>
      </w:pPr>
      <w:r>
        <w:rPr>
          <w:rFonts w:ascii="Arial" w:hAnsi="Arial"/>
          <w:b/>
          <w:color w:val="0081AB"/>
          <w:sz w:val="22"/>
        </w:rPr>
        <w:t>5.3 Pengujian Pengguna (User Acceptance Testing / UAT)</w:t>
      </w:r>
    </w:p>
    <w:p>
      <w:pPr>
        <w:spacing w:before="0" w:after="80" w:line="276" w:lineRule="auto"/>
      </w:pPr>
      <w:r>
        <w:rPr>
          <w:rFonts w:ascii="Arial" w:hAnsi="Arial"/>
          <w:i w:val="0"/>
          <w:color w:val="1E293B"/>
          <w:sz w:val="19"/>
        </w:rPr>
        <w:t>Pengujian UAT dilakukan kepada calon pengguna di lingkungan PLN UID Jawa Barat (staf UP3, tim pemasaran, pengelola SPKLU) menggunakan kuesioner skala Likert (skala 1 - 5) untuk mengukur 3 variabel utama:</w:t>
      </w:r>
    </w:p>
    <w:p>
      <w:pPr>
        <w:pStyle w:val="ListBullet"/>
        <w:spacing w:before="0" w:after="60" w:line="276" w:lineRule="auto"/>
        <w:ind w:left="360"/>
      </w:pPr>
      <w:r>
        <w:rPr>
          <w:rFonts w:ascii="Arial" w:hAnsi="Arial"/>
          <w:color w:val="1E293B"/>
          <w:sz w:val="19"/>
        </w:rPr>
        <w:t>Kemudahan Penggunaan (Usability &amp; User Interface).</w:t>
      </w:r>
    </w:p>
    <w:p>
      <w:pPr>
        <w:pStyle w:val="ListBullet"/>
        <w:spacing w:before="0" w:after="60" w:line="276" w:lineRule="auto"/>
        <w:ind w:left="360"/>
      </w:pPr>
      <w:r>
        <w:rPr>
          <w:rFonts w:ascii="Arial" w:hAnsi="Arial"/>
          <w:color w:val="1E293B"/>
          <w:sz w:val="19"/>
        </w:rPr>
        <w:t>Kecepatan Pemrosesan Data &amp; Otomatisasi Perhitungan.</w:t>
      </w:r>
    </w:p>
    <w:p>
      <w:pPr>
        <w:pStyle w:val="ListBullet"/>
        <w:spacing w:before="0" w:after="60" w:line="276" w:lineRule="auto"/>
        <w:ind w:left="360"/>
      </w:pPr>
      <w:r>
        <w:rPr>
          <w:rFonts w:ascii="Arial" w:hAnsi="Arial"/>
          <w:color w:val="1E293B"/>
          <w:sz w:val="19"/>
        </w:rPr>
        <w:t>Kesesuaian Fitur dengan Kebutuhan Standar Operasional Perusahaan (SOP).</w:t>
      </w:r>
    </w:p>
    <w:p>
      <w:pPr>
        <w:keepNext/>
        <w:spacing w:before="240" w:after="80"/>
      </w:pPr>
      <w:r>
        <w:rPr>
          <w:rFonts w:ascii="Arial" w:hAnsi="Arial"/>
          <w:b/>
          <w:color w:val="0081AB"/>
          <w:sz w:val="22"/>
        </w:rPr>
        <w:t>5.4 Kesimpulan &amp; Saran Pengembangan (Bab 5)</w:t>
      </w:r>
    </w:p>
    <w:p>
      <w:pPr>
        <w:pStyle w:val="ListBullet"/>
        <w:spacing w:before="0" w:after="60" w:line="276" w:lineRule="auto"/>
        <w:ind w:left="360"/>
      </w:pPr>
      <w:r>
        <w:rPr>
          <w:rFonts w:ascii="Arial" w:hAnsi="Arial"/>
          <w:b/>
          <w:color w:val="1E293B"/>
          <w:sz w:val="19"/>
        </w:rPr>
        <w:t xml:space="preserve">Kesimpulan: </w:t>
      </w:r>
      <w:r>
        <w:rPr>
          <w:rFonts w:ascii="Arial" w:hAnsi="Arial"/>
          <w:color w:val="1E293B"/>
          <w:sz w:val="19"/>
        </w:rPr>
        <w:t>Menjawab rumusan masalah: Sistem berhasil mengintegrasikan seluruh siklus hidup SPKLU dari identifikasi kebutuhan lokasi, verifikasi teknis, studi kelayakan finansial kemitraan, hingga rekapitulasi data transaksi operasional.</w:t>
      </w:r>
    </w:p>
    <w:p>
      <w:pPr>
        <w:pStyle w:val="ListBullet"/>
        <w:spacing w:before="0" w:after="60" w:line="276" w:lineRule="auto"/>
        <w:ind w:left="360"/>
      </w:pPr>
      <w:r>
        <w:rPr>
          <w:rFonts w:ascii="Arial" w:hAnsi="Arial"/>
          <w:b/>
          <w:color w:val="1E293B"/>
          <w:sz w:val="19"/>
        </w:rPr>
        <w:t xml:space="preserve">Dampak Nyata: </w:t>
      </w:r>
      <w:r>
        <w:rPr>
          <w:rFonts w:ascii="Arial" w:hAnsi="Arial"/>
          <w:color w:val="1E293B"/>
          <w:sz w:val="19"/>
        </w:rPr>
        <w:t>Sistem memangkas waktu kalkulasi kelayakan finansial dari yang sebelumnya 2-3 hari kerja menjadi instan dalam hitungan detik, serta menghilangkan risiko kegagalan upload transaksi CSV akibat ketidaksamaan nama lokasi.</w:t>
      </w:r>
    </w:p>
    <w:p>
      <w:pPr>
        <w:pStyle w:val="ListBullet"/>
        <w:spacing w:before="0" w:after="60" w:line="276" w:lineRule="auto"/>
        <w:ind w:left="360"/>
      </w:pPr>
      <w:r>
        <w:rPr>
          <w:rFonts w:ascii="Arial" w:hAnsi="Arial"/>
          <w:b/>
          <w:color w:val="1E293B"/>
          <w:sz w:val="19"/>
        </w:rPr>
        <w:t xml:space="preserve">Saran: </w:t>
      </w:r>
      <w:r>
        <w:rPr>
          <w:rFonts w:ascii="Arial" w:hAnsi="Arial"/>
          <w:color w:val="1E293B"/>
          <w:sz w:val="19"/>
        </w:rPr>
        <w:t>Pengembangan lanjutan dapat mencakup integrasi Internet of Things (IoT) protokol OCPP (Open Charge Point Protocol) secara realtime langsung ke mesin charger dan ekspansi sistem ke level PLN Unit Induk Distribusi seluruh Indonesia.</w:t>
      </w:r>
    </w:p>
    <w:p>
      <w:pPr>
        <w:keepNext/>
        <w:spacing w:before="360" w:after="120"/>
      </w:pPr>
      <w:r>
        <w:rPr>
          <w:rFonts w:ascii="Arial" w:hAnsi="Arial"/>
          <w:b/>
          <w:color w:val="023E8A"/>
          <w:sz w:val="25"/>
        </w:rPr>
        <w:t>BAB VI. FITUR TAMBAHAN BERDAMPAK TINGGI (KILLER FEATURES) UNTUK SIDANG</w:t>
      </w:r>
    </w:p>
    <w:p>
      <w:pPr>
        <w:spacing w:before="0" w:after="80" w:line="276" w:lineRule="auto"/>
      </w:pPr>
      <w:r>
        <w:rPr>
          <w:rFonts w:ascii="Arial" w:hAnsi="Arial"/>
          <w:i w:val="0"/>
          <w:color w:val="1E293B"/>
          <w:sz w:val="19"/>
        </w:rPr>
        <w:t>Untuk memperkuat nilai kebaruan (novelty) dan menjamin perolehan nilai maksimal saat sidang, berikut adalah fitur-fitur inovatif berdampak tinggi yang sangat direkomendasikan untuk ditonjolkan: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23E8A"/>
            <w:tcMar>
              <w:top w:w="140" w:type="dxa"/>
              <w:bottom w:w="140" w:type="dxa"/>
              <w:left w:w="180" w:type="dxa"/>
              <w:right w:w="180" w:type="dxa"/>
            </w:tcMar>
          </w:tcPr>
          <w:p>
            <w:r>
              <w:rPr>
                <w:rFonts w:ascii="Arial" w:hAnsi="Arial"/>
                <w:b/>
                <w:color w:val="FFFFFF"/>
                <w:sz w:val="19"/>
              </w:rPr>
              <w:t>Anggota</w:t>
            </w:r>
          </w:p>
        </w:tc>
        <w:tc>
          <w:tcPr>
            <w:tcW w:type="dxa" w:w="2592"/>
            <w:shd w:fill="023E8A"/>
            <w:tcMar>
              <w:top w:w="140" w:type="dxa"/>
              <w:bottom w:w="140" w:type="dxa"/>
              <w:left w:w="180" w:type="dxa"/>
              <w:right w:w="180" w:type="dxa"/>
            </w:tcMar>
          </w:tcPr>
          <w:p>
            <w:r>
              <w:rPr>
                <w:rFonts w:ascii="Arial" w:hAnsi="Arial"/>
                <w:b/>
                <w:color w:val="FFFFFF"/>
                <w:sz w:val="19"/>
              </w:rPr>
              <w:t>Fitur Berdampak Tinggi</w:t>
            </w:r>
          </w:p>
        </w:tc>
        <w:tc>
          <w:tcPr>
            <w:tcW w:type="dxa" w:w="3168"/>
            <w:shd w:fill="023E8A"/>
            <w:tcMar>
              <w:top w:w="140" w:type="dxa"/>
              <w:bottom w:w="140" w:type="dxa"/>
              <w:left w:w="180" w:type="dxa"/>
              <w:right w:w="180" w:type="dxa"/>
            </w:tcMar>
          </w:tcPr>
          <w:p>
            <w:r>
              <w:rPr>
                <w:rFonts w:ascii="Arial" w:hAnsi="Arial"/>
                <w:b/>
                <w:color w:val="FFFFFF"/>
                <w:sz w:val="19"/>
              </w:rPr>
              <w:t>Nilai Praktis bagi PLN</w:t>
            </w:r>
          </w:p>
        </w:tc>
        <w:tc>
          <w:tcPr>
            <w:tcW w:type="dxa" w:w="2880"/>
            <w:shd w:fill="023E8A"/>
            <w:tcMar>
              <w:top w:w="140" w:type="dxa"/>
              <w:bottom w:w="140" w:type="dxa"/>
              <w:left w:w="180" w:type="dxa"/>
              <w:right w:w="180" w:type="dxa"/>
            </w:tcMar>
          </w:tcPr>
          <w:p>
            <w:r>
              <w:rPr>
                <w:rFonts w:ascii="Arial" w:hAnsi="Arial"/>
                <w:b/>
                <w:color w:val="FFFFFF"/>
                <w:sz w:val="19"/>
              </w:rPr>
              <w:t>Nilai Akademik di Sidang</w:t>
            </w:r>
          </w:p>
        </w:tc>
      </w:tr>
      <w:tr>
        <w:tc>
          <w:tcPr>
            <w:tcW w:type="dxa" w:w="1440"/>
            <w:shd w:fill="FFFFFF"/>
            <w:tcMar>
              <w:top w:w="140" w:type="dxa"/>
              <w:bottom w:w="140" w:type="dxa"/>
              <w:left w:w="180" w:type="dxa"/>
              <w:right w:w="180" w:type="dxa"/>
            </w:tcMar>
          </w:tcPr>
          <w:p>
            <w:r>
              <w:rPr>
                <w:rFonts w:ascii="Arial" w:hAnsi="Arial"/>
                <w:color w:val="1E293B"/>
                <w:sz w:val="18"/>
              </w:rPr>
              <w:t>KHINANTI</w:t>
            </w:r>
          </w:p>
        </w:tc>
        <w:tc>
          <w:tcPr>
            <w:tcW w:type="dxa" w:w="2592"/>
            <w:shd w:fill="FFFFFF"/>
            <w:tcMar>
              <w:top w:w="140" w:type="dxa"/>
              <w:bottom w:w="140" w:type="dxa"/>
              <w:left w:w="180" w:type="dxa"/>
              <w:right w:w="180" w:type="dxa"/>
            </w:tcMar>
          </w:tcPr>
          <w:p>
            <w:r>
              <w:rPr>
                <w:rFonts w:ascii="Arial" w:hAnsi="Arial"/>
                <w:color w:val="1E293B"/>
                <w:sz w:val="18"/>
              </w:rPr>
              <w:t>Early Warning Anomali Transaksi &amp; Charger Offline</w:t>
            </w:r>
          </w:p>
        </w:tc>
        <w:tc>
          <w:tcPr>
            <w:tcW w:type="dxa" w:w="3168"/>
            <w:shd w:fill="FFFFFF"/>
            <w:tcMar>
              <w:top w:w="140" w:type="dxa"/>
              <w:bottom w:w="140" w:type="dxa"/>
              <w:left w:w="180" w:type="dxa"/>
              <w:right w:w="180" w:type="dxa"/>
            </w:tcMar>
          </w:tcPr>
          <w:p>
            <w:r>
              <w:rPr>
                <w:rFonts w:ascii="Arial" w:hAnsi="Arial"/>
                <w:color w:val="1E293B"/>
                <w:sz w:val="18"/>
              </w:rPr>
              <w:t>Mendeteksi otomatis unit SPKLU yang kinerjanya turun drastis (&gt;50%) atau 0 transaksi sehingga tim teknis langsung tahu unit mengalami kerusakan.</w:t>
            </w:r>
          </w:p>
        </w:tc>
        <w:tc>
          <w:tcPr>
            <w:tcW w:type="dxa" w:w="2880"/>
            <w:shd w:fill="FFFFFF"/>
            <w:tcMar>
              <w:top w:w="140" w:type="dxa"/>
              <w:bottom w:w="140" w:type="dxa"/>
              <w:left w:w="180" w:type="dxa"/>
              <w:right w:w="180" w:type="dxa"/>
            </w:tcMar>
          </w:tcPr>
          <w:p>
            <w:r>
              <w:rPr>
                <w:rFonts w:ascii="Arial" w:hAnsi="Arial"/>
                <w:color w:val="1E293B"/>
                <w:sz w:val="18"/>
              </w:rPr>
              <w:t>Data-driven Anomaly Detection yang mengubah modul transaksi dari pencatat pasif menjadi sistem pemantauan proaktif.</w:t>
            </w:r>
          </w:p>
        </w:tc>
      </w:tr>
      <w:tr>
        <w:tc>
          <w:tcPr>
            <w:tcW w:type="dxa" w:w="1440"/>
            <w:shd w:fill="F8FAFC"/>
            <w:tcMar>
              <w:top w:w="140" w:type="dxa"/>
              <w:bottom w:w="140" w:type="dxa"/>
              <w:left w:w="180" w:type="dxa"/>
              <w:right w:w="180" w:type="dxa"/>
            </w:tcMar>
          </w:tcPr>
          <w:p>
            <w:r>
              <w:rPr>
                <w:rFonts w:ascii="Arial" w:hAnsi="Arial"/>
                <w:color w:val="1E293B"/>
                <w:sz w:val="18"/>
              </w:rPr>
              <w:t>KHINANTI</w:t>
            </w:r>
          </w:p>
        </w:tc>
        <w:tc>
          <w:tcPr>
            <w:tcW w:type="dxa" w:w="2592"/>
            <w:shd w:fill="F8FAFC"/>
            <w:tcMar>
              <w:top w:w="140" w:type="dxa"/>
              <w:bottom w:w="140" w:type="dxa"/>
              <w:left w:w="180" w:type="dxa"/>
              <w:right w:w="180" w:type="dxa"/>
            </w:tcMar>
          </w:tcPr>
          <w:p>
            <w:r>
              <w:rPr>
                <w:rFonts w:ascii="Arial" w:hAnsi="Arial"/>
                <w:color w:val="1E293B"/>
                <w:sz w:val="18"/>
              </w:rPr>
              <w:t>Heatmap Kepadatan &amp; Blank Spot GIS di Rekomendasi Lokasi</w:t>
            </w:r>
          </w:p>
        </w:tc>
        <w:tc>
          <w:tcPr>
            <w:tcW w:type="dxa" w:w="3168"/>
            <w:shd w:fill="F8FAFC"/>
            <w:tcMar>
              <w:top w:w="140" w:type="dxa"/>
              <w:bottom w:w="140" w:type="dxa"/>
              <w:left w:w="180" w:type="dxa"/>
              <w:right w:w="180" w:type="dxa"/>
            </w:tcMar>
          </w:tcPr>
          <w:p>
            <w:r>
              <w:rPr>
                <w:rFonts w:ascii="Arial" w:hAnsi="Arial"/>
                <w:color w:val="1E293B"/>
                <w:sz w:val="18"/>
              </w:rPr>
              <w:t>Pimpinan dapat melihat peta visual area yang padat lalu lintas EV namun belum memiliki SPKLU dalam radius 5-10 km.</w:t>
            </w:r>
          </w:p>
        </w:tc>
        <w:tc>
          <w:tcPr>
            <w:tcW w:type="dxa" w:w="2880"/>
            <w:shd w:fill="F8FAFC"/>
            <w:tcMar>
              <w:top w:w="140" w:type="dxa"/>
              <w:bottom w:w="140" w:type="dxa"/>
              <w:left w:w="180" w:type="dxa"/>
              <w:right w:w="180" w:type="dxa"/>
            </w:tcMar>
          </w:tcPr>
          <w:p>
            <w:r>
              <w:rPr>
                <w:rFonts w:ascii="Arial" w:hAnsi="Arial"/>
                <w:color w:val="1E293B"/>
                <w:sz w:val="18"/>
              </w:rPr>
              <w:t>Visualisasi Big Data Spasial yang sangat memikat saat dipresentasikan di hadapan dewan penguji sidang.</w:t>
            </w:r>
          </w:p>
        </w:tc>
      </w:tr>
      <w:tr>
        <w:tc>
          <w:tcPr>
            <w:tcW w:type="dxa" w:w="1440"/>
            <w:shd w:fill="FFFFFF"/>
            <w:tcMar>
              <w:top w:w="140" w:type="dxa"/>
              <w:bottom w:w="140" w:type="dxa"/>
              <w:left w:w="180" w:type="dxa"/>
              <w:right w:w="180" w:type="dxa"/>
            </w:tcMar>
          </w:tcPr>
          <w:p>
            <w:r>
              <w:rPr>
                <w:rFonts w:ascii="Arial" w:hAnsi="Arial"/>
                <w:color w:val="1E293B"/>
                <w:sz w:val="18"/>
              </w:rPr>
              <w:t>PUTI</w:t>
            </w:r>
          </w:p>
        </w:tc>
        <w:tc>
          <w:tcPr>
            <w:tcW w:type="dxa" w:w="2592"/>
            <w:shd w:fill="FFFFFF"/>
            <w:tcMar>
              <w:top w:w="140" w:type="dxa"/>
              <w:bottom w:w="140" w:type="dxa"/>
              <w:left w:w="180" w:type="dxa"/>
              <w:right w:w="180" w:type="dxa"/>
            </w:tcMar>
          </w:tcPr>
          <w:p>
            <w:r>
              <w:rPr>
                <w:rFonts w:ascii="Arial" w:hAnsi="Arial"/>
                <w:color w:val="1E293B"/>
                <w:sz w:val="18"/>
              </w:rPr>
              <w:t>Simulasi Interaktif 'What-If Analysis' pada Skoring Kandidat</w:t>
            </w:r>
          </w:p>
        </w:tc>
        <w:tc>
          <w:tcPr>
            <w:tcW w:type="dxa" w:w="3168"/>
            <w:shd w:fill="FFFFFF"/>
            <w:tcMar>
              <w:top w:w="140" w:type="dxa"/>
              <w:bottom w:w="140" w:type="dxa"/>
              <w:left w:w="180" w:type="dxa"/>
              <w:right w:w="180" w:type="dxa"/>
            </w:tcMar>
          </w:tcPr>
          <w:p>
            <w:r>
              <w:rPr>
                <w:rFonts w:ascii="Arial" w:hAnsi="Arial"/>
                <w:color w:val="1E293B"/>
                <w:sz w:val="18"/>
              </w:rPr>
              <w:t>Tim survei dapat menggeser slider simulasi (misal menaikkan daya trafo atau menambah fasilitas) dan melihat skor probabilitas naik secara live.</w:t>
            </w:r>
          </w:p>
        </w:tc>
        <w:tc>
          <w:tcPr>
            <w:tcW w:type="dxa" w:w="2880"/>
            <w:shd w:fill="FFFFFF"/>
            <w:tcMar>
              <w:top w:w="140" w:type="dxa"/>
              <w:bottom w:w="140" w:type="dxa"/>
              <w:left w:w="180" w:type="dxa"/>
              <w:right w:w="180" w:type="dxa"/>
            </w:tcMar>
          </w:tcPr>
          <w:p>
            <w:r>
              <w:rPr>
                <w:rFonts w:ascii="Arial" w:hAnsi="Arial"/>
                <w:color w:val="1E293B"/>
                <w:sz w:val="18"/>
              </w:rPr>
              <w:t>Membuktikan model SPK bekerja secara dinamis dan adaptif sebagai simulator keputusan manajerial.</w:t>
            </w:r>
          </w:p>
        </w:tc>
      </w:tr>
      <w:tr>
        <w:tc>
          <w:tcPr>
            <w:tcW w:type="dxa" w:w="1440"/>
            <w:shd w:fill="F8FAFC"/>
            <w:tcMar>
              <w:top w:w="140" w:type="dxa"/>
              <w:bottom w:w="140" w:type="dxa"/>
              <w:left w:w="180" w:type="dxa"/>
              <w:right w:w="180" w:type="dxa"/>
            </w:tcMar>
          </w:tcPr>
          <w:p>
            <w:r>
              <w:rPr>
                <w:rFonts w:ascii="Arial" w:hAnsi="Arial"/>
                <w:color w:val="1E293B"/>
                <w:sz w:val="18"/>
              </w:rPr>
              <w:t>PUTI</w:t>
            </w:r>
          </w:p>
        </w:tc>
        <w:tc>
          <w:tcPr>
            <w:tcW w:type="dxa" w:w="2592"/>
            <w:shd w:fill="F8FAFC"/>
            <w:tcMar>
              <w:top w:w="140" w:type="dxa"/>
              <w:bottom w:w="140" w:type="dxa"/>
              <w:left w:w="180" w:type="dxa"/>
              <w:right w:w="180" w:type="dxa"/>
            </w:tcMar>
          </w:tcPr>
          <w:p>
            <w:r>
              <w:rPr>
                <w:rFonts w:ascii="Arial" w:hAnsi="Arial"/>
                <w:color w:val="1E293B"/>
                <w:sz w:val="18"/>
              </w:rPr>
              <w:t>Auto-Lookup Koordinat &amp; Instant Haversine Distance</w:t>
            </w:r>
          </w:p>
        </w:tc>
        <w:tc>
          <w:tcPr>
            <w:tcW w:type="dxa" w:w="3168"/>
            <w:shd w:fill="F8FAFC"/>
            <w:tcMar>
              <w:top w:w="140" w:type="dxa"/>
              <w:bottom w:w="140" w:type="dxa"/>
              <w:left w:w="180" w:type="dxa"/>
              <w:right w:w="180" w:type="dxa"/>
            </w:tcMar>
          </w:tcPr>
          <w:p>
            <w:r>
              <w:rPr>
                <w:rFonts w:ascii="Arial" w:hAnsi="Arial"/>
                <w:color w:val="1E293B"/>
                <w:sz w:val="18"/>
              </w:rPr>
              <w:t>Saat memilih titik kandidat di peta, sistem langsung menghitung jarak ke 3 SPKLU eksisting terdekat dalam milidetik tanpa ukur manual.</w:t>
            </w:r>
          </w:p>
        </w:tc>
        <w:tc>
          <w:tcPr>
            <w:tcW w:type="dxa" w:w="2880"/>
            <w:shd w:fill="F8FAFC"/>
            <w:tcMar>
              <w:top w:w="140" w:type="dxa"/>
              <w:bottom w:w="140" w:type="dxa"/>
              <w:left w:w="180" w:type="dxa"/>
              <w:right w:w="180" w:type="dxa"/>
            </w:tcMar>
          </w:tcPr>
          <w:p>
            <w:r>
              <w:rPr>
                <w:rFonts w:ascii="Arial" w:hAnsi="Arial"/>
                <w:color w:val="1E293B"/>
                <w:sz w:val="18"/>
              </w:rPr>
              <w:t>Menghilangkan potensi human error atau manipulasi jarak survei lapangan.</w:t>
            </w:r>
          </w:p>
        </w:tc>
      </w:tr>
      <w:tr>
        <w:tc>
          <w:tcPr>
            <w:tcW w:type="dxa" w:w="1440"/>
            <w:shd w:fill="FFFFFF"/>
            <w:tcMar>
              <w:top w:w="140" w:type="dxa"/>
              <w:bottom w:w="140" w:type="dxa"/>
              <w:left w:w="180" w:type="dxa"/>
              <w:right w:w="180" w:type="dxa"/>
            </w:tcMar>
          </w:tcPr>
          <w:p>
            <w:r>
              <w:rPr>
                <w:rFonts w:ascii="Arial" w:hAnsi="Arial"/>
                <w:color w:val="1E293B"/>
                <w:sz w:val="18"/>
              </w:rPr>
              <w:t>REEFKEY</w:t>
            </w:r>
          </w:p>
        </w:tc>
        <w:tc>
          <w:tcPr>
            <w:tcW w:type="dxa" w:w="2592"/>
            <w:shd w:fill="FFFFFF"/>
            <w:tcMar>
              <w:top w:w="140" w:type="dxa"/>
              <w:bottom w:w="140" w:type="dxa"/>
              <w:left w:w="180" w:type="dxa"/>
              <w:right w:w="180" w:type="dxa"/>
            </w:tcMar>
          </w:tcPr>
          <w:p>
            <w:r>
              <w:rPr>
                <w:rFonts w:ascii="Arial" w:hAnsi="Arial"/>
                <w:color w:val="1E293B"/>
                <w:sz w:val="18"/>
              </w:rPr>
              <w:t>Side-by-Side Scheme Comparison Matrix &amp; Auto-Recommendation</w:t>
            </w:r>
          </w:p>
        </w:tc>
        <w:tc>
          <w:tcPr>
            <w:tcW w:type="dxa" w:w="3168"/>
            <w:shd w:fill="FFFFFF"/>
            <w:tcMar>
              <w:top w:w="140" w:type="dxa"/>
              <w:bottom w:w="140" w:type="dxa"/>
              <w:left w:w="180" w:type="dxa"/>
              <w:right w:w="180" w:type="dxa"/>
            </w:tcMar>
          </w:tcPr>
          <w:p>
            <w:r>
              <w:rPr>
                <w:rFonts w:ascii="Arial" w:hAnsi="Arial"/>
                <w:color w:val="1E293B"/>
                <w:sz w:val="18"/>
              </w:rPr>
              <w:t>Menampilkan matriks komparasi berdampingan antara Skema 1, 2, dan 3 lengkap dengan rekomendasi skema mana yang paling optimal bagi PLN.</w:t>
            </w:r>
          </w:p>
        </w:tc>
        <w:tc>
          <w:tcPr>
            <w:tcW w:type="dxa" w:w="2880"/>
            <w:shd w:fill="FFFFFF"/>
            <w:tcMar>
              <w:top w:w="140" w:type="dxa"/>
              <w:bottom w:w="140" w:type="dxa"/>
              <w:left w:w="180" w:type="dxa"/>
              <w:right w:w="180" w:type="dxa"/>
            </w:tcMar>
          </w:tcPr>
          <w:p>
            <w:r>
              <w:rPr>
                <w:rFonts w:ascii="Arial" w:hAnsi="Arial"/>
                <w:color w:val="1E293B"/>
                <w:sz w:val="18"/>
              </w:rPr>
              <w:t>Menyajikan Decision Support berbasis Capital Budgeting yang matang bagi pengambil kebijakan investasi.</w:t>
            </w:r>
          </w:p>
        </w:tc>
      </w:tr>
      <w:tr>
        <w:tc>
          <w:tcPr>
            <w:tcW w:type="dxa" w:w="1440"/>
            <w:shd w:fill="F8FAFC"/>
            <w:tcMar>
              <w:top w:w="140" w:type="dxa"/>
              <w:bottom w:w="140" w:type="dxa"/>
              <w:left w:w="180" w:type="dxa"/>
              <w:right w:w="180" w:type="dxa"/>
            </w:tcMar>
          </w:tcPr>
          <w:p>
            <w:r>
              <w:rPr>
                <w:rFonts w:ascii="Arial" w:hAnsi="Arial"/>
                <w:color w:val="1E293B"/>
                <w:sz w:val="18"/>
              </w:rPr>
              <w:t>REEFKEY</w:t>
            </w:r>
          </w:p>
        </w:tc>
        <w:tc>
          <w:tcPr>
            <w:tcW w:type="dxa" w:w="2592"/>
            <w:shd w:fill="F8FAFC"/>
            <w:tcMar>
              <w:top w:w="140" w:type="dxa"/>
              <w:bottom w:w="140" w:type="dxa"/>
              <w:left w:w="180" w:type="dxa"/>
              <w:right w:w="180" w:type="dxa"/>
            </w:tcMar>
          </w:tcPr>
          <w:p>
            <w:r>
              <w:rPr>
                <w:rFonts w:ascii="Arial" w:hAnsi="Arial"/>
                <w:color w:val="1E293B"/>
                <w:sz w:val="18"/>
              </w:rPr>
              <w:t>Export 1-Click Executive Feasibility Sheet (PDF)</w:t>
            </w:r>
          </w:p>
        </w:tc>
        <w:tc>
          <w:tcPr>
            <w:tcW w:type="dxa" w:w="3168"/>
            <w:shd w:fill="F8FAFC"/>
            <w:tcMar>
              <w:top w:w="140" w:type="dxa"/>
              <w:bottom w:w="140" w:type="dxa"/>
              <w:left w:w="180" w:type="dxa"/>
              <w:right w:w="180" w:type="dxa"/>
            </w:tcMar>
          </w:tcPr>
          <w:p>
            <w:r>
              <w:rPr>
                <w:rFonts w:ascii="Arial" w:hAnsi="Arial"/>
                <w:color w:val="1E293B"/>
                <w:sz w:val="18"/>
              </w:rPr>
              <w:t>Meng-generate dokumen resmi hasil analisis kelayakan lengkap dengan kolom lembar persetujuan (approval) tim pemasaran dan GM.</w:t>
            </w:r>
          </w:p>
        </w:tc>
        <w:tc>
          <w:tcPr>
            <w:tcW w:type="dxa" w:w="2880"/>
            <w:shd w:fill="F8FAFC"/>
            <w:tcMar>
              <w:top w:w="140" w:type="dxa"/>
              <w:bottom w:w="140" w:type="dxa"/>
              <w:left w:w="180" w:type="dxa"/>
              <w:right w:w="180" w:type="dxa"/>
            </w:tcMar>
          </w:tcPr>
          <w:p>
            <w:r>
              <w:rPr>
                <w:rFonts w:ascii="Arial" w:hAnsi="Arial"/>
                <w:color w:val="1E293B"/>
                <w:sz w:val="18"/>
              </w:rPr>
              <w:t>Menghubungkan aplikasi perangkat lunak langsung ke Standard Operating Procedure (SOP) formal industri.</w:t>
            </w:r>
          </w:p>
        </w:tc>
      </w:tr>
    </w:tbl>
    <w:p>
      <w:pPr>
        <w:spacing w:before="160"/>
      </w:pPr>
    </w:p>
    <w:p>
      <w:pPr>
        <w:keepNext/>
        <w:spacing w:before="360" w:after="120"/>
      </w:pPr>
      <w:r>
        <w:rPr>
          <w:rFonts w:ascii="Arial" w:hAnsi="Arial"/>
          <w:b/>
          <w:color w:val="023E8A"/>
          <w:sz w:val="25"/>
        </w:rPr>
        <w:t>BAB VII. PANDUAN MENGHADAPI PERTANYAAN KRITIS DEWAN PENGUJI</w:t>
      </w:r>
    </w:p>
    <w:p>
      <w:pPr>
        <w:spacing w:before="0" w:after="80" w:line="276" w:lineRule="auto"/>
      </w:pPr>
      <w:r>
        <w:rPr>
          <w:rFonts w:ascii="Arial" w:hAnsi="Arial"/>
          <w:i w:val="0"/>
          <w:color w:val="1E293B"/>
          <w:sz w:val="19"/>
        </w:rPr>
        <w:t>Berikut adalah rangkuman pertanyaan krusial yang hampir pasti diajukan oleh dosen penguji saat sidang beserta panduan jawaban terbaiknya:</w:t>
      </w:r>
    </w:p>
    <w:p>
      <w:pPr>
        <w:keepNext/>
        <w:spacing w:before="240" w:after="80"/>
      </w:pPr>
      <w:r>
        <w:rPr>
          <w:rFonts w:ascii="Arial" w:hAnsi="Arial"/>
          <w:b/>
          <w:color w:val="0081AB"/>
          <w:sz w:val="22"/>
        </w:rPr>
        <w:t>Pertanyaan 1: 'Kenapa Khinanti mengerjakan 6 modul sedangkan Puti dan Reefkey masing-masing hanya 2 modul?'</w:t>
      </w:r>
    </w:p>
    <w:p>
      <w:pPr>
        <w:spacing w:before="0" w:after="80" w:line="276" w:lineRule="auto"/>
      </w:pPr>
      <w:r>
        <w:rPr>
          <w:rFonts w:ascii="Arial" w:hAnsi="Arial"/>
          <w:b/>
          <w:color w:val="1E293B"/>
          <w:sz w:val="19"/>
        </w:rPr>
        <w:t xml:space="preserve">• </w:t>
      </w:r>
      <w:r>
        <w:rPr>
          <w:rFonts w:ascii="Arial" w:hAnsi="Arial"/>
          <w:i w:val="0"/>
          <w:color w:val="1E293B"/>
          <w:sz w:val="19"/>
        </w:rPr>
        <w:t>Jawaban Terbaik:</w:t>
      </w:r>
    </w:p>
    <w:p>
      <w:pPr>
        <w:spacing w:before="0" w:after="80" w:line="276" w:lineRule="auto"/>
      </w:pPr>
      <w:r>
        <w:rPr>
          <w:rFonts w:ascii="Arial" w:hAnsi="Arial"/>
          <w:i/>
          <w:color w:val="1E293B"/>
          <w:sz w:val="19"/>
        </w:rPr>
        <w:t>"Penilaian sistem kami tidak diukur dari jumlah menu di sidebar, melainkan dari bobot komputasi dan pemisahan arsitektur subsistem. Saudari Puti bertanggung jawab atas algoritma Sistem Pendukung Keputusan (SPK) multikriteria dan kalkulasi spasial geodesi Haversine yang membutuhkan akurasi matematis tinggi. Saudara Reefkey memegang pemodelan finansial investasi 3 skema kerja sama (BEP, ROI, Cashflow) serta operasional survei lapangan. Sedangkan saya (Khinanti) memegang arsitektur inti, pemrosesan big data transaksi CSV 50MB tanpa timeout server, penanganan anomali penulisan nama di lapangan (alias matching engine), algoritma rekomendasi spasial, serta konsolidasi dashboard eksekutif."</w:t>
      </w:r>
    </w:p>
    <w:p>
      <w:pPr>
        <w:keepNext/>
        <w:spacing w:before="240" w:after="80"/>
      </w:pPr>
      <w:r>
        <w:rPr>
          <w:rFonts w:ascii="Arial" w:hAnsi="Arial"/>
          <w:b/>
          <w:color w:val="0081AB"/>
          <w:sz w:val="22"/>
        </w:rPr>
        <w:t>Pertanyaan 2: 'Kenapa menggunakan Formula Haversine, bukan jarak rute jalan raya (Google Directions API)?'</w:t>
      </w:r>
    </w:p>
    <w:p>
      <w:pPr>
        <w:spacing w:before="0" w:after="80" w:line="276" w:lineRule="auto"/>
      </w:pPr>
      <w:r>
        <w:rPr>
          <w:rFonts w:ascii="Arial" w:hAnsi="Arial"/>
          <w:b/>
          <w:color w:val="1E293B"/>
          <w:sz w:val="19"/>
        </w:rPr>
        <w:t xml:space="preserve">• </w:t>
      </w:r>
      <w:r>
        <w:rPr>
          <w:rFonts w:ascii="Arial" w:hAnsi="Arial"/>
          <w:i w:val="0"/>
          <w:color w:val="1E293B"/>
          <w:sz w:val="19"/>
        </w:rPr>
        <w:t>Jawaban Terbaik:</w:t>
      </w:r>
    </w:p>
    <w:p>
      <w:pPr>
        <w:spacing w:before="0" w:after="80" w:line="276" w:lineRule="auto"/>
      </w:pPr>
      <w:r>
        <w:rPr>
          <w:rFonts w:ascii="Arial" w:hAnsi="Arial"/>
          <w:i/>
          <w:color w:val="1E293B"/>
          <w:sz w:val="19"/>
        </w:rPr>
        <w:t>"Formula Haversine dipilih untuk menghitung jarak ortodromik (great-circle distance) antar-titik koordinat secara independen, deterministik, dan bebas latensi ketergantungan koneksi pihak ketiga (Google API berbayar dan memiliki batasan kuota). Untuk kebutuhan screening kelayakan awal dan pemetaan radius sebaran (buffer coverage), formula Haversine sudah menjadi standar baku yang sangat akurat dan hemat komputasi server."</w:t>
      </w:r>
    </w:p>
    <w:p>
      <w:pPr>
        <w:keepNext/>
        <w:spacing w:before="240" w:after="80"/>
      </w:pPr>
      <w:r>
        <w:rPr>
          <w:rFonts w:ascii="Arial" w:hAnsi="Arial"/>
          <w:b/>
          <w:color w:val="0081AB"/>
          <w:sz w:val="22"/>
        </w:rPr>
        <w:t>Pertanyaan 3: 'Bagaimana jika nama SPKLU di file CSV transaksi berbeda setiap bulannya?'</w:t>
      </w:r>
    </w:p>
    <w:p>
      <w:pPr>
        <w:spacing w:before="0" w:after="80" w:line="276" w:lineRule="auto"/>
      </w:pPr>
      <w:r>
        <w:rPr>
          <w:rFonts w:ascii="Arial" w:hAnsi="Arial"/>
          <w:b/>
          <w:color w:val="1E293B"/>
          <w:sz w:val="19"/>
        </w:rPr>
        <w:t xml:space="preserve">• </w:t>
      </w:r>
      <w:r>
        <w:rPr>
          <w:rFonts w:ascii="Arial" w:hAnsi="Arial"/>
          <w:i w:val="0"/>
          <w:color w:val="1E293B"/>
          <w:sz w:val="19"/>
        </w:rPr>
        <w:t>Jawaban Terbaik:</w:t>
      </w:r>
    </w:p>
    <w:p>
      <w:pPr>
        <w:spacing w:before="0" w:after="80" w:line="276" w:lineRule="auto"/>
      </w:pPr>
      <w:r>
        <w:rPr>
          <w:rFonts w:ascii="Arial" w:hAnsi="Arial"/>
          <w:i/>
          <w:color w:val="1E293B"/>
          <w:sz w:val="19"/>
        </w:rPr>
        <w:t>"Sistem telah dilengkapi modul Unmatched Resolver Engine. Jika terdapat nama SPKLU baru yang belum terdaftar di master alias, sistem tidak akan menggagalkan proses upload melainkan menyimpannya ke antrean data belum cocok. Administrator cukup memetakan nama tersebut sekali saja, dan untuk transaksi-transaksi di bulan berikutnya sistem akan otomatis mengenali variasi nama tersebut."</w:t>
      </w:r>
    </w:p>
    <w:p>
      <w:pPr>
        <w:keepNext/>
        <w:spacing w:before="240" w:after="80"/>
      </w:pPr>
      <w:r>
        <w:rPr>
          <w:rFonts w:ascii="Arial" w:hAnsi="Arial"/>
          <w:b/>
          <w:color w:val="0081AB"/>
          <w:sz w:val="22"/>
        </w:rPr>
        <w:t>Pertanyaan 4: 'Bagaimana sistem memastikan kalkulasi BEP dan ROI pada FS Skema valid?'</w:t>
      </w:r>
    </w:p>
    <w:p>
      <w:pPr>
        <w:spacing w:before="0" w:after="80" w:line="276" w:lineRule="auto"/>
      </w:pPr>
      <w:r>
        <w:rPr>
          <w:rFonts w:ascii="Arial" w:hAnsi="Arial"/>
          <w:b/>
          <w:color w:val="1E293B"/>
          <w:sz w:val="19"/>
        </w:rPr>
        <w:t xml:space="preserve">• </w:t>
      </w:r>
      <w:r>
        <w:rPr>
          <w:rFonts w:ascii="Arial" w:hAnsi="Arial"/>
          <w:i w:val="0"/>
          <w:color w:val="1E293B"/>
          <w:sz w:val="19"/>
        </w:rPr>
        <w:t>Jawaban Terbaik:</w:t>
      </w:r>
    </w:p>
    <w:p>
      <w:pPr>
        <w:spacing w:before="0" w:after="80" w:line="276" w:lineRule="auto"/>
      </w:pPr>
      <w:r>
        <w:rPr>
          <w:rFonts w:ascii="Arial" w:hAnsi="Arial"/>
          <w:i/>
          <w:color w:val="1E293B"/>
          <w:sz w:val="19"/>
        </w:rPr>
        <w:t>"Seluruh formula matematis pada modul FS Skema telah divalidasi silang (cross-validated) menggunakan pengujian komparasi antara perhitungan manual spreadsheet standar keuangan PLN dengan hasil kalkulasi sistem perangkat lunak, dan terbukti menghasilkan nilai presisi 100% pada berbagai simulasi masa kontrak."</w:t>
      </w:r>
    </w:p>
    <w:tbl>
      <w:tblPr>
        <w:tblW w:type="auto" w:w="0"/>
        <w:jc w:val="center"/>
        <w:tblLayout w:type="fixed"/>
        <w:tblLook w:firstColumn="1" w:firstRow="1" w:lastColumn="0" w:lastRow="0" w:noHBand="0" w:noVBand="1" w:val="04A0"/>
      </w:tblPr>
      <w:tblGrid>
        <w:gridCol w:w="9360"/>
      </w:tblGrid>
      <w:tr>
        <w:tc>
          <w:tcPr>
            <w:tcW w:type="dxa" w:w="9360"/>
            <w:shd w:fill="0F172A"/>
            <w:tcMar>
              <w:top w:w="180" w:type="dxa"/>
              <w:bottom w:w="180" w:type="dxa"/>
              <w:left w:w="220" w:type="dxa"/>
              <w:right w:w="220" w:type="dxa"/>
            </w:tcMar>
            <w:tcBorders>
              <w:top w:val="none"/>
              <w:left w:val="single" w:sz="32" w:space="0" w:color="D97706"/>
              <w:bottom w:val="none"/>
              <w:right w:val="none"/>
            </w:tcBorders>
          </w:tcPr>
          <w:p>
            <w:pPr>
              <w:spacing w:before="0" w:after="80"/>
            </w:pPr>
            <w:r>
              <w:rPr>
                <w:rFonts w:ascii="Arial" w:hAnsi="Arial"/>
                <w:b/>
                <w:color w:val="F59E0B"/>
                <w:sz w:val="21"/>
              </w:rPr>
              <w:t>🎯 Nilai Jual Utama (USP) Karya TA di Meja Sidang:</w:t>
              <w:br/>
            </w:r>
            <w:r>
              <w:rPr>
                <w:rFonts w:ascii="Arial" w:hAnsi="Arial"/>
                <w:i/>
                <w:color w:val="CBD5E1"/>
                <w:sz w:val="18"/>
              </w:rPr>
              <w:t>Ketika ditanya dosen penguji: 'Apa keunggulan karya kalian dibanding skripsi SPKLU lainnya?' — Jawab dengan kompak:</w:t>
              <w:br/>
              <w:br/>
            </w:r>
            <w:r>
              <w:rPr>
                <w:rFonts w:ascii="Arial" w:hAnsi="Arial"/>
                <w:b/>
                <w:i/>
                <w:color w:val="FFFFFF"/>
                <w:sz w:val="20"/>
              </w:rPr>
              <w:t>"Sistem ini bukan sekadar aplikasi pendataan (CRUD) biasa, melainkan solusi end-to-end terintegrasi: dimulai dari rekomendasi spasial titik kosong, seleksi kelayakan teknis SPK (Puti), perhitungan otomatis kelayakan investasi bisnis &amp; survei lapangan (Reefkey), hingga manajemen data transaksi jutaan baris dan monitoring eksekutif terpusat (Khinanti)."</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