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after="80"/>
        <w:jc w:val="center"/>
      </w:pPr>
      <w:r>
        <w:rPr>
          <w:rFonts w:ascii="Arial" w:cs="Arial" w:eastAsia="Arial" w:hAnsi="Arial"/>
          <w:b/>
          <w:bCs/>
          <w:color w:val="1B2A4A"/>
          <w:sz w:val="32"/>
          <w:szCs w:val="32"/>
        </w:rPr>
        <w:t xml:space="preserve">VIT Bhopal University</w:t>
      </w:r>
    </w:p>
    <w:p>
      <w:pPr>
        <w:spacing w:after="500"/>
        <w:jc w:val="center"/>
      </w:pPr>
      <w:r>
        <w:rPr>
          <w:rFonts w:ascii="Arial" w:cs="Arial" w:eastAsia="Arial" w:hAnsi="Arial"/>
          <w:color w:val="3D4F6B"/>
          <w:sz w:val="24"/>
          <w:szCs w:val="24"/>
        </w:rPr>
        <w:t xml:space="preserve">School of Computing Science and Engineering</w:t>
      </w:r>
    </w:p>
    <w:p>
      <w:pPr>
        <w:pBdr>
          <w:top w:val="single" w:color="0F6E56" w:sz="12"/>
          <w:bottom w:val="single" w:color="0F6E56" w:sz="4"/>
        </w:pBdr>
        <w:spacing w:before="0" w:after="500"/>
      </w:pPr>
      <w:r>
        <w:t xml:space="preserve"/>
      </w:r>
    </w:p>
    <w:p>
      <w:pPr>
        <w:spacing w:after="120"/>
        <w:jc w:val="center"/>
      </w:pPr>
      <w:r>
        <w:rPr>
          <w:rFonts w:ascii="Arial" w:cs="Arial" w:eastAsia="Arial" w:hAnsi="Arial"/>
          <w:b/>
          <w:bCs/>
          <w:color w:val="1B2A4A"/>
          <w:spacing w:val="80"/>
          <w:sz w:val="48"/>
          <w:szCs w:val="48"/>
        </w:rPr>
        <w:t xml:space="preserve">PROJECT REPORT</w:t>
      </w:r>
    </w:p>
    <w:p>
      <w:pPr>
        <w:spacing w:after="80"/>
        <w:jc w:val="center"/>
      </w:pPr>
      <w:r>
        <w:rPr>
          <w:rFonts w:ascii="Arial" w:cs="Arial" w:eastAsia="Arial" w:hAnsi="Arial"/>
          <w:b/>
          <w:bCs/>
          <w:color w:val="0F6E56"/>
          <w:sz w:val="36"/>
          <w:szCs w:val="36"/>
        </w:rPr>
        <w:t xml:space="preserve">Digital Literacy Portfolio</w:t>
      </w:r>
    </w:p>
    <w:p>
      <w:pPr>
        <w:spacing w:after="600"/>
        <w:jc w:val="center"/>
      </w:pPr>
      <w:r>
        <w:rPr>
          <w:rFonts w:ascii="Arial" w:cs="Arial" w:eastAsia="Arial" w:hAnsi="Arial"/>
          <w:i/>
          <w:iCs/>
          <w:color w:val="6B7A8F"/>
          <w:sz w:val="26"/>
          <w:szCs w:val="26"/>
        </w:rPr>
        <w:t xml:space="preserve">Student Digital Ambassador Assignment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D0D7E3" w:sz="1"/>
              <w:left w:val="single" w:color="D0D7E3" w:sz="1"/>
              <w:bottom w:val="single" w:color="D0D7E3" w:sz="1"/>
              <w:right w:val="single" w:color="D0D7E3" w:sz="1"/>
            </w:tcBorders>
            <w:shd w:fill="EEF2F8" w:val="clear"/>
            <w:tcMar>
              <w:top w:type="dxa" w:w="100"/>
              <w:left w:type="dxa" w:w="140"/>
              <w:bottom w:type="dxa" w:w="100"/>
              <w:right w:type="dxa" w:w="80"/>
            </w:tcMar>
          </w:tcPr>
          <w:p>
            <w:r>
              <w:rPr>
                <w:rFonts w:ascii="Arial" w:cs="Arial" w:eastAsia="Arial" w:hAnsi="Arial"/>
                <w:b/>
                <w:bCs/>
                <w:color w:val="1B2A4A"/>
                <w:sz w:val="22"/>
                <w:szCs w:val="22"/>
              </w:rPr>
              <w:t xml:space="preserve">Student Name</w:t>
            </w:r>
          </w:p>
        </w:tc>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80"/>
            </w:tcMar>
          </w:tcPr>
          <w:p>
            <w:r>
              <w:rPr>
                <w:rFonts w:ascii="Arial" w:cs="Arial" w:eastAsia="Arial" w:hAnsi="Arial"/>
                <w:color w:val="3D4F6B"/>
                <w:sz w:val="22"/>
                <w:szCs w:val="22"/>
              </w:rPr>
              <w:t xml:space="preserve">Khirad</w:t>
            </w:r>
          </w:p>
        </w:tc>
      </w:tr>
      <w:tr>
        <w:tc>
          <w:tcPr>
            <w:tcW w:type="dxa" w:w="2600"/>
            <w:tcBorders>
              <w:top w:val="single" w:color="D0D7E3" w:sz="1"/>
              <w:left w:val="single" w:color="D0D7E3" w:sz="1"/>
              <w:bottom w:val="single" w:color="D0D7E3" w:sz="1"/>
              <w:right w:val="single" w:color="D0D7E3" w:sz="1"/>
            </w:tcBorders>
            <w:shd w:fill="F8F9FC" w:val="clear"/>
            <w:tcMar>
              <w:top w:type="dxa" w:w="100"/>
              <w:left w:type="dxa" w:w="140"/>
              <w:bottom w:type="dxa" w:w="100"/>
              <w:right w:type="dxa" w:w="80"/>
            </w:tcMar>
          </w:tcPr>
          <w:p>
            <w:r>
              <w:rPr>
                <w:rFonts w:ascii="Arial" w:cs="Arial" w:eastAsia="Arial" w:hAnsi="Arial"/>
                <w:b/>
                <w:bCs/>
                <w:color w:val="1B2A4A"/>
                <w:sz w:val="22"/>
                <w:szCs w:val="22"/>
              </w:rPr>
              <w:t xml:space="preserve">Registration No.</w:t>
            </w:r>
          </w:p>
        </w:tc>
        <w:tc>
          <w:tcPr>
            <w:tcW w:type="dxa" w:w="4400"/>
            <w:tcBorders>
              <w:top w:val="single" w:color="D0D7E3" w:sz="1"/>
              <w:left w:val="single" w:color="D0D7E3" w:sz="1"/>
              <w:bottom w:val="single" w:color="D0D7E3" w:sz="1"/>
              <w:right w:val="single" w:color="D0D7E3" w:sz="1"/>
            </w:tcBorders>
            <w:shd w:fill="FAFBFD" w:val="clear"/>
            <w:tcMar>
              <w:top w:type="dxa" w:w="100"/>
              <w:left w:type="dxa" w:w="140"/>
              <w:bottom w:type="dxa" w:w="100"/>
              <w:right w:type="dxa" w:w="80"/>
            </w:tcMar>
          </w:tcPr>
          <w:p>
            <w:r>
              <w:rPr>
                <w:rFonts w:ascii="Arial" w:cs="Arial" w:eastAsia="Arial" w:hAnsi="Arial"/>
                <w:color w:val="3D4F6B"/>
                <w:sz w:val="22"/>
                <w:szCs w:val="22"/>
              </w:rPr>
              <w:t xml:space="preserve">[Your Reg. No.]</w:t>
            </w:r>
          </w:p>
        </w:tc>
      </w:tr>
      <w:tr>
        <w:tc>
          <w:tcPr>
            <w:tcW w:type="dxa" w:w="2600"/>
            <w:tcBorders>
              <w:top w:val="single" w:color="D0D7E3" w:sz="1"/>
              <w:left w:val="single" w:color="D0D7E3" w:sz="1"/>
              <w:bottom w:val="single" w:color="D0D7E3" w:sz="1"/>
              <w:right w:val="single" w:color="D0D7E3" w:sz="1"/>
            </w:tcBorders>
            <w:shd w:fill="EEF2F8" w:val="clear"/>
            <w:tcMar>
              <w:top w:type="dxa" w:w="100"/>
              <w:left w:type="dxa" w:w="140"/>
              <w:bottom w:type="dxa" w:w="100"/>
              <w:right w:type="dxa" w:w="80"/>
            </w:tcMar>
          </w:tcPr>
          <w:p>
            <w:r>
              <w:rPr>
                <w:rFonts w:ascii="Arial" w:cs="Arial" w:eastAsia="Arial" w:hAnsi="Arial"/>
                <w:b/>
                <w:bCs/>
                <w:color w:val="1B2A4A"/>
                <w:sz w:val="22"/>
                <w:szCs w:val="22"/>
              </w:rPr>
              <w:t xml:space="preserve">Branch</w:t>
            </w:r>
          </w:p>
        </w:tc>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80"/>
            </w:tcMar>
          </w:tcPr>
          <w:p>
            <w:r>
              <w:rPr>
                <w:rFonts w:ascii="Arial" w:cs="Arial" w:eastAsia="Arial" w:hAnsi="Arial"/>
                <w:color w:val="3D4F6B"/>
                <w:sz w:val="22"/>
                <w:szCs w:val="22"/>
              </w:rPr>
              <w:t xml:space="preserve">Electronics &amp; Communication Engineering (ECE)</w:t>
            </w:r>
          </w:p>
        </w:tc>
      </w:tr>
      <w:tr>
        <w:tc>
          <w:tcPr>
            <w:tcW w:type="dxa" w:w="2600"/>
            <w:tcBorders>
              <w:top w:val="single" w:color="D0D7E3" w:sz="1"/>
              <w:left w:val="single" w:color="D0D7E3" w:sz="1"/>
              <w:bottom w:val="single" w:color="D0D7E3" w:sz="1"/>
              <w:right w:val="single" w:color="D0D7E3" w:sz="1"/>
            </w:tcBorders>
            <w:shd w:fill="F8F9FC" w:val="clear"/>
            <w:tcMar>
              <w:top w:type="dxa" w:w="100"/>
              <w:left w:type="dxa" w:w="140"/>
              <w:bottom w:type="dxa" w:w="100"/>
              <w:right w:type="dxa" w:w="80"/>
            </w:tcMar>
          </w:tcPr>
          <w:p>
            <w:r>
              <w:rPr>
                <w:rFonts w:ascii="Arial" w:cs="Arial" w:eastAsia="Arial" w:hAnsi="Arial"/>
                <w:b/>
                <w:bCs/>
                <w:color w:val="1B2A4A"/>
                <w:sz w:val="22"/>
                <w:szCs w:val="22"/>
              </w:rPr>
              <w:t xml:space="preserve">Year / Semester</w:t>
            </w:r>
          </w:p>
        </w:tc>
        <w:tc>
          <w:tcPr>
            <w:tcW w:type="dxa" w:w="4400"/>
            <w:tcBorders>
              <w:top w:val="single" w:color="D0D7E3" w:sz="1"/>
              <w:left w:val="single" w:color="D0D7E3" w:sz="1"/>
              <w:bottom w:val="single" w:color="D0D7E3" w:sz="1"/>
              <w:right w:val="single" w:color="D0D7E3" w:sz="1"/>
            </w:tcBorders>
            <w:shd w:fill="FAFBFD" w:val="clear"/>
            <w:tcMar>
              <w:top w:type="dxa" w:w="100"/>
              <w:left w:type="dxa" w:w="140"/>
              <w:bottom w:type="dxa" w:w="100"/>
              <w:right w:type="dxa" w:w="80"/>
            </w:tcMar>
          </w:tcPr>
          <w:p>
            <w:r>
              <w:rPr>
                <w:rFonts w:ascii="Arial" w:cs="Arial" w:eastAsia="Arial" w:hAnsi="Arial"/>
                <w:color w:val="3D4F6B"/>
                <w:sz w:val="22"/>
                <w:szCs w:val="22"/>
              </w:rPr>
              <w:t xml:space="preserve">First Year — Semester I</w:t>
            </w:r>
          </w:p>
        </w:tc>
      </w:tr>
      <w:tr>
        <w:tc>
          <w:tcPr>
            <w:tcW w:type="dxa" w:w="2600"/>
            <w:tcBorders>
              <w:top w:val="single" w:color="D0D7E3" w:sz="1"/>
              <w:left w:val="single" w:color="D0D7E3" w:sz="1"/>
              <w:bottom w:val="single" w:color="D0D7E3" w:sz="1"/>
              <w:right w:val="single" w:color="D0D7E3" w:sz="1"/>
            </w:tcBorders>
            <w:shd w:fill="EEF2F8" w:val="clear"/>
            <w:tcMar>
              <w:top w:type="dxa" w:w="100"/>
              <w:left w:type="dxa" w:w="140"/>
              <w:bottom w:type="dxa" w:w="100"/>
              <w:right w:type="dxa" w:w="80"/>
            </w:tcMar>
          </w:tcPr>
          <w:p>
            <w:r>
              <w:rPr>
                <w:rFonts w:ascii="Arial" w:cs="Arial" w:eastAsia="Arial" w:hAnsi="Arial"/>
                <w:b/>
                <w:bCs/>
                <w:color w:val="1B2A4A"/>
                <w:sz w:val="22"/>
                <w:szCs w:val="22"/>
              </w:rPr>
              <w:t xml:space="preserve">Course Code</w:t>
            </w:r>
          </w:p>
        </w:tc>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80"/>
            </w:tcMar>
          </w:tcPr>
          <w:p>
            <w:r>
              <w:rPr>
                <w:rFonts w:ascii="Arial" w:cs="Arial" w:eastAsia="Arial" w:hAnsi="Arial"/>
                <w:color w:val="3D4F6B"/>
                <w:sz w:val="22"/>
                <w:szCs w:val="22"/>
              </w:rPr>
              <w:t xml:space="preserve">CSE0001</w:t>
            </w:r>
          </w:p>
        </w:tc>
      </w:tr>
      <w:tr>
        <w:tc>
          <w:tcPr>
            <w:tcW w:type="dxa" w:w="2600"/>
            <w:tcBorders>
              <w:top w:val="single" w:color="D0D7E3" w:sz="1"/>
              <w:left w:val="single" w:color="D0D7E3" w:sz="1"/>
              <w:bottom w:val="single" w:color="D0D7E3" w:sz="1"/>
              <w:right w:val="single" w:color="D0D7E3" w:sz="1"/>
            </w:tcBorders>
            <w:shd w:fill="F8F9FC" w:val="clear"/>
            <w:tcMar>
              <w:top w:type="dxa" w:w="100"/>
              <w:left w:type="dxa" w:w="140"/>
              <w:bottom w:type="dxa" w:w="100"/>
              <w:right w:type="dxa" w:w="80"/>
            </w:tcMar>
          </w:tcPr>
          <w:p>
            <w:r>
              <w:rPr>
                <w:rFonts w:ascii="Arial" w:cs="Arial" w:eastAsia="Arial" w:hAnsi="Arial"/>
                <w:b/>
                <w:bCs/>
                <w:color w:val="1B2A4A"/>
                <w:sz w:val="22"/>
                <w:szCs w:val="22"/>
              </w:rPr>
              <w:t xml:space="preserve">Course Title</w:t>
            </w:r>
          </w:p>
        </w:tc>
        <w:tc>
          <w:tcPr>
            <w:tcW w:type="dxa" w:w="4400"/>
            <w:tcBorders>
              <w:top w:val="single" w:color="D0D7E3" w:sz="1"/>
              <w:left w:val="single" w:color="D0D7E3" w:sz="1"/>
              <w:bottom w:val="single" w:color="D0D7E3" w:sz="1"/>
              <w:right w:val="single" w:color="D0D7E3" w:sz="1"/>
            </w:tcBorders>
            <w:shd w:fill="FAFBFD" w:val="clear"/>
            <w:tcMar>
              <w:top w:type="dxa" w:w="100"/>
              <w:left w:type="dxa" w:w="140"/>
              <w:bottom w:type="dxa" w:w="100"/>
              <w:right w:type="dxa" w:w="80"/>
            </w:tcMar>
          </w:tcPr>
          <w:p>
            <w:r>
              <w:rPr>
                <w:rFonts w:ascii="Arial" w:cs="Arial" w:eastAsia="Arial" w:hAnsi="Arial"/>
                <w:color w:val="3D4F6B"/>
                <w:sz w:val="22"/>
                <w:szCs w:val="22"/>
              </w:rPr>
              <w:t xml:space="preserve">Digital Literacy</w:t>
            </w:r>
          </w:p>
        </w:tc>
      </w:tr>
      <w:tr>
        <w:tc>
          <w:tcPr>
            <w:tcW w:type="dxa" w:w="2600"/>
            <w:tcBorders>
              <w:top w:val="single" w:color="D0D7E3" w:sz="1"/>
              <w:left w:val="single" w:color="D0D7E3" w:sz="1"/>
              <w:bottom w:val="single" w:color="D0D7E3" w:sz="1"/>
              <w:right w:val="single" w:color="D0D7E3" w:sz="1"/>
            </w:tcBorders>
            <w:shd w:fill="EEF2F8" w:val="clear"/>
            <w:tcMar>
              <w:top w:type="dxa" w:w="100"/>
              <w:left w:type="dxa" w:w="140"/>
              <w:bottom w:type="dxa" w:w="100"/>
              <w:right w:type="dxa" w:w="80"/>
            </w:tcMar>
          </w:tcPr>
          <w:p>
            <w:r>
              <w:rPr>
                <w:rFonts w:ascii="Arial" w:cs="Arial" w:eastAsia="Arial" w:hAnsi="Arial"/>
                <w:b/>
                <w:bCs/>
                <w:color w:val="1B2A4A"/>
                <w:sz w:val="22"/>
                <w:szCs w:val="22"/>
              </w:rPr>
              <w:t xml:space="preserve">Date of Submission</w:t>
            </w:r>
          </w:p>
        </w:tc>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80"/>
            </w:tcMar>
          </w:tcPr>
          <w:p>
            <w:r>
              <w:rPr>
                <w:rFonts w:ascii="Arial" w:cs="Arial" w:eastAsia="Arial" w:hAnsi="Arial"/>
                <w:color w:val="3D4F6B"/>
                <w:sz w:val="22"/>
                <w:szCs w:val="22"/>
              </w:rPr>
              <w:t xml:space="preserve">29 March 2026</w:t>
            </w:r>
          </w:p>
        </w:tc>
      </w:tr>
    </w:tbl>
    <w:p>
      <w:pPr>
        <w:spacing w:before="0" w:after="500"/>
      </w:pPr>
      <w:r>
        <w:t xml:space="preserve"/>
      </w:r>
    </w:p>
    <w:p>
      <w:pPr>
        <w:spacing w:after="60"/>
        <w:jc w:val="center"/>
      </w:pPr>
      <w:r>
        <w:rPr>
          <w:rFonts w:ascii="Arial" w:cs="Arial" w:eastAsia="Arial" w:hAnsi="Arial"/>
          <w:i/>
          <w:iCs/>
          <w:color w:val="6B7A8F"/>
          <w:sz w:val="20"/>
          <w:szCs w:val="20"/>
        </w:rPr>
        <w:t xml:space="preserve">Submitted in partial fulfilment of the requirements of</w:t>
      </w:r>
    </w:p>
    <w:p>
      <w:pPr>
        <w:spacing w:after="0"/>
        <w:jc w:val="center"/>
      </w:pPr>
      <w:r>
        <w:rPr>
          <w:rFonts w:ascii="Arial" w:cs="Arial" w:eastAsia="Arial" w:hAnsi="Arial"/>
          <w:b/>
          <w:bCs/>
          <w:color w:val="1B2A4A"/>
          <w:sz w:val="22"/>
          <w:szCs w:val="22"/>
        </w:rPr>
        <w:t xml:space="preserve">CSE0001 — Digital Literacy (1 Credit | Pass / Fail)</w:t>
      </w:r>
    </w:p>
    <w:p>
      <w:r>
        <w:br/>
      </w:r>
    </w:p>
    <w:p>
      <w:pPr>
        <w:sectPr>
          <w:pgSz w:w="11906" w:h="16838" w:orient="portrait"/>
          <w:pgMar w:top="1440" w:right="1440" w:bottom="1440" w:left="1440" w:header="708" w:footer="708" w:gutter="0"/>
          <w:pgNumType/>
          <w:docGrid w:linePitch="360"/>
        </w:sectPr>
      </w:pPr>
    </w:p>
    <w:p>
      <w:pPr>
        <w:spacing w:before="320" w:after="80"/>
        <w:jc w:val="left"/>
      </w:pPr>
      <w:r>
        <w:rPr>
          <w:rFonts w:ascii="Arial" w:cs="Arial" w:eastAsia="Arial" w:hAnsi="Arial"/>
          <w:b/>
          <w:bCs/>
          <w:color w:val="0F6E56"/>
          <w:sz w:val="28"/>
          <w:szCs w:val="28"/>
        </w:rPr>
        <w:t xml:space="preserve">1.  </w:t>
      </w:r>
      <w:r>
        <w:rPr>
          <w:rFonts w:ascii="Arial" w:cs="Arial" w:eastAsia="Arial" w:hAnsi="Arial"/>
          <w:b/>
          <w:bCs/>
          <w:color w:val="1B2A4A"/>
          <w:sz w:val="28"/>
          <w:szCs w:val="28"/>
        </w:rPr>
        <w:t xml:space="preserve">INTRODUCTION</w:t>
      </w:r>
    </w:p>
    <w:p>
      <w:pPr>
        <w:pBdr>
          <w:bottom w:val="single" w:color="0F6E56" w:sz="8" w:space="1"/>
        </w:pBdr>
        <w:spacing w:before="80" w:after="200"/>
      </w:pPr>
      <w:r>
        <w:t xml:space="preserve"/>
      </w:r>
    </w:p>
    <w:p>
      <w:pPr>
        <w:spacing w:before="0" w:after="160" w:line="360" w:lineRule="auto"/>
        <w:ind/>
        <w:jc w:val="both"/>
      </w:pPr>
      <w:r>
        <w:rPr>
          <w:rFonts w:ascii="Arial" w:cs="Arial" w:eastAsia="Arial" w:hAnsi="Arial"/>
          <w:b w:val="false"/>
          <w:bCs w:val="false"/>
          <w:i w:val="false"/>
          <w:iCs w:val="false"/>
          <w:color w:val="2C2C2C"/>
          <w:sz w:val="24"/>
          <w:szCs w:val="24"/>
        </w:rPr>
        <w:t xml:space="preserve">This project report documents the completion of the Digital Literacy Portfolio assignment for the course CSE0001 — Digital Literacy at VIT Bhopal University. The assignment was conducted in the context of an academic scenario in which each student assumed the role of a Student Digital Ambassador — a peer guide responsible for helping batchmates navigate the digital world responsibly, professionally, and safely.</w:t>
      </w:r>
    </w:p>
    <w:p>
      <w:pPr>
        <w:spacing w:before="0" w:after="60"/>
      </w:pPr>
      <w:r>
        <w:t xml:space="preserve"/>
      </w:r>
    </w:p>
    <w:p>
      <w:pPr>
        <w:spacing w:before="0" w:after="160" w:line="360" w:lineRule="auto"/>
        <w:ind/>
        <w:jc w:val="both"/>
      </w:pPr>
      <w:r>
        <w:rPr>
          <w:rFonts w:ascii="Arial" w:cs="Arial" w:eastAsia="Arial" w:hAnsi="Arial"/>
          <w:b w:val="false"/>
          <w:bCs w:val="false"/>
          <w:i w:val="false"/>
          <w:iCs w:val="false"/>
          <w:color w:val="2C2C2C"/>
          <w:sz w:val="24"/>
          <w:szCs w:val="24"/>
        </w:rPr>
        <w:t xml:space="preserve">The portfolio spans five structured tasks aligned with the five modules of the course: digital literacy awareness, professional digital presence, coding and collaboration platforms, professional communication and email etiquette, and cybercrime awareness. Each task required hands-on engagement with real tools and platforms, producing concrete deliverables — infographics, platform profiles, coding challenges, email drafts, and a cybercrime case study — all organised within a single public GitHub repository. This report presents a written account of the work completed, the tools and platforms used, key reflections, and the learning outcomes derived from each task.</w:t>
      </w:r>
    </w:p>
    <w:p>
      <w:pPr>
        <w:spacing w:before="0" w:after="200"/>
      </w:pPr>
      <w:r>
        <w:t xml:space="preserve"/>
      </w:r>
    </w:p>
    <w:p>
      <w:pPr>
        <w:spacing w:before="320" w:after="80"/>
        <w:jc w:val="left"/>
      </w:pPr>
      <w:r>
        <w:rPr>
          <w:rFonts w:ascii="Arial" w:cs="Arial" w:eastAsia="Arial" w:hAnsi="Arial"/>
          <w:b/>
          <w:bCs/>
          <w:color w:val="0F6E56"/>
          <w:sz w:val="28"/>
          <w:szCs w:val="28"/>
        </w:rPr>
        <w:t xml:space="preserve">2.  </w:t>
      </w:r>
      <w:r>
        <w:rPr>
          <w:rFonts w:ascii="Arial" w:cs="Arial" w:eastAsia="Arial" w:hAnsi="Arial"/>
          <w:b/>
          <w:bCs/>
          <w:color w:val="1B2A4A"/>
          <w:sz w:val="28"/>
          <w:szCs w:val="28"/>
        </w:rPr>
        <w:t xml:space="preserve">TASK 1 — DIGITAL LITERACY AWARENESS INFOGRAPHIC</w:t>
      </w:r>
    </w:p>
    <w:p>
      <w:pPr>
        <w:pBdr>
          <w:bottom w:val="single" w:color="0F6E56" w:sz="8" w:space="1"/>
        </w:pBdr>
        <w:spacing w:before="80" w:after="200"/>
      </w:pPr>
      <w:r>
        <w:t xml:space="preserve"/>
      </w:r>
    </w:p>
    <w:p>
      <w:pPr>
        <w:spacing w:before="200" w:after="60"/>
      </w:pPr>
      <w:r>
        <w:rPr>
          <w:rFonts w:ascii="Arial" w:cs="Arial" w:eastAsia="Arial" w:hAnsi="Arial"/>
          <w:b/>
          <w:bCs/>
          <w:color w:val="6B7A8F"/>
          <w:spacing w:val="60"/>
          <w:sz w:val="18"/>
          <w:szCs w:val="18"/>
        </w:rPr>
        <w:t xml:space="preserve">TOOL USED</w:t>
      </w:r>
    </w:p>
    <w:p>
      <w:pPr>
        <w:spacing w:before="0" w:after="160" w:line="360" w:lineRule="auto"/>
        <w:ind/>
        <w:jc w:val="both"/>
      </w:pPr>
      <w:r>
        <w:rPr>
          <w:rFonts w:ascii="Arial" w:cs="Arial" w:eastAsia="Arial" w:hAnsi="Arial"/>
          <w:b w:val="false"/>
          <w:bCs w:val="false"/>
          <w:i w:val="false"/>
          <w:iCs w:val="false"/>
          <w:color w:val="2C2C2C"/>
          <w:sz w:val="24"/>
          <w:szCs w:val="24"/>
        </w:rPr>
        <w:t xml:space="preserve">The infographic for Task 1 was designed using a custom HTML/CSS layout rendered and exported as a high-resolution PNG image. The design was structured as a single A4-sized dark-themed poster, organised into a clean two-by-two card grid layout.</w:t>
      </w:r>
    </w:p>
    <w:p>
      <w:pPr>
        <w:spacing w:before="200" w:after="60"/>
      </w:pPr>
      <w:r>
        <w:rPr>
          <w:rFonts w:ascii="Arial" w:cs="Arial" w:eastAsia="Arial" w:hAnsi="Arial"/>
          <w:b/>
          <w:bCs/>
          <w:color w:val="6B7A8F"/>
          <w:spacing w:val="60"/>
          <w:sz w:val="18"/>
          <w:szCs w:val="18"/>
        </w:rPr>
        <w:t xml:space="preserve">WHAT WAS CREATED</w:t>
      </w:r>
    </w:p>
    <w:p>
      <w:pPr>
        <w:spacing w:before="0" w:after="160" w:line="360" w:lineRule="auto"/>
        <w:ind/>
        <w:jc w:val="both"/>
      </w:pPr>
      <w:r>
        <w:rPr>
          <w:rFonts w:ascii="Arial" w:cs="Arial" w:eastAsia="Arial" w:hAnsi="Arial"/>
          <w:b w:val="false"/>
          <w:bCs w:val="false"/>
          <w:i w:val="false"/>
          <w:iCs w:val="false"/>
          <w:color w:val="2C2C2C"/>
          <w:sz w:val="24"/>
          <w:szCs w:val="24"/>
        </w:rPr>
        <w:t xml:space="preserve">The infographic, titled 'Digital Literacy Starter Pack for Students,' covers four core sections: (1) a definition of digital literacy and its academic and career significance; (2) a curated grid of six essential tools for students — Google Docs, GitHub, LinkedIn, Canva, Google Forms, and HackerRank — each annotated with their primary use case; (3) four safe internet practices focused on password hygiene, link verification, OTP safety, and cybercrime reporting; and (4) a professional email etiquette guide presented as a mock email structure. The visual design used colour-coded cards with accent borders and monospace typography to achieve a modern, tech-forward aesthetic appropriate for a first-year B.Tech audience.</w:t>
      </w:r>
    </w:p>
    <w:p>
      <w:pPr>
        <w:spacing w:before="200" w:after="60"/>
      </w:pPr>
      <w:r>
        <w:rPr>
          <w:rFonts w:ascii="Arial" w:cs="Arial" w:eastAsia="Arial" w:hAnsi="Arial"/>
          <w:b/>
          <w:bCs/>
          <w:color w:val="6B7A8F"/>
          <w:spacing w:val="60"/>
          <w:sz w:val="18"/>
          <w:szCs w:val="18"/>
        </w:rPr>
        <w:t xml:space="preserve">REFLECTION</w:t>
      </w:r>
    </w:p>
    <w:p>
      <w:pPr>
        <w:spacing w:before="0" w:after="160" w:line="360" w:lineRule="auto"/>
        <w:ind/>
        <w:jc w:val="both"/>
      </w:pPr>
      <w:r>
        <w:rPr>
          <w:rFonts w:ascii="Arial" w:cs="Arial" w:eastAsia="Arial" w:hAnsi="Arial"/>
          <w:b w:val="false"/>
          <w:bCs w:val="false"/>
          <w:i w:val="false"/>
          <w:iCs w:val="false"/>
          <w:color w:val="2C2C2C"/>
          <w:sz w:val="24"/>
          <w:szCs w:val="24"/>
        </w:rPr>
        <w:t xml:space="preserve">The most interesting aspect of this task was translating abstract concepts — such as what it means to be 'digitally literate' — into a scannable, visually appealing one-page resource. The key challenge lay in balancing information density with visual clarity: every section needed to be informative without becoming text-heavy. Designing the email mock-up inside the fourth card — rather than writing email rules as plain bullet points — was a deliberate choice that made the etiquette section far more concrete and memorable. This task reinforced the value of visual communication as a skill in its own right.</w:t>
      </w:r>
    </w:p>
    <w:p>
      <w:pPr>
        <w:spacing w:before="0" w:after="200"/>
      </w:pPr>
      <w:r>
        <w:t xml:space="preserve"/>
      </w:r>
    </w:p>
    <w:p>
      <w:pPr>
        <w:spacing w:before="320" w:after="80"/>
        <w:jc w:val="left"/>
      </w:pPr>
      <w:r>
        <w:rPr>
          <w:rFonts w:ascii="Arial" w:cs="Arial" w:eastAsia="Arial" w:hAnsi="Arial"/>
          <w:b/>
          <w:bCs/>
          <w:color w:val="0F6E56"/>
          <w:sz w:val="28"/>
          <w:szCs w:val="28"/>
        </w:rPr>
        <w:t xml:space="preserve">3.  </w:t>
      </w:r>
      <w:r>
        <w:rPr>
          <w:rFonts w:ascii="Arial" w:cs="Arial" w:eastAsia="Arial" w:hAnsi="Arial"/>
          <w:b/>
          <w:bCs/>
          <w:color w:val="1B2A4A"/>
          <w:sz w:val="28"/>
          <w:szCs w:val="28"/>
        </w:rPr>
        <w:t xml:space="preserve">TASK 2 — STUDENT DIGITAL PORTFOLIO</w:t>
      </w:r>
    </w:p>
    <w:p>
      <w:pPr>
        <w:pBdr>
          <w:bottom w:val="single" w:color="0F6E56" w:sz="8" w:space="1"/>
        </w:pBdr>
        <w:spacing w:before="80" w:after="200"/>
      </w:pPr>
      <w:r>
        <w:t xml:space="preserve"/>
      </w:r>
    </w:p>
    <w:p>
      <w:pPr>
        <w:spacing w:before="200" w:after="60"/>
      </w:pPr>
      <w:r>
        <w:rPr>
          <w:rFonts w:ascii="Arial" w:cs="Arial" w:eastAsia="Arial" w:hAnsi="Arial"/>
          <w:b/>
          <w:bCs/>
          <w:color w:val="6B7A8F"/>
          <w:spacing w:val="60"/>
          <w:sz w:val="18"/>
          <w:szCs w:val="18"/>
        </w:rPr>
        <w:t xml:space="preserve">PLATFORMS SET UP</w:t>
      </w:r>
    </w:p>
    <w:p>
      <w:pPr>
        <w:spacing w:before="0" w:after="160" w:line="360" w:lineRule="auto"/>
        <w:ind/>
        <w:jc w:val="both"/>
      </w:pPr>
      <w:r>
        <w:rPr>
          <w:rFonts w:ascii="Arial" w:cs="Arial" w:eastAsia="Arial" w:hAnsi="Arial"/>
          <w:b w:val="false"/>
          <w:bCs w:val="false"/>
          <w:i w:val="false"/>
          <w:iCs w:val="false"/>
          <w:color w:val="2C2C2C"/>
          <w:sz w:val="24"/>
          <w:szCs w:val="24"/>
        </w:rPr>
        <w:t xml:space="preserve">Three platforms were set up for Task 2: GitHub, LinkedIn, and Kaggle. Each was created or updated using the college email address, with profiles kept professional and minimal as recommended in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0F6E56" w:sz="1"/>
              <w:left w:val="single" w:color="0F6E56" w:sz="1"/>
              <w:bottom w:val="single" w:color="0F6E56" w:sz="1"/>
              <w:right w:val="single" w:color="0F6E56"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GitHub</w:t>
            </w:r>
          </w:p>
        </w:tc>
        <w:tc>
          <w:tcPr>
            <w:tcW w:type="dxa" w:w="7586"/>
            <w:tcBorders>
              <w:top w:val="single" w:color="0F6E56" w:sz="1"/>
              <w:left w:val="single" w:color="0F6E56" w:sz="1"/>
              <w:bottom w:val="single" w:color="0F6E56" w:sz="1"/>
              <w:right w:val="single" w:color="0F6E56" w:sz="1"/>
            </w:tcBorders>
            <w:shd w:fill="E1F5EE" w:val="clear"/>
            <w:tcMar>
              <w:top w:type="dxa" w:w="100"/>
              <w:left w:type="dxa" w:w="160"/>
              <w:bottom w:type="dxa" w:w="100"/>
              <w:right w:type="dxa" w:w="160"/>
            </w:tcMar>
          </w:tcPr>
          <w:p>
            <w:pPr>
              <w:jc w:val="left"/>
            </w:pPr>
            <w:r>
              <w:rPr>
                <w:rFonts w:ascii="Arial" w:cs="Arial" w:eastAsia="Arial" w:hAnsi="Arial"/>
                <w:b w:val="false"/>
                <w:bCs w:val="false"/>
                <w:color w:val="1B3A30"/>
                <w:sz w:val="22"/>
                <w:szCs w:val="22"/>
              </w:rPr>
              <w:t xml:space="preserve">A profile README repository was created under the username, containing the student's name, branch (B.Tech ECE), current year, and a personal learning objective. GitHub serves as the primary platform for hosting code projects, version-controlled assignments, and this Digital Literacy Portfolio repository itself.</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0F6E56" w:sz="1"/>
              <w:left w:val="single" w:color="0F6E56" w:sz="1"/>
              <w:bottom w:val="single" w:color="0F6E56" w:sz="1"/>
              <w:right w:val="single" w:color="0F6E56"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LinkedIn</w:t>
            </w:r>
          </w:p>
        </w:tc>
        <w:tc>
          <w:tcPr>
            <w:tcW w:type="dxa" w:w="7586"/>
            <w:tcBorders>
              <w:top w:val="single" w:color="0F6E56" w:sz="1"/>
              <w:left w:val="single" w:color="0F6E56" w:sz="1"/>
              <w:bottom w:val="single" w:color="0F6E56" w:sz="1"/>
              <w:right w:val="single" w:color="0F6E56" w:sz="1"/>
            </w:tcBorders>
            <w:shd w:fill="E1F5EE" w:val="clear"/>
            <w:tcMar>
              <w:top w:type="dxa" w:w="100"/>
              <w:left w:type="dxa" w:w="160"/>
              <w:bottom w:type="dxa" w:w="100"/>
              <w:right w:type="dxa" w:w="160"/>
            </w:tcMar>
          </w:tcPr>
          <w:p>
            <w:pPr>
              <w:jc w:val="left"/>
            </w:pPr>
            <w:r>
              <w:rPr>
                <w:rFonts w:ascii="Arial" w:cs="Arial" w:eastAsia="Arial" w:hAnsi="Arial"/>
                <w:b w:val="false"/>
                <w:bCs w:val="false"/>
                <w:color w:val="1B3A30"/>
                <w:sz w:val="22"/>
                <w:szCs w:val="22"/>
              </w:rPr>
              <w:t xml:space="preserve">The Education section was completed with the B.Tech ECE programme at VIT Bhopal University and the expected graduation year. LinkedIn is the global professional networking platform used by recruiters, internship coordinators, and industry professionals to discover and evaluate candidates.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0F6E56" w:sz="1"/>
              <w:left w:val="single" w:color="0F6E56" w:sz="1"/>
              <w:bottom w:val="single" w:color="0F6E56" w:sz="1"/>
              <w:right w:val="single" w:color="0F6E56"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Kaggle</w:t>
            </w:r>
          </w:p>
        </w:tc>
        <w:tc>
          <w:tcPr>
            <w:tcW w:type="dxa" w:w="7586"/>
            <w:tcBorders>
              <w:top w:val="single" w:color="0F6E56" w:sz="1"/>
              <w:left w:val="single" w:color="0F6E56" w:sz="1"/>
              <w:bottom w:val="single" w:color="0F6E56" w:sz="1"/>
              <w:right w:val="single" w:color="0F6E56" w:sz="1"/>
            </w:tcBorders>
            <w:shd w:fill="E1F5EE" w:val="clear"/>
            <w:tcMar>
              <w:top w:type="dxa" w:w="100"/>
              <w:left w:type="dxa" w:w="160"/>
              <w:bottom w:type="dxa" w:w="100"/>
              <w:right w:type="dxa" w:w="160"/>
            </w:tcMar>
          </w:tcPr>
          <w:p>
            <w:pPr>
              <w:jc w:val="left"/>
            </w:pPr>
            <w:r>
              <w:rPr>
                <w:rFonts w:ascii="Arial" w:cs="Arial" w:eastAsia="Arial" w:hAnsi="Arial"/>
                <w:b w:val="false"/>
                <w:bCs w:val="false"/>
                <w:color w:val="1B3A30"/>
                <w:sz w:val="22"/>
                <w:szCs w:val="22"/>
              </w:rPr>
              <w:t xml:space="preserve">A Kaggle account was created and linked to the GitHub profile. Kaggle is a data science and machine learning competition platform that also hosts datasets, notebooks, and learning paths — highly relevant for an ECE student aligning towards AI/ML.</w:t>
            </w:r>
          </w:p>
        </w:tc>
      </w:tr>
    </w:tbl>
    <w:p>
      <w:pPr>
        <w:spacing w:before="0" w:after="120"/>
      </w:pPr>
      <w:r>
        <w:t xml:space="preserve"/>
      </w:r>
    </w:p>
    <w:p>
      <w:pPr>
        <w:spacing w:before="200" w:after="60"/>
      </w:pPr>
      <w:r>
        <w:rPr>
          <w:rFonts w:ascii="Arial" w:cs="Arial" w:eastAsia="Arial" w:hAnsi="Arial"/>
          <w:b/>
          <w:bCs/>
          <w:color w:val="6B7A8F"/>
          <w:spacing w:val="60"/>
          <w:sz w:val="18"/>
          <w:szCs w:val="18"/>
        </w:rPr>
        <w:t xml:space="preserve">FUTURE PLANS</w:t>
      </w:r>
    </w:p>
    <w:p>
      <w:pPr>
        <w:spacing w:before="0" w:after="160" w:line="360" w:lineRule="auto"/>
        <w:ind/>
        <w:jc w:val="both"/>
      </w:pPr>
      <w:r>
        <w:rPr>
          <w:rFonts w:ascii="Arial" w:cs="Arial" w:eastAsia="Arial" w:hAnsi="Arial"/>
          <w:b w:val="false"/>
          <w:bCs w:val="false"/>
          <w:i w:val="false"/>
          <w:iCs w:val="false"/>
          <w:color w:val="2C2C2C"/>
          <w:sz w:val="24"/>
          <w:szCs w:val="24"/>
        </w:rPr>
        <w:t xml:space="preserve">Over the next four years, these platforms will serve as a cumulative professional record. GitHub will host increasingly complex projects as programming skills develop. LinkedIn will be updated with internship experiences, certifications, and academic achievements. Kaggle will be used to participate in beginner-level data science competitions and to build a portfolio of analytical work. Together, they form a living professional identity that will grow alongside the degree.</w:t>
      </w:r>
    </w:p>
    <w:p>
      <w:pPr>
        <w:spacing w:before="0" w:after="200"/>
      </w:pPr>
      <w:r>
        <w:t xml:space="preserve"/>
      </w:r>
    </w:p>
    <w:p>
      <w:pPr>
        <w:spacing w:before="320" w:after="80"/>
        <w:jc w:val="left"/>
      </w:pPr>
      <w:r>
        <w:rPr>
          <w:rFonts w:ascii="Arial" w:cs="Arial" w:eastAsia="Arial" w:hAnsi="Arial"/>
          <w:b/>
          <w:bCs/>
          <w:color w:val="0F6E56"/>
          <w:sz w:val="28"/>
          <w:szCs w:val="28"/>
        </w:rPr>
        <w:t xml:space="preserve">4.  </w:t>
      </w:r>
      <w:r>
        <w:rPr>
          <w:rFonts w:ascii="Arial" w:cs="Arial" w:eastAsia="Arial" w:hAnsi="Arial"/>
          <w:b/>
          <w:bCs/>
          <w:color w:val="1B2A4A"/>
          <w:sz w:val="28"/>
          <w:szCs w:val="28"/>
        </w:rPr>
        <w:t xml:space="preserve">TASK 3 — CODING AND COLLABORATION PLATFORMS</w:t>
      </w:r>
    </w:p>
    <w:p>
      <w:pPr>
        <w:pBdr>
          <w:bottom w:val="single" w:color="0F6E56" w:sz="8" w:space="1"/>
        </w:pBdr>
        <w:spacing w:before="80" w:after="200"/>
      </w:pPr>
      <w:r>
        <w:t xml:space="preserve"/>
      </w:r>
    </w:p>
    <w:p>
      <w:pPr>
        <w:spacing w:before="200" w:after="60"/>
      </w:pPr>
      <w:r>
        <w:rPr>
          <w:rFonts w:ascii="Arial" w:cs="Arial" w:eastAsia="Arial" w:hAnsi="Arial"/>
          <w:b/>
          <w:bCs/>
          <w:color w:val="6B7A8F"/>
          <w:spacing w:val="60"/>
          <w:sz w:val="18"/>
          <w:szCs w:val="18"/>
        </w:rPr>
        <w:t xml:space="preserve">PART A — CODING PRACTICE (HACKERRANK)</w:t>
      </w:r>
    </w:p>
    <w:p>
      <w:pPr>
        <w:spacing w:before="0" w:after="160" w:line="360" w:lineRule="auto"/>
        <w:ind/>
        <w:jc w:val="both"/>
      </w:pPr>
      <w:r>
        <w:rPr>
          <w:rFonts w:ascii="Arial" w:cs="Arial" w:eastAsia="Arial" w:hAnsi="Arial"/>
          <w:b w:val="false"/>
          <w:bCs w:val="false"/>
          <w:i w:val="false"/>
          <w:iCs w:val="false"/>
          <w:color w:val="2C2C2C"/>
          <w:sz w:val="24"/>
          <w:szCs w:val="24"/>
        </w:rPr>
        <w:t xml:space="preserve">HackerRank was selected as the coding practice platform for Part A. After creating an account, the 'Solve Me First' challenge under the Problem Solving domain was completed. This beginner-level challenge required reading two integers from standard input and returning their sum — a deliberately simple problem designed to ensure that the development environment, input/output handling, and submission system are all functioning correctly. The completed challenge page and score were screenshotted and saved to the task-3-platforms/ folder.</w:t>
      </w:r>
    </w:p>
    <w:p>
      <w:pPr>
        <w:spacing w:before="200" w:after="60"/>
      </w:pPr>
      <w:r>
        <w:rPr>
          <w:rFonts w:ascii="Arial" w:cs="Arial" w:eastAsia="Arial" w:hAnsi="Arial"/>
          <w:b/>
          <w:bCs/>
          <w:color w:val="6B7A8F"/>
          <w:spacing w:val="60"/>
          <w:sz w:val="18"/>
          <w:szCs w:val="18"/>
        </w:rPr>
        <w:t xml:space="preserve">PART B — GOOGLE WORKSPACE (GOOGLE FORMS)</w:t>
      </w:r>
    </w:p>
    <w:p>
      <w:pPr>
        <w:spacing w:before="0" w:after="160" w:line="360" w:lineRule="auto"/>
        <w:ind/>
        <w:jc w:val="both"/>
      </w:pPr>
      <w:r>
        <w:rPr>
          <w:rFonts w:ascii="Arial" w:cs="Arial" w:eastAsia="Arial" w:hAnsi="Arial"/>
          <w:b w:val="false"/>
          <w:bCs w:val="false"/>
          <w:i w:val="false"/>
          <w:iCs w:val="false"/>
          <w:color w:val="2C2C2C"/>
          <w:sz w:val="24"/>
          <w:szCs w:val="24"/>
        </w:rPr>
        <w:t xml:space="preserve">A five-question Digital Literacy Awareness Quiz was created using Google Forms. The quiz included: (1) a multiple-choice question on the definition of phishing, (2) a short-answer question asking for one safe browsing habit, (3) a multiple-choice question on two-factor authentication, (4) a multiple-choice question on what HTTPS signifies, and (5) a multiple-choice question on the most appropriate platform for coding practice. Responses were linked to a Google Sheet, enabling automatic data capture. The form link was added to the project README and screenshots of both the form and the linked Sheet were saved to the task-3-platforms/ folder.</w:t>
      </w:r>
    </w:p>
    <w:p>
      <w:pPr>
        <w:spacing w:before="200" w:after="60"/>
      </w:pPr>
      <w:r>
        <w:rPr>
          <w:rFonts w:ascii="Arial" w:cs="Arial" w:eastAsia="Arial" w:hAnsi="Arial"/>
          <w:b/>
          <w:bCs/>
          <w:color w:val="6B7A8F"/>
          <w:spacing w:val="60"/>
          <w:sz w:val="18"/>
          <w:szCs w:val="18"/>
        </w:rPr>
        <w:t xml:space="preserve">REFLECTION</w:t>
      </w:r>
    </w:p>
    <w:p>
      <w:pPr>
        <w:spacing w:before="0" w:after="160" w:line="360" w:lineRule="auto"/>
        <w:ind/>
        <w:jc w:val="both"/>
      </w:pPr>
      <w:r>
        <w:rPr>
          <w:rFonts w:ascii="Arial" w:cs="Arial" w:eastAsia="Arial" w:hAnsi="Arial"/>
          <w:b w:val="false"/>
          <w:bCs w:val="false"/>
          <w:i w:val="false"/>
          <w:iCs w:val="false"/>
          <w:color w:val="2C2C2C"/>
          <w:sz w:val="24"/>
          <w:szCs w:val="24"/>
        </w:rPr>
        <w:t xml:space="preserve">The Google Form activity was more purposeful than it initially appeared. Building a quiz required thinking from the perspective of the audience — identifying which concepts were genuinely unfamiliar to first-year students and phrasing questions clearly enough to test understanding rather than guessing. This is directly aligned with the Digital Ambassador role: equipping peers with knowledge, not just demonstrating one's own. HackerRank, meanwhile, provided a first exposure to competitive programming environments — a platform that will become progressively more important through the degree.</w:t>
      </w:r>
    </w:p>
    <w:p>
      <w:pPr>
        <w:spacing w:before="0" w:after="200"/>
      </w:pPr>
      <w:r>
        <w:t xml:space="preserve"/>
      </w:r>
    </w:p>
    <w:p>
      <w:pPr>
        <w:spacing w:before="320" w:after="80"/>
        <w:jc w:val="left"/>
      </w:pPr>
      <w:r>
        <w:rPr>
          <w:rFonts w:ascii="Arial" w:cs="Arial" w:eastAsia="Arial" w:hAnsi="Arial"/>
          <w:b/>
          <w:bCs/>
          <w:color w:val="0F6E56"/>
          <w:sz w:val="28"/>
          <w:szCs w:val="28"/>
        </w:rPr>
        <w:t xml:space="preserve">5.  </w:t>
      </w:r>
      <w:r>
        <w:rPr>
          <w:rFonts w:ascii="Arial" w:cs="Arial" w:eastAsia="Arial" w:hAnsi="Arial"/>
          <w:b/>
          <w:bCs/>
          <w:color w:val="1B2A4A"/>
          <w:sz w:val="28"/>
          <w:szCs w:val="28"/>
        </w:rPr>
        <w:t xml:space="preserve">TASK 4 — PROFESSIONAL EMAIL AND ETIQUETTE GUIDE</w:t>
      </w:r>
    </w:p>
    <w:p>
      <w:pPr>
        <w:pBdr>
          <w:bottom w:val="single" w:color="0F6E56" w:sz="8" w:space="1"/>
        </w:pBdr>
        <w:spacing w:before="80" w:after="200"/>
      </w:pPr>
      <w:r>
        <w:t xml:space="preserve"/>
      </w:r>
    </w:p>
    <w:p>
      <w:pPr>
        <w:spacing w:before="200" w:after="60"/>
      </w:pPr>
      <w:r>
        <w:rPr>
          <w:rFonts w:ascii="Arial" w:cs="Arial" w:eastAsia="Arial" w:hAnsi="Arial"/>
          <w:b/>
          <w:bCs/>
          <w:color w:val="6B7A8F"/>
          <w:spacing w:val="60"/>
          <w:sz w:val="18"/>
          <w:szCs w:val="18"/>
        </w:rPr>
        <w:t xml:space="preserve">PART A — PROFESSIONAL EMAIL DRAFTS</w:t>
      </w:r>
    </w:p>
    <w:p>
      <w:pPr>
        <w:spacing w:before="0" w:after="160" w:line="360" w:lineRule="auto"/>
        <w:ind/>
        <w:jc w:val="both"/>
      </w:pPr>
      <w:r>
        <w:rPr>
          <w:rFonts w:ascii="Arial" w:cs="Arial" w:eastAsia="Arial" w:hAnsi="Arial"/>
          <w:b w:val="false"/>
          <w:bCs w:val="false"/>
          <w:i w:val="false"/>
          <w:iCs w:val="false"/>
          <w:color w:val="2C2C2C"/>
          <w:sz w:val="24"/>
          <w:szCs w:val="24"/>
        </w:rPr>
        <w:t xml:space="preserve">Two professional emails were composed for Task 4. The first was a request from a student to their professor seeking an extension on an assignment deadline. The email opened with a formal salutation, stated the reason for the request clearly and briefly, specified the proposed new submission date, offered to share the current draft as evidence of progress, and closed with a proper sign-off including full name and registration number. The second email was directed to an internship coordinator at a company, expressing interest in a summer internship opportunity. This email was structured to make a strong first impression — introducing the student's programme and institution, referencing the company's work in a relevant field, articulating transferable skills, and inviting a conversation. Both emails were saved as a plain text document in the task-4-email-etiquette/ folder.</w:t>
      </w:r>
    </w:p>
    <w:p>
      <w:pPr>
        <w:spacing w:before="200" w:after="60"/>
      </w:pPr>
      <w:r>
        <w:rPr>
          <w:rFonts w:ascii="Arial" w:cs="Arial" w:eastAsia="Arial" w:hAnsi="Arial"/>
          <w:b/>
          <w:bCs/>
          <w:color w:val="6B7A8F"/>
          <w:spacing w:val="60"/>
          <w:sz w:val="18"/>
          <w:szCs w:val="18"/>
        </w:rPr>
        <w:t xml:space="preserve">SOCIAL MEDIA CHECKLIST</w:t>
      </w:r>
    </w:p>
    <w:p>
      <w:pPr>
        <w:spacing w:before="0" w:after="160" w:line="360" w:lineRule="auto"/>
        <w:ind/>
        <w:jc w:val="both"/>
      </w:pPr>
      <w:r>
        <w:rPr>
          <w:rFonts w:ascii="Arial" w:cs="Arial" w:eastAsia="Arial" w:hAnsi="Arial"/>
          <w:b w:val="false"/>
          <w:bCs w:val="false"/>
          <w:i w:val="false"/>
          <w:iCs w:val="false"/>
          <w:color w:val="2C2C2C"/>
          <w:sz w:val="24"/>
          <w:szCs w:val="24"/>
        </w:rPr>
        <w:t xml:space="preserve">A Social Media Do's and Don'ts checklist was created with six entries in each category, saved as social-media-checklist.md. Do's included maintaining professional profiles, enabling privacy settings, thinking before posting, using platforms for learning and networking, crediting original creators, and reporting harmful content. Don'ts included sharing personal or financial information publicly, engaging in cyberbullying, spreading unverified information, accepting unknown connection requests, venting about peers or institutions online, and reusing passwords across platforms.</w:t>
      </w:r>
    </w:p>
    <w:p>
      <w:pPr>
        <w:spacing w:before="200" w:after="60"/>
      </w:pPr>
      <w:r>
        <w:rPr>
          <w:rFonts w:ascii="Arial" w:cs="Arial" w:eastAsia="Arial" w:hAnsi="Arial"/>
          <w:b/>
          <w:bCs/>
          <w:color w:val="6B7A8F"/>
          <w:spacing w:val="60"/>
          <w:sz w:val="18"/>
          <w:szCs w:val="18"/>
        </w:rPr>
        <w:t xml:space="preserve">REFLECTION — POOR DIGITAL COMMUNICATION SCENARIO</w:t>
      </w:r>
    </w:p>
    <w:p>
      <w:pPr>
        <w:spacing w:before="0" w:after="160" w:line="360" w:lineRule="auto"/>
        <w:ind/>
        <w:jc w:val="both"/>
      </w:pPr>
      <w:r>
        <w:rPr>
          <w:rFonts w:ascii="Arial" w:cs="Arial" w:eastAsia="Arial" w:hAnsi="Arial"/>
          <w:b w:val="false"/>
          <w:bCs w:val="false"/>
          <w:i w:val="false"/>
          <w:iCs w:val="false"/>
          <w:color w:val="2C2C2C"/>
          <w:sz w:val="24"/>
          <w:szCs w:val="24"/>
        </w:rPr>
        <w:t xml:space="preserve">A relevant example of poor digital communication is the 2017 incident in which a student in India posted a frustrated rant on a public Facebook group criticising her college and naming faculty members after a grade dispute. The post was screenshot and shared widely, eventually reaching the institution's administration. The student faced disciplinary proceedings and the post was cited as a conduct violation. Had the student instead sent a formal email to the academic grievance cell — structured, polite, and evidence-based — the same concern would have been addressed through the proper channel without reputational or academic consequences. The lesson is clear: digital communication is permanent, and the choice of channel and tone carries real-world consequences.</w:t>
      </w:r>
    </w:p>
    <w:p>
      <w:pPr>
        <w:spacing w:before="0" w:after="200"/>
      </w:pPr>
      <w:r>
        <w:t xml:space="preserve"/>
      </w:r>
    </w:p>
    <w:p>
      <w:pPr>
        <w:spacing w:before="320" w:after="80"/>
        <w:jc w:val="left"/>
      </w:pPr>
      <w:r>
        <w:rPr>
          <w:rFonts w:ascii="Arial" w:cs="Arial" w:eastAsia="Arial" w:hAnsi="Arial"/>
          <w:b/>
          <w:bCs/>
          <w:color w:val="0F6E56"/>
          <w:sz w:val="28"/>
          <w:szCs w:val="28"/>
        </w:rPr>
        <w:t xml:space="preserve">6.  </w:t>
      </w:r>
      <w:r>
        <w:rPr>
          <w:rFonts w:ascii="Arial" w:cs="Arial" w:eastAsia="Arial" w:hAnsi="Arial"/>
          <w:b/>
          <w:bCs/>
          <w:color w:val="1B2A4A"/>
          <w:sz w:val="28"/>
          <w:szCs w:val="28"/>
        </w:rPr>
        <w:t xml:space="preserve">TASK 5 — CYBERCRIME AWARENESS: UPI FRAUD</w:t>
      </w:r>
    </w:p>
    <w:p>
      <w:pPr>
        <w:pBdr>
          <w:bottom w:val="single" w:color="0F6E56" w:sz="8" w:space="1"/>
        </w:pBdr>
        <w:spacing w:before="80" w:after="200"/>
      </w:pPr>
      <w:r>
        <w:t xml:space="preserve"/>
      </w:r>
    </w:p>
    <w:p>
      <w:pPr>
        <w:spacing w:before="200" w:after="60"/>
      </w:pPr>
      <w:r>
        <w:rPr>
          <w:rFonts w:ascii="Arial" w:cs="Arial" w:eastAsia="Arial" w:hAnsi="Arial"/>
          <w:b/>
          <w:bCs/>
          <w:color w:val="6B7A8F"/>
          <w:spacing w:val="60"/>
          <w:sz w:val="18"/>
          <w:szCs w:val="18"/>
        </w:rPr>
        <w:t xml:space="preserve">CASE STUDY SUMMARY</w:t>
      </w:r>
    </w:p>
    <w:p>
      <w:pPr>
        <w:spacing w:before="0" w:after="160" w:line="360" w:lineRule="auto"/>
        <w:ind/>
        <w:jc w:val="both"/>
      </w:pPr>
      <w:r>
        <w:rPr>
          <w:rFonts w:ascii="Arial" w:cs="Arial" w:eastAsia="Arial" w:hAnsi="Arial"/>
          <w:b w:val="false"/>
          <w:bCs w:val="false"/>
          <w:i w:val="false"/>
          <w:iCs w:val="false"/>
          <w:color w:val="2C2C2C"/>
          <w:sz w:val="24"/>
          <w:szCs w:val="24"/>
        </w:rPr>
        <w:t xml:space="preserve">The cybercrime type selected for Task 5 was UPI (Unified Payments Interface) fraud, specifically the 'Fake Scholarship Refund' variant most commonly targeting college students. The case study, filed as casestudy.md, described a realistic fictional scenario in which a first-year student receives a WhatsApp message from a number posing as the National Student Scholarship Cell, is guided through a fraudulent UPI Collect Request disguised as a refund acceptance, and loses money by entering their UPI PIN — believing they were receiving funds. The case study walked through the crime's mechanism in five steps: the initial hook, trust-building through impersonation, the Collect Request trap, OTP extraction, and the fraudster's disappearance. Supporting statistics were drawn from the Ministry of Finance (Lok Sabha response, FY 2024–25), LocalCircles (June 2025), IJRCMS (Vol. 6 No. 6, 2024), and the RBI Annual Report.</w:t>
      </w:r>
    </w:p>
    <w:p>
      <w:pPr>
        <w:spacing w:before="200" w:after="60"/>
      </w:pPr>
      <w:r>
        <w:rPr>
          <w:rFonts w:ascii="Arial" w:cs="Arial" w:eastAsia="Arial" w:hAnsi="Arial"/>
          <w:b/>
          <w:bCs/>
          <w:color w:val="6B7A8F"/>
          <w:spacing w:val="60"/>
          <w:sz w:val="18"/>
          <w:szCs w:val="18"/>
        </w:rPr>
        <w:t xml:space="preserve">WHAT SURPRISED ME MOST</w:t>
      </w:r>
    </w:p>
    <w:p>
      <w:pPr>
        <w:spacing w:before="0" w:after="160" w:line="360" w:lineRule="auto"/>
        <w:ind/>
        <w:jc w:val="both"/>
      </w:pPr>
      <w:r>
        <w:rPr>
          <w:rFonts w:ascii="Arial" w:cs="Arial" w:eastAsia="Arial" w:hAnsi="Arial"/>
          <w:b w:val="false"/>
          <w:bCs w:val="false"/>
          <w:i w:val="false"/>
          <w:iCs w:val="false"/>
          <w:color w:val="2C2C2C"/>
          <w:sz w:val="24"/>
          <w:szCs w:val="24"/>
        </w:rPr>
        <w:t xml:space="preserve">The most surprising finding during this task was the scale and irreversibility of UPI fraud. According to Ministry of Finance data, over 6.32 lakh UPI fraud cases were reported in FY 2024–25 alone — and only approximately 6% of disputed transactions are successfully recovered even when reported promptly. What was equally striking was how technically simple the scam is: it does not require any hacking or sophisticated malware. It relies entirely on the victim's misunderstanding of one feature — the UPI Collect Request — and their trust in a voice on a phone. The entire crime hinges on a single piece of knowledge the victim did not have: that entering a UPI PIN always means sending money, never receiving it.</w:t>
      </w:r>
    </w:p>
    <w:p>
      <w:pPr>
        <w:spacing w:before="200" w:after="60"/>
      </w:pPr>
      <w:r>
        <w:rPr>
          <w:rFonts w:ascii="Arial" w:cs="Arial" w:eastAsia="Arial" w:hAnsi="Arial"/>
          <w:b/>
          <w:bCs/>
          <w:color w:val="6B7A8F"/>
          <w:spacing w:val="60"/>
          <w:sz w:val="18"/>
          <w:szCs w:val="18"/>
        </w:rPr>
        <w:t xml:space="preserve">ONE HABIT I WILL CHANGE</w:t>
      </w:r>
    </w:p>
    <w:p>
      <w:pPr>
        <w:spacing w:before="0" w:after="160" w:line="360" w:lineRule="auto"/>
        <w:ind/>
        <w:jc w:val="both"/>
      </w:pPr>
      <w:r>
        <w:rPr>
          <w:rFonts w:ascii="Arial" w:cs="Arial" w:eastAsia="Arial" w:hAnsi="Arial"/>
          <w:b w:val="false"/>
          <w:bCs w:val="false"/>
          <w:i w:val="false"/>
          <w:iCs w:val="false"/>
          <w:color w:val="2C2C2C"/>
          <w:sz w:val="24"/>
          <w:szCs w:val="24"/>
        </w:rPr>
        <w:t xml:space="preserve">Following this research, I will make it a personal rule to independently verify any financial-related communication — scholarship notices, refund alerts, bank calls — by contacting the organisation directly through their official website or helpline before taking any action. I will also share the key distinction between UPI Collect Requests and normal payments with my family and peers, as this single piece of awareness could prevent significant financial harm.</w:t>
      </w:r>
    </w:p>
    <w:p>
      <w:pPr>
        <w:spacing w:before="0" w:after="200"/>
      </w:pPr>
      <w:r>
        <w:t xml:space="preserve"/>
      </w:r>
    </w:p>
    <w:p>
      <w:pPr>
        <w:spacing w:before="320" w:after="80"/>
        <w:jc w:val="left"/>
      </w:pPr>
      <w:r>
        <w:rPr>
          <w:rFonts w:ascii="Arial" w:cs="Arial" w:eastAsia="Arial" w:hAnsi="Arial"/>
          <w:b/>
          <w:bCs/>
          <w:color w:val="0F6E56"/>
          <w:sz w:val="28"/>
          <w:szCs w:val="28"/>
        </w:rPr>
        <w:t xml:space="preserve">7.  </w:t>
      </w:r>
      <w:r>
        <w:rPr>
          <w:rFonts w:ascii="Arial" w:cs="Arial" w:eastAsia="Arial" w:hAnsi="Arial"/>
          <w:b/>
          <w:bCs/>
          <w:color w:val="1B2A4A"/>
          <w:sz w:val="28"/>
          <w:szCs w:val="28"/>
        </w:rPr>
        <w:t xml:space="preserve">CONCLUSION</w:t>
      </w:r>
    </w:p>
    <w:p>
      <w:pPr>
        <w:pBdr>
          <w:bottom w:val="single" w:color="0F6E56" w:sz="8" w:space="1"/>
        </w:pBdr>
        <w:spacing w:before="80" w:after="200"/>
      </w:pPr>
      <w:r>
        <w:t xml:space="preserve"/>
      </w:r>
    </w:p>
    <w:p>
      <w:pPr>
        <w:spacing w:before="0" w:after="160" w:line="360" w:lineRule="auto"/>
        <w:ind/>
        <w:jc w:val="both"/>
      </w:pPr>
      <w:r>
        <w:rPr>
          <w:rFonts w:ascii="Arial" w:cs="Arial" w:eastAsia="Arial" w:hAnsi="Arial"/>
          <w:b w:val="false"/>
          <w:bCs w:val="false"/>
          <w:i w:val="false"/>
          <w:iCs w:val="false"/>
          <w:color w:val="2C2C2C"/>
          <w:sz w:val="24"/>
          <w:szCs w:val="24"/>
        </w:rPr>
        <w:t xml:space="preserve">This project provided a structured and practical introduction to the full landscape of digital literacy — from building a professional online presence and navigating collaboration platforms, to understanding the real dangers of cybercrime and the standards expected in professional digital communication. Across five tasks, the work moved from theory to hands-on application: designing an infographic, setting up industry-standard profiles, completing a coding challenge, drafting professional emails, and researching a live cybercrime trend. The most enduring takeaway is that digital literacy is not a single skill but a continuous practice — one that requires ongoing awareness, deliberate habit-building, and a responsibility to protect both oneself and others in shared digital spaces. The GitHub repository created through this project will serve as a living portfolio that grows alongside the degree.</w:t>
      </w:r>
    </w:p>
    <w:p>
      <w:pPr>
        <w:spacing w:before="0" w:after="200"/>
      </w:pPr>
      <w:r>
        <w:t xml:space="preserve"/>
      </w:r>
    </w:p>
    <w:p>
      <w:pPr>
        <w:spacing w:before="320" w:after="80"/>
        <w:jc w:val="left"/>
      </w:pPr>
      <w:r>
        <w:rPr>
          <w:rFonts w:ascii="Arial" w:cs="Arial" w:eastAsia="Arial" w:hAnsi="Arial"/>
          <w:b/>
          <w:bCs/>
          <w:color w:val="0F6E56"/>
          <w:sz w:val="28"/>
          <w:szCs w:val="28"/>
        </w:rPr>
        <w:t xml:space="preserve">8.  </w:t>
      </w:r>
      <w:r>
        <w:rPr>
          <w:rFonts w:ascii="Arial" w:cs="Arial" w:eastAsia="Arial" w:hAnsi="Arial"/>
          <w:b/>
          <w:bCs/>
          <w:color w:val="1B2A4A"/>
          <w:sz w:val="28"/>
          <w:szCs w:val="28"/>
        </w:rPr>
        <w:t xml:space="preserve">REFERENCES</w:t>
      </w:r>
    </w:p>
    <w:p>
      <w:pPr>
        <w:pBdr>
          <w:bottom w:val="single" w:color="0F6E56" w:sz="8" w:space="1"/>
        </w:pBdr>
        <w:spacing w:before="80" w:after="200"/>
      </w:pPr>
      <w:r>
        <w:t xml:space="preserve"/>
      </w:r>
    </w:p>
    <w:p>
      <w:pPr>
        <w:spacing w:before="60" w:after="60" w:line="340" w:lineRule="auto"/>
        <w:ind w:left="560" w:hanging="560"/>
      </w:pPr>
      <w:r>
        <w:rPr>
          <w:rFonts w:ascii="Arial" w:cs="Arial" w:eastAsia="Arial" w:hAnsi="Arial"/>
          <w:color w:val="2C2C2C"/>
          <w:sz w:val="22"/>
          <w:szCs w:val="22"/>
        </w:rPr>
        <w:t xml:space="preserve">[1]  Ministry of Finance, Government of India. (2025). Lok Sabha Unstarred Question No. 3456 — UPI Fraud Statistics FY 2024–25. Retrieved from https://sansad.in</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[2]  LocalCircles. (2025, June). UPI Fraud Awareness Survey: 1 in 5 UPI Users Affected. LocalCircles Research Division. Retrieved from https://www.localcircles.com</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[3]  Mukhopadhyay, A., &amp; Mukhopadhyay, S. (2024). Digital Payment Fraud in India: Patterns, Victims and Prevention. International Journal of Research in Commerce, Management and Social Sciences (IJRCMS), 6(6).</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[4]  Reserve Bank of India. (2025). RBI Annual Report 2024–25: Payment and Settlement Systems. Mumbai: RBI Publications. Retrieved from https://www.rbi.org.in</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[5]  PricewaterhouseCoopers India. (2025, April). Combating Payments Fraud in India: Trends and Strategies. PwC India Financial Services Report.</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[6]  National Payments Corporation of India (NPCI). (2024). UPI Safety Guidelines for Users. Retrieved from https://www.npci.org.in/upi-safety</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[7]  Government of India — Ministry of Home Affairs. (2025). National Cyber Crime Reporting Portal. Retrieved from https://cybercrime.gov.in</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[8]  HackerRank. (2025). Solve Me First — Problem Solving Challenge. Retrieved from https://www.hackerrank.com/challenges/solve-me-first</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[9]  GitHub Inc. (2025). GitHub Profile README Documentation. Retrieved from https://docs.github.com/en/account-and-profile</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[10]  LinkedIn Corporation. (2025). LinkedIn for Students — Getting Started Guide. Retrieved from https://university.linkedin.com</w:t>
      </w:r>
    </w:p>
    <w:p>
      <w:pPr>
        <w:spacing w:before="0" w:after="40"/>
      </w:pPr>
      <w:r>
        <w:t xml:space="preserve"/>
      </w:r>
    </w:p>
    <w:p>
      <w:pPr>
        <w:spacing w:before="60" w:after="60" w:line="340" w:lineRule="auto"/>
        <w:ind w:left="560" w:hanging="560"/>
      </w:pPr>
      <w:r>
        <w:rPr>
          <w:rFonts w:ascii="Arial" w:cs="Arial" w:eastAsia="Arial" w:hAnsi="Arial"/>
          <w:color w:val="2C2C2C"/>
          <w:sz w:val="22"/>
          <w:szCs w:val="22"/>
        </w:rPr>
        <w:t xml:space="preserve">[11]  VIT Bhopal University. (2024). CSE0001 — Digital Literacy: Course Outline and Project Brief. VITyarthi E-Learning Platform, Academic Year 2024–25.</w:t>
      </w:r>
    </w:p>
    <w:p>
      <w:pPr>
        <w:spacing w:before="0" w:after="300"/>
      </w:pPr>
      <w:r>
        <w:t xml:space="preserve"/>
      </w:r>
    </w:p>
    <w:p>
      <w:pPr>
        <w:spacing w:before="200" w:after="0"/>
        <w:jc w:val="center"/>
      </w:pPr>
      <w:r>
        <w:rPr>
          <w:rFonts w:ascii="Arial" w:cs="Arial" w:eastAsia="Arial" w:hAnsi="Arial"/>
          <w:i/>
          <w:iCs/>
          <w:color w:val="6B7A8F"/>
          <w:sz w:val="22"/>
          <w:szCs w:val="22"/>
        </w:rPr>
        <w:t xml:space="preserve">— End of Report —</w:t>
      </w:r>
    </w:p>
    <w:sectPr>
      <w:headerReference w:type="default" r:id="rId6"/>
      <w:footerReference w:type="default" r:id="rId7"/>
      <w:pgSz w:w="11906" w:h="16838" w:orient="portrait"/>
      <w:pgMar w:top="1300" w:right="130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jc w:val="right"/>
    </w:pPr>
    <w:r>
      <w:rPr>
        <w:rFonts w:ascii="Arial" w:cs="Arial" w:eastAsia="Arial" w:hAnsi="Arial"/>
        <w:color w:val="6B7A8F"/>
        <w:sz w:val="18"/>
        <w:szCs w:val="18"/>
      </w:rPr>
      <w:t xml:space="preserve">Page </w:t>
    </w:r>
    <w:r>
      <w:rPr>
        <w:rFonts w:ascii="Arial" w:cs="Arial" w:eastAsia="Arial" w:hAnsi="Arial"/>
        <w:color w:val="6B7A8F"/>
        <w:sz w:val="18"/>
        <w:szCs w:val="18"/>
      </w:rPr>
      <w:fldChar w:fldCharType="begin"/>
      <w:instrText xml:space="preserve">PAGE</w:instrText>
      <w:fldChar w:fldCharType="separate"/>
      <w:fldChar w:fldCharType="end"/>
    </w:r>
    <w:r>
      <w:rPr>
        <w:rFonts w:ascii="Arial" w:cs="Arial" w:eastAsia="Arial" w:hAnsi="Arial"/>
        <w:color w:val="6B7A8F"/>
        <w:sz w:val="18"/>
        <w:szCs w:val="18"/>
      </w:rPr>
      <w:t xml:space="preserve"> of </w:t>
    </w:r>
    <w:r>
      <w:rPr>
        <w:rFonts w:ascii="Arial" w:cs="Arial" w:eastAsia="Arial" w:hAnsi="Arial"/>
        <w:color w:val="6B7A8F"/>
        <w:sz w:val="18"/>
        <w:szCs w:val="18"/>
      </w:rPr>
      <w:fldChar w:fldCharType="begin"/>
      <w:instrText xml:space="preserve">NUMPAGES</w:instrText>
      <w:fldChar w:fldCharType="separate"/>
      <w:fldChar w:fldCharType="end"/>
    </w:r>
    <w:r>
      <w:rPr>
        <w:rFonts w:ascii="Arial" w:cs="Arial" w:eastAsia="Arial" w:hAnsi="Arial"/>
        <w:color w:val="6B7A8F"/>
        <w:sz w:val="18"/>
        <w:szCs w:val="18"/>
      </w:rPr>
      <w:t xml:space="preserve">     Digital Literacy Portfolio  —  CSE0001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spacing w:after="0"/>
    </w:pPr>
    <w:r>
      <w:rPr>
        <w:rFonts w:ascii="Arial" w:cs="Arial" w:eastAsia="Arial" w:hAnsi="Arial"/>
        <w:color w:val="6B7A8F"/>
        <w:sz w:val="18"/>
        <w:szCs w:val="18"/>
      </w:rPr>
      <w:t xml:space="preserve">CSE0001 — Digital Literacy Project Report</w:t>
    </w:r>
    <w:r>
      <w:rPr>
        <w:rFonts w:ascii="Arial" w:cs="Arial" w:eastAsia="Arial" w:hAnsi="Arial"/>
        <w:color w:val="6B7A8F"/>
        <w:sz w:val="18"/>
        <w:szCs w:val="18"/>
      </w:rPr>
      <w:t xml:space="preserve">  |  Khirad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D4F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2026-03-29T17:35:39.851Z</dcterms:created>
  <dcterms:modified xsi:type="dcterms:W3CDTF">2026-03-29T17:35:39.852Z</dcterms:modified>
</cp:coreProperties>
</file>

<file path=docProps/custom.xml><?xml version="1.0" encoding="utf-8"?>
<Properties xmlns="http://schemas.openxmlformats.org/officeDocument/2006/custom-properties" xmlns:vt="http://schemas.openxmlformats.org/officeDocument/2006/docPropsVTypes"/>
</file>