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2E38"/>
          <w:sz w:val="60"/>
        </w:rPr>
        <w:t>Ruleset Mapping Tool</w:t>
      </w:r>
    </w:p>
    <w:p>
      <w:pPr>
        <w:jc w:val="center"/>
      </w:pPr>
      <w:r>
        <w:rPr>
          <w:color w:val="666670"/>
          <w:sz w:val="28"/>
        </w:rPr>
        <w:t>A Plain-English Guide to What It Does and How It Works</w:t>
      </w:r>
    </w:p>
    <w:p>
      <w:pPr>
        <w:jc w:val="center"/>
      </w:pPr>
      <w:r>
        <w:rPr>
          <w:b/>
          <w:color w:val="155CB4"/>
          <w:sz w:val="24"/>
        </w:rPr>
        <w:t>EY Access Governance Platform</w:t>
      </w:r>
    </w:p>
    <w:p>
      <w:pPr>
        <w:jc w:val="center"/>
      </w:pPr>
      <w:r>
        <w:rPr>
          <w:color w:val="666670"/>
          <w:sz w:val="20"/>
        </w:rPr>
        <w:t>No formulas. No code. Just what the tool is doing and why.</w:t>
      </w:r>
    </w:p>
    <w:p>
      <w:r>
        <w:br w:type="page"/>
      </w:r>
    </w:p>
    <w:p>
      <w:pPr>
        <w:pStyle w:val="Heading1"/>
      </w:pPr>
      <w:r>
        <w:rPr>
          <w:color w:val="2E2E38"/>
        </w:rPr>
        <w:t>1.  The problem this tool solves</w:t>
      </w:r>
    </w:p>
    <w:p>
      <w:r>
        <w:t>Every organisation controls who is allowed to do what in their systems. They write down rules — for example, “the same person should not be able to both create a supplier and pay that supplier.” These rules are called controls. EY has its own standard, best-practice set of these controls. A client has their own set, written in their own words.</w:t>
      </w:r>
    </w:p>
    <w:p>
      <w:r>
        <w:t>The trouble is that the two sets never use the same names. The client might call something “AP Payment Run” while EY calls the same thing “Process Accounts Payable Payments.” If you tried to compare the two rulebooks just by reading the names, you would miss most of the matches and waste days doing it by hand.</w:t>
      </w:r>
    </w:p>
    <w:p>
      <w:r>
        <w:t>The Ruleset Mapping tool does this comparison automatically. It figures out which of the client’s rules line up with EY’s rules, which ones don’t exist on the other side, and what the client would need to add to meet the EY standard.</w:t>
      </w:r>
    </w:p>
    <w:tbl>
      <w:tblPr>
        <w:tblW w:type="auto" w:w="0"/>
        <w:tblLook w:firstColumn="1" w:firstRow="1" w:lastColumn="0" w:lastRow="0" w:noHBand="0" w:noVBand="1" w:val="04A0"/>
      </w:tblPr>
      <w:tblGrid>
        <w:gridCol w:w="8640"/>
      </w:tblGrid>
      <w:tr>
        <w:tc>
          <w:tcPr>
            <w:tcW w:type="dxa" w:w="8640"/>
            <w:shd w:val="clear" w:color="auto" w:fill="FFF7CC"/>
          </w:tcPr>
          <w:p>
            <w:r>
              <w:rPr>
                <w:b/>
                <w:color w:val="2E2E38"/>
              </w:rPr>
              <w:t xml:space="preserve">In one sentence:  </w:t>
            </w:r>
            <w:r>
              <w:rPr>
                <w:color w:val="2E2E38"/>
              </w:rPr>
              <w:t>The tool matches the client’s access rules to EY’s standard rules by looking at what each rule actually lets a person do — not by reading the names.</w:t>
            </w:r>
          </w:p>
        </w:tc>
      </w:tr>
    </w:tbl>
    <w:p>
      <w:pPr>
        <w:spacing w:after="40"/>
      </w:pPr>
    </w:p>
    <w:p>
      <w:pPr>
        <w:pStyle w:val="Heading1"/>
      </w:pPr>
      <w:r>
        <w:rPr>
          <w:color w:val="2E2E38"/>
        </w:rPr>
        <w:t>2.  The key idea: match by what things actually do</w:t>
      </w:r>
    </w:p>
    <w:p>
      <w:r>
        <w:t>The most important thing to understand is how the tool decides that two things are “the same.” It does not trust names. Instead, it looks underneath the names at the actual permissions.</w:t>
      </w:r>
    </w:p>
    <w:p>
      <w:r>
        <w:t>Think of it like comparing two job titles at different companies. “Account Manager” at one company and “Client Lead” at another might sound different, but if you list out their actual day-to-day responsibilities and they overlap almost entirely, you’d conclude they’re really the same job. The tool does exactly this — it compares the underlying responsibilities, not the titles.</w:t>
      </w:r>
    </w:p>
    <w:p>
      <w:r>
        <w:t>In the tool’s world, the building blocks are:</w:t>
      </w:r>
    </w:p>
    <w:p>
      <w:pPr>
        <w:pStyle w:val="ListBullet"/>
      </w:pPr>
      <w:r>
        <w:rPr>
          <w:b/>
        </w:rPr>
        <w:t xml:space="preserve">Privilege — </w:t>
      </w:r>
      <w:r>
        <w:t>the smallest possible permission, e.g. “approve an invoice.” This is the true unit the tool compares.</w:t>
      </w:r>
    </w:p>
    <w:p>
      <w:pPr>
        <w:pStyle w:val="ListBullet"/>
      </w:pPr>
      <w:r>
        <w:rPr>
          <w:b/>
        </w:rPr>
        <w:t xml:space="preserve">Entitlement — </w:t>
      </w:r>
      <w:r>
        <w:t>a bundle of privileges given to a person, e.g. “Accounts Payable Clerk,” which might include “create invoice,” “view supplier,” and “approve payment.”</w:t>
      </w:r>
    </w:p>
    <w:p>
      <w:pPr>
        <w:pStyle w:val="ListBullet"/>
      </w:pPr>
      <w:r>
        <w:rPr>
          <w:b/>
        </w:rPr>
        <w:t xml:space="preserve">Control — </w:t>
      </w:r>
      <w:r>
        <w:t>a rule built from entitlements. An SoD control is a conflict between two entitlements (holding both is risky). An SA control is a single entitlement that is sensitive on its own.</w:t>
      </w:r>
    </w:p>
    <w:tbl>
      <w:tblPr>
        <w:tblW w:type="auto" w:w="0"/>
        <w:tblLook w:firstColumn="1" w:firstRow="1" w:lastColumn="0" w:lastRow="0" w:noHBand="0" w:noVBand="1" w:val="04A0"/>
      </w:tblPr>
      <w:tblGrid>
        <w:gridCol w:w="8640"/>
      </w:tblGrid>
      <w:tr>
        <w:tc>
          <w:tcPr>
            <w:tcW w:type="dxa" w:w="8640"/>
            <w:shd w:val="clear" w:color="auto" w:fill="FFF7CC"/>
          </w:tcPr>
          <w:p>
            <w:r>
              <w:rPr>
                <w:b/>
                <w:color w:val="2E2E38"/>
              </w:rPr>
              <w:t xml:space="preserve">The golden rule:  </w:t>
            </w:r>
            <w:r>
              <w:rPr>
                <w:color w:val="2E2E38"/>
              </w:rPr>
              <w:t>Two entitlements are treated as a match when they grant largely the same set of privileges — even if they have completely different names.</w:t>
            </w:r>
          </w:p>
        </w:tc>
      </w:tr>
    </w:tbl>
    <w:p>
      <w:pPr>
        <w:spacing w:after="40"/>
      </w:pPr>
    </w:p>
    <w:p>
      <w:pPr>
        <w:pStyle w:val="Heading1"/>
      </w:pPr>
      <w:r>
        <w:rPr>
          <w:color w:val="2E2E38"/>
        </w:rPr>
        <w:t>3.  How the tool works, step by step</w:t>
      </w:r>
    </w:p>
    <w:p>
      <w:r>
        <w:t>The tool works in three layers, building on each other.</w:t>
      </w:r>
    </w:p>
    <w:p>
      <w:pPr>
        <w:pStyle w:val="Heading2"/>
      </w:pPr>
      <w:r>
        <w:rPr>
          <w:color w:val="155CB4"/>
        </w:rPr>
        <w:t>Step 1 — Match the entitlements</w:t>
      </w:r>
    </w:p>
    <w:p>
      <w:r>
        <w:t>First the tool takes every entitlement on the client’s side and finds its best match on EY’s side. To do this, for each client entitlement it lays its list of privileges next to every EY entitlement’s list and asks three plain questions:</w:t>
      </w:r>
    </w:p>
    <w:p>
      <w:pPr>
        <w:pStyle w:val="ListBullet"/>
      </w:pPr>
      <w:r>
        <w:rPr>
          <w:b/>
        </w:rPr>
        <w:t xml:space="preserve">How many of the client’s privileges show up in the EY entitlement? </w:t>
      </w:r>
      <w:r>
        <w:t>(Shown as “3 / 5,” meaning 3 of the client’s 5 privileges were found.) More overlap is better.</w:t>
      </w:r>
    </w:p>
    <w:p>
      <w:pPr>
        <w:pStyle w:val="ListBullet"/>
      </w:pPr>
      <w:r>
        <w:rPr>
          <w:b/>
        </w:rPr>
        <w:t xml:space="preserve">Are the two lists about the same size and shape? </w:t>
      </w:r>
      <w:r>
        <w:t>An EY entitlement that grants exactly what the client has is a closer match than one that grants ten extra things on top. The tool rewards a tight, like-for-like fit.</w:t>
      </w:r>
    </w:p>
    <w:p>
      <w:pPr>
        <w:pStyle w:val="ListBullet"/>
      </w:pPr>
      <w:r>
        <w:rPr>
          <w:b/>
        </w:rPr>
        <w:t xml:space="preserve">Do the names look alike, once abbreviations are spelled out? </w:t>
      </w:r>
      <w:r>
        <w:t>This is a gentle tiebreaker. It only matters when the privilege evidence alone can’t pick a clear winner.</w:t>
      </w:r>
    </w:p>
    <w:p>
      <w:r>
        <w:t>The tool weighs these three answers together into a single “confidence” percentage for each candidate, and picks the EY entitlement with the highest confidence as the match. The privilege evidence does most of the work; the name is only a light nudge.</w:t>
      </w:r>
    </w:p>
    <w:tbl>
      <w:tblPr>
        <w:tblW w:type="auto" w:w="0"/>
        <w:tblLook w:firstColumn="1" w:firstRow="1" w:lastColumn="0" w:lastRow="0" w:noHBand="0" w:noVBand="1" w:val="04A0"/>
      </w:tblPr>
      <w:tblGrid>
        <w:gridCol w:w="8640"/>
      </w:tblGrid>
      <w:tr>
        <w:tc>
          <w:tcPr>
            <w:tcW w:type="dxa" w:w="8640"/>
            <w:shd w:val="clear" w:color="auto" w:fill="FFF7CC"/>
          </w:tcPr>
          <w:p>
            <w:r>
              <w:rPr>
                <w:b/>
                <w:color w:val="2E2E38"/>
              </w:rPr>
              <w:t xml:space="preserve">Why names are handled carefully:  </w:t>
            </w:r>
            <w:r>
              <w:rPr>
                <w:color w:val="2E2E38"/>
              </w:rPr>
              <w:t>“AP Payments” and “AR Payments” differ by a single letter, so naively the names look almost identical — which would be misleading. The tool first expands abbreviations (AP becomes “accounts payable,” AR becomes “accounts receivable”) so the names become genuinely different before they are ever compared. That stops the tool from confusing the two.</w:t>
            </w:r>
          </w:p>
        </w:tc>
      </w:tr>
    </w:tbl>
    <w:p>
      <w:pPr>
        <w:spacing w:after="40"/>
      </w:pPr>
    </w:p>
    <w:p>
      <w:pPr>
        <w:pStyle w:val="Heading2"/>
      </w:pPr>
      <w:r>
        <w:rPr>
          <w:color w:val="155CB4"/>
        </w:rPr>
        <w:t>Step 1½ — The confidence cut-off</w:t>
      </w:r>
    </w:p>
    <w:p>
      <w:r>
        <w:t>Not every match is worth trusting. If even the best candidate is weak — the privilege lists barely overlap — the tool refuses to guess and labels the entitlement “Not Mapped.” And if a client entitlement shares no privileges at all with anything on the EY side, it’s marked with a simple dash (“—”), meaning there was nothing to compare against.</w:t>
      </w:r>
    </w:p>
    <w:p>
      <w:r>
        <w:t>Matches that do pass the cut-off are graded so you can see how confident the tool is:</w:t>
      </w:r>
    </w:p>
    <w:p>
      <w:pPr>
        <w:pStyle w:val="ListBullet"/>
      </w:pPr>
      <w:r>
        <w:rPr>
          <w:b/>
        </w:rPr>
        <w:t xml:space="preserve">High — </w:t>
      </w:r>
      <w:r>
        <w:t>a strong, reliable match.</w:t>
      </w:r>
    </w:p>
    <w:p>
      <w:pPr>
        <w:pStyle w:val="ListBullet"/>
      </w:pPr>
      <w:r>
        <w:rPr>
          <w:b/>
        </w:rPr>
        <w:t xml:space="preserve">Medium — </w:t>
      </w:r>
      <w:r>
        <w:t>a reasonable match, worth a glance.</w:t>
      </w:r>
    </w:p>
    <w:p>
      <w:pPr>
        <w:pStyle w:val="ListBullet"/>
      </w:pPr>
      <w:r>
        <w:rPr>
          <w:b/>
        </w:rPr>
        <w:t xml:space="preserve">Low — </w:t>
      </w:r>
      <w:r>
        <w:t>a weak-but-plausible match; review it.</w:t>
      </w:r>
    </w:p>
    <w:p>
      <w:pPr>
        <w:pStyle w:val="Heading2"/>
      </w:pPr>
      <w:r>
        <w:rPr>
          <w:color w:val="155CB4"/>
        </w:rPr>
        <w:t>A smart safety net for tricky cases</w:t>
      </w:r>
    </w:p>
    <w:p>
      <w:r>
        <w:t>Occasionally the privilege evidence points the wrong way. Imagine the client has an entitlement called “Asset Reimbursement” with three privileges, and EY has a big entitlement called “Asset Configuration” that happens to include all three of those plus many more. On the raw numbers, “Asset Configuration” looks like the better match — it contains everything the client has. But common sense (and the name) says it should match EY’s own “Asset Reimbursement.”</w:t>
      </w:r>
    </w:p>
    <w:p>
      <w:r>
        <w:t>The tool has a rule for exactly this: when an EY entitlement’s name is an almost-exact match to the client’s — and it’s still a believable match on the evidence — the tool prefers it over a differently-named entitlement that merely happens to contain the same privileges. This catches the cases where pure number-crunching would otherwise be fooled.</w:t>
      </w:r>
    </w:p>
    <w:p>
      <w:pPr>
        <w:pStyle w:val="Heading2"/>
      </w:pPr>
      <w:r>
        <w:rPr>
          <w:color w:val="155CB4"/>
        </w:rPr>
        <w:t>Step 2 — Match the SoD controls</w:t>
      </w:r>
    </w:p>
    <w:p>
      <w:r>
        <w:t>Once the entitlements are matched, matching the rules is mostly bookkeeping. Remember an SoD control is a conflict between two entitlements. So the tool asks: did both of those entitlements find a match on the EY side?</w:t>
      </w:r>
    </w:p>
    <w:p>
      <w:pPr>
        <w:pStyle w:val="ListNumber"/>
      </w:pPr>
      <w:r>
        <w:t>If BOTH entitlements matched, the control can be mapped. (If even one of them failed to match, the whole control is left Unmatched — a rule is only as trustworthy as its weakest half.)</w:t>
      </w:r>
    </w:p>
    <w:p>
      <w:pPr>
        <w:pStyle w:val="ListNumber"/>
      </w:pPr>
      <w:r>
        <w:t>If EY already has a rule covering that exact pair of matched entitlements, the tool reports it as a Direct match and names the EY rule.</w:t>
      </w:r>
    </w:p>
    <w:p>
      <w:pPr>
        <w:pStyle w:val="ListNumber"/>
      </w:pPr>
      <w:r>
        <w:t>If both entitlements matched but EY has no single rule pairing them, the tool reports a Derived Control — essentially saying, “EY doesn’t have this exact rule written down, but based on the matched pieces, here is the equivalent it implies.”</w:t>
      </w:r>
    </w:p>
    <w:p>
      <w:r>
        <w:t>Each mapped control also gets a confidence score, and the tool deliberately uses the LOWER of its two halves — because a rule is only as solid as its weaker entitlement match.</w:t>
      </w:r>
    </w:p>
    <w:p>
      <w:pPr>
        <w:pStyle w:val="Heading2"/>
      </w:pPr>
      <w:r>
        <w:rPr>
          <w:color w:val="155CB4"/>
        </w:rPr>
        <w:t>Step 3 — Match the SA controls</w:t>
      </w:r>
    </w:p>
    <w:p>
      <w:r>
        <w:t>Sensitive-Access controls are simpler, because each is just a single sensitive entitlement. The tool checks whether that entitlement matched something on the EY side that is itself a sensitive-access rule. If yes, it’s a Direct match; if not, it’s Unmatched. (There’s no “Derived” option here — that idea only makes sense for two-part SoD rules.)</w:t>
      </w:r>
    </w:p>
    <w:p>
      <w:pPr>
        <w:pStyle w:val="Heading1"/>
      </w:pPr>
      <w:r>
        <w:rPr>
          <w:color w:val="2E2E38"/>
        </w:rPr>
        <w:t>4.  What the tool tells you at the end</w:t>
      </w:r>
    </w:p>
    <w:p>
      <w:r>
        <w:t>Beyond the matches themselves, the tool produces two practical gap reports.</w:t>
      </w:r>
    </w:p>
    <w:p>
      <w:pPr>
        <w:pStyle w:val="Heading2"/>
      </w:pPr>
      <w:r>
        <w:rPr>
          <w:color w:val="155CB4"/>
        </w:rPr>
        <w:t>What’s missing on the other side</w:t>
      </w:r>
    </w:p>
    <w:p>
      <w:r>
        <w:t>Any client rule that couldn’t be matched is collected into a “missing controls” list — these are rules the client has that EY’s standard doesn’t, or vice versa. This shows where the two rulebooks genuinely differ.</w:t>
      </w:r>
    </w:p>
    <w:p>
      <w:pPr>
        <w:pStyle w:val="Heading2"/>
      </w:pPr>
      <w:r>
        <w:rPr>
          <w:color w:val="155CB4"/>
        </w:rPr>
        <w:t>What the client should add (recommended privileges)</w:t>
      </w:r>
    </w:p>
    <w:p>
      <w:r>
        <w:t>When a client entitlement matches an EY one but the EY version grants a few extra privileges, the tool lists those extras as recommendations — the specific permissions the client would need to add to bring their entitlement fully up to the EY standard. Anything the client already has is left off the list, so you only see the real gaps.</w:t>
      </w:r>
    </w:p>
    <w:tbl>
      <w:tblPr>
        <w:tblW w:type="auto" w:w="0"/>
        <w:tblLook w:firstColumn="1" w:firstRow="1" w:lastColumn="0" w:lastRow="0" w:noHBand="0" w:noVBand="1" w:val="04A0"/>
      </w:tblPr>
      <w:tblGrid>
        <w:gridCol w:w="8640"/>
      </w:tblGrid>
      <w:tr>
        <w:tc>
          <w:tcPr>
            <w:tcW w:type="dxa" w:w="8640"/>
            <w:shd w:val="clear" w:color="auto" w:fill="FFF7CC"/>
          </w:tcPr>
          <w:p>
            <w:r>
              <w:rPr>
                <w:b/>
                <w:color w:val="2E2E38"/>
              </w:rPr>
              <w:t xml:space="preserve">The takeaway report:  </w:t>
            </w:r>
            <w:r>
              <w:rPr>
                <w:color w:val="2E2E38"/>
              </w:rPr>
              <w:t>“Here are the rules that line up, here are the rules you’re missing, and here are the exact permissions you’d need to add to close the gap.”</w:t>
            </w:r>
          </w:p>
        </w:tc>
      </w:tr>
    </w:tbl>
    <w:p>
      <w:pPr>
        <w:spacing w:after="40"/>
      </w:pPr>
    </w:p>
    <w:p>
      <w:pPr>
        <w:pStyle w:val="Heading1"/>
      </w:pPr>
      <w:r>
        <w:rPr>
          <w:color w:val="2E2E38"/>
        </w:rPr>
        <w:t>5.  It works both ways</w:t>
      </w:r>
    </w:p>
    <w:p>
      <w:r>
        <w:t>The whole comparison is run twice. Once asking “how does the client measure up against EY?” and once asking “what does EY have that the client also covers, or doesn’t?” This matters because the gaps look different depending on which side you start from — the privileges the client is missing are a different question from the privileges EY is missing. Running both directions gives a complete, balanced picture.</w:t>
      </w:r>
    </w:p>
    <w:p>
      <w:pPr>
        <w:pStyle w:val="Heading1"/>
      </w:pPr>
      <w:r>
        <w:rPr>
          <w:color w:val="2E2E38"/>
        </w:rPr>
        <w:t>6.  The final output</w:t>
      </w:r>
    </w:p>
    <w:p>
      <w:r>
        <w:t>Everything is packaged into a single Excel workbook with separate, clearly-labelled tabs: the rule matches for each direction, the missing-controls lists, the recommended-privileges lists, and the full entitlement-by-entitlement match tables. It’s designed to be opened and read by an engagement team or handed to a client as-is.</w:t>
      </w:r>
    </w:p>
    <w:p>
      <w:pPr>
        <w:pStyle w:val="Heading1"/>
      </w:pPr>
      <w:r>
        <w:rPr>
          <w:color w:val="2E2E38"/>
        </w:rPr>
        <w:t>7.  Why you can trust the results</w:t>
      </w:r>
    </w:p>
    <w:p>
      <w:pPr>
        <w:pStyle w:val="ListBullet"/>
      </w:pPr>
      <w:r>
        <w:rPr>
          <w:b/>
        </w:rPr>
        <w:t xml:space="preserve">It compares substance, not labels. </w:t>
      </w:r>
      <w:r>
        <w:t>Matches are based on actual permissions, so different naming conventions don’t fool it.</w:t>
      </w:r>
    </w:p>
    <w:p>
      <w:pPr>
        <w:pStyle w:val="ListBullet"/>
      </w:pPr>
      <w:r>
        <w:rPr>
          <w:b/>
        </w:rPr>
        <w:t xml:space="preserve">It knows when to say “I’m not sure.” </w:t>
      </w:r>
      <w:r>
        <w:t>Weak matches are honestly labelled “Not Mapped” rather than forced into a wrong answer.</w:t>
      </w:r>
    </w:p>
    <w:p>
      <w:pPr>
        <w:pStyle w:val="ListBullet"/>
      </w:pPr>
      <w:r>
        <w:rPr>
          <w:b/>
        </w:rPr>
        <w:t xml:space="preserve">It shows its working. </w:t>
      </w:r>
      <w:r>
        <w:t>Every match comes with a confidence grade and the runner-up candidates, so a reviewer can sanity-check it.</w:t>
      </w:r>
    </w:p>
    <w:p>
      <w:pPr>
        <w:pStyle w:val="ListBullet"/>
      </w:pPr>
      <w:r>
        <w:rPr>
          <w:b/>
        </w:rPr>
        <w:t xml:space="preserve">It has guardrails for the tricky cases. </w:t>
      </w:r>
      <w:r>
        <w:t>Abbreviation handling and the name-priority safety net catch the situations where raw numbers alone would mislead.</w:t>
      </w:r>
    </w:p>
    <w:p>
      <w:r>
        <w:t>In practice the tool gets the large majority of matches right automatically, flags the uncertain ones for a human to review, and turns a multi-day manual cross-referencing exercise into a few minutes of computation followed by a focused review.</w:t>
      </w:r>
    </w:p>
    <w:p>
      <w:pPr>
        <w:jc w:val="center"/>
      </w:pPr>
      <w:r>
        <w:rPr>
          <w:color w:val="666670"/>
          <w:sz w:val="16"/>
        </w:rPr>
        <w:t>EY Access Governance Platform — Ruleset Mapping Tool — Plain-English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