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63ye5dti8w3z" w:id="0"/>
      <w:bookmarkEnd w:id="0"/>
      <w:r w:rsidDel="00000000" w:rsidR="00000000" w:rsidRPr="00000000">
        <w:rPr>
          <w:rtl w:val="0"/>
        </w:rPr>
        <w:t xml:space="preserve">Automatic Threshold Detection for Engine Speed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4mb1a7nnu6b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objective of this project is to automatically identify a threshold that distinguishes between idle and work states based on the engine speed signal of different machines. The data consists of engine speed tracked over 20,000 seconds at 1 Hz for 5 machines.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2kb841w1mci" w:id="2"/>
      <w:bookmarkEnd w:id="2"/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05">
      <w:pPr>
        <w:pStyle w:val="Heading5"/>
        <w:rPr/>
      </w:pPr>
      <w:bookmarkStart w:colFirst="0" w:colLast="0" w:name="_t8txr4jv748c" w:id="3"/>
      <w:bookmarkEnd w:id="3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Engine speed directly correlates with machine activity.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Two primary states: idle and work.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Outliers are at 0 rpm and above 2500 rpm.</w:t>
      </w:r>
    </w:p>
    <w:p w:rsidR="00000000" w:rsidDel="00000000" w:rsidP="00000000" w:rsidRDefault="00000000" w:rsidRPr="00000000" w14:paraId="00000009">
      <w:pPr>
        <w:pStyle w:val="Heading5"/>
        <w:rPr/>
      </w:pPr>
      <w:bookmarkStart w:colFirst="0" w:colLast="0" w:name="_jleiw7ssdjqp" w:id="4"/>
      <w:bookmarkEnd w:id="4"/>
      <w:r w:rsidDel="00000000" w:rsidR="00000000" w:rsidRPr="00000000">
        <w:rPr>
          <w:rtl w:val="0"/>
        </w:rPr>
        <w:t xml:space="preserve">Approaches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Removed rows where engine speed is either 0 rpm or above 2500 rpm.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 normalization was required.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q6lf8kf08zeu" w:id="5"/>
      <w:bookmarkEnd w:id="5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0D">
      <w:pPr>
        <w:pStyle w:val="Heading5"/>
        <w:rPr/>
      </w:pPr>
      <w:bookmarkStart w:colFirst="0" w:colLast="0" w:name="_u3z8wiawjv4" w:id="6"/>
      <w:bookmarkEnd w:id="6"/>
      <w:r w:rsidDel="00000000" w:rsidR="00000000" w:rsidRPr="00000000">
        <w:rPr>
          <w:rtl w:val="0"/>
        </w:rPr>
        <w:t xml:space="preserve">Model Selection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Gaussian Mixture Models (GMM) were used to identify the two distributions corresponding to idle and work states.</w:t>
      </w:r>
    </w:p>
    <w:p w:rsidR="00000000" w:rsidDel="00000000" w:rsidP="00000000" w:rsidRDefault="00000000" w:rsidRPr="00000000" w14:paraId="0000000F">
      <w:pPr>
        <w:pStyle w:val="Heading5"/>
        <w:rPr/>
      </w:pPr>
      <w:bookmarkStart w:colFirst="0" w:colLast="0" w:name="_j5dzoeiy2qhs" w:id="7"/>
      <w:bookmarkEnd w:id="7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of components for GMM: 2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Random state: 42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l53qic9ayrnf" w:id="8"/>
      <w:bookmarkEnd w:id="8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3">
      <w:pPr>
        <w:pStyle w:val="Heading5"/>
        <w:rPr/>
      </w:pPr>
      <w:bookmarkStart w:colFirst="0" w:colLast="0" w:name="_w5q9qynlc0vj" w:id="9"/>
      <w:bookmarkEnd w:id="9"/>
      <w:r w:rsidDel="00000000" w:rsidR="00000000" w:rsidRPr="00000000">
        <w:rPr>
          <w:rtl w:val="0"/>
        </w:rPr>
        <w:t xml:space="preserve">Identified Thresholds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Machine 0: 699.91 rpm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Machine 1: 784.28 rpm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Machine 3: 639.41 rpm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Machine 4: 1135.67 rpm</w:t>
      </w:r>
    </w:p>
    <w:p w:rsidR="00000000" w:rsidDel="00000000" w:rsidP="00000000" w:rsidRDefault="00000000" w:rsidRPr="00000000" w14:paraId="00000018">
      <w:pPr>
        <w:pStyle w:val="Heading5"/>
        <w:rPr/>
      </w:pPr>
      <w:bookmarkStart w:colFirst="0" w:colLast="0" w:name="_fe11lht0eiko" w:id="10"/>
      <w:bookmarkEnd w:id="10"/>
      <w:r w:rsidDel="00000000" w:rsidR="00000000" w:rsidRPr="00000000">
        <w:rPr>
          <w:rtl w:val="0"/>
        </w:rPr>
        <w:t xml:space="preserve">Time Spent in States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Machine 0: Idle 19.66%, Work 80.34%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Machine 1: Idle 3.79%, Work 96.21%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Machine 3: Idle 21.84%, Work 78.16%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Machine 4: Idle 37.42%, Work 62.58%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sbq1py6xzjk3" w:id="11"/>
      <w:bookmarkEnd w:id="11"/>
      <w:r w:rsidDel="00000000" w:rsidR="00000000" w:rsidRPr="00000000">
        <w:rPr>
          <w:rtl w:val="0"/>
        </w:rPr>
        <w:t xml:space="preserve">Evaluation Metrics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Likelihood Scores: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Machine 0: -6.08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Machine 1: -6.06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Machine 3: -6.12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Machine 4: -6.46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These scores are similar across machines, suggesting that the model fits each machine's data with roughly the same level of "goodness-of-fit".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phz5gctguquw" w:id="12"/>
      <w:bookmarkEnd w:id="12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Gaussian Mixture Model effectively identified thresholds for different machines. These thresholds were validated using the percentage of time spent in each state, providing a practical evaluation of the model's effectiveness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