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14809" w14:textId="21F250E6" w:rsidR="0073556F" w:rsidRPr="00693331" w:rsidRDefault="00987D51">
      <w:pPr>
        <w:rPr>
          <w:rFonts w:ascii="Times New Roman" w:hAnsi="Times New Roman" w:cs="Times New Roman"/>
          <w:color w:val="000000" w:themeColor="text1"/>
        </w:rPr>
      </w:pPr>
      <w:r w:rsidRPr="00693331">
        <w:rPr>
          <w:rFonts w:ascii="Times New Roman" w:hAnsi="Times New Roman" w:cs="Times New Roman"/>
          <w:color w:val="000000" w:themeColor="text1"/>
        </w:rPr>
        <w:t>Nguyen Anh Khoa Tran</w:t>
      </w:r>
      <w:r w:rsidR="004B4DF8" w:rsidRPr="00693331">
        <w:rPr>
          <w:rFonts w:ascii="Times New Roman" w:hAnsi="Times New Roman" w:cs="Times New Roman"/>
          <w:color w:val="000000" w:themeColor="text1"/>
        </w:rPr>
        <w:t xml:space="preserve"> - ntran5@memphis.edu</w:t>
      </w:r>
    </w:p>
    <w:p w14:paraId="44958607" w14:textId="065ABFB7" w:rsidR="00987D51" w:rsidRPr="00693331" w:rsidRDefault="00987D51">
      <w:pPr>
        <w:rPr>
          <w:rFonts w:ascii="Times New Roman" w:hAnsi="Times New Roman" w:cs="Times New Roman"/>
          <w:color w:val="000000" w:themeColor="text1"/>
        </w:rPr>
      </w:pPr>
      <w:r w:rsidRPr="00693331">
        <w:rPr>
          <w:rFonts w:ascii="Times New Roman" w:hAnsi="Times New Roman" w:cs="Times New Roman"/>
          <w:color w:val="000000" w:themeColor="text1"/>
        </w:rPr>
        <w:t>HIST-2030</w:t>
      </w:r>
    </w:p>
    <w:p w14:paraId="6AEC7F50" w14:textId="73CD2186" w:rsidR="00987D51" w:rsidRPr="00693331" w:rsidRDefault="00987D51">
      <w:pPr>
        <w:rPr>
          <w:rFonts w:ascii="Times New Roman" w:hAnsi="Times New Roman" w:cs="Times New Roman"/>
          <w:color w:val="000000" w:themeColor="text1"/>
        </w:rPr>
      </w:pPr>
      <w:r w:rsidRPr="00693331">
        <w:rPr>
          <w:rFonts w:ascii="Times New Roman" w:hAnsi="Times New Roman" w:cs="Times New Roman"/>
          <w:color w:val="000000" w:themeColor="text1"/>
        </w:rPr>
        <w:t>Prof. Caroline Peyton</w:t>
      </w:r>
    </w:p>
    <w:p w14:paraId="2CC8379B" w14:textId="511D8958" w:rsidR="004B4DF8" w:rsidRPr="00693331" w:rsidRDefault="004B4DF8" w:rsidP="0012316A">
      <w:pPr>
        <w:jc w:val="center"/>
        <w:rPr>
          <w:rFonts w:ascii="Times New Roman" w:hAnsi="Times New Roman" w:cs="Times New Roman"/>
          <w:b/>
          <w:bCs/>
          <w:color w:val="000000" w:themeColor="text1"/>
          <w:u w:val="single"/>
          <w:lang w:val="vi-VN"/>
        </w:rPr>
      </w:pPr>
      <w:r w:rsidRPr="00693331">
        <w:rPr>
          <w:rFonts w:ascii="Times New Roman" w:hAnsi="Times New Roman" w:cs="Times New Roman"/>
          <w:b/>
          <w:bCs/>
          <w:color w:val="000000" w:themeColor="text1"/>
          <w:u w:val="single"/>
        </w:rPr>
        <w:t>Tennessee History in the Archives #</w:t>
      </w:r>
      <w:r w:rsidR="0012316A" w:rsidRPr="00693331">
        <w:rPr>
          <w:rFonts w:ascii="Times New Roman" w:hAnsi="Times New Roman" w:cs="Times New Roman"/>
          <w:b/>
          <w:bCs/>
          <w:color w:val="000000" w:themeColor="text1"/>
          <w:u w:val="single"/>
          <w:lang w:val="vi-VN"/>
        </w:rPr>
        <w:t>2</w:t>
      </w:r>
    </w:p>
    <w:p w14:paraId="6890E6B1" w14:textId="41A20044" w:rsidR="0012316A" w:rsidRPr="00693331" w:rsidRDefault="0000522B" w:rsidP="00693331">
      <w:pPr>
        <w:rPr>
          <w:rFonts w:ascii="Times New Roman" w:hAnsi="Times New Roman" w:cs="Times New Roman"/>
          <w:color w:val="000000" w:themeColor="text1"/>
        </w:rPr>
      </w:pPr>
      <w:r w:rsidRPr="00693331">
        <w:rPr>
          <w:rFonts w:ascii="Times New Roman" w:hAnsi="Times New Roman" w:cs="Times New Roman"/>
          <w:color w:val="000000" w:themeColor="text1"/>
        </w:rPr>
        <w:t>I searched ProQuest Historical Newspaper for “secession” and “Tennessee” to examine how Tennesseans discussed disunion before the Civil War. Both articles I found were published in Nashville’s Republican Banner, revealing a change from celebrating Tennessee’s earlier loyalty to the Union in 1851 to confronting an immediate secession movement in 1860. Both show that Tennessee communities actively debated their relationship with the federal government.</w:t>
      </w:r>
    </w:p>
    <w:p w14:paraId="026A4E70" w14:textId="256C39D0" w:rsidR="0000522B" w:rsidRPr="00693331" w:rsidRDefault="0000522B" w:rsidP="00693331">
      <w:pPr>
        <w:rPr>
          <w:rFonts w:ascii="Times New Roman" w:hAnsi="Times New Roman" w:cs="Times New Roman"/>
          <w:color w:val="000000" w:themeColor="text1"/>
        </w:rPr>
      </w:pPr>
      <w:r w:rsidRPr="00693331">
        <w:rPr>
          <w:rFonts w:ascii="Times New Roman" w:hAnsi="Times New Roman" w:cs="Times New Roman"/>
          <w:color w:val="000000" w:themeColor="text1"/>
        </w:rPr>
        <w:t>When it comes to the first article, “Position of Tennessee in 1832-3, appeared on June 5, 1851, page 2. As sectional tensions increased in 1851, the newspaper revisited Union meetings held in Henry and Hawkins Counties during the Nullification Crisis of 1832. Citizens gathered at the courthouse, listened to the Declaration of Independence and President Andrew Jackson’s proclamation against nullification, and adopted resolutions promising to preserve the Union-even by force if peaceful measures failed. The list of organizers and instructions to send the resolution to the political leaders and newspapers demonstrate how public meetings, print networks, and county institutions connected local communities to national politics.</w:t>
      </w:r>
    </w:p>
    <w:p w14:paraId="1740A0F9" w14:textId="327A99C9" w:rsidR="0000522B" w:rsidRPr="00693331" w:rsidRDefault="003F4A49" w:rsidP="00693331">
      <w:pPr>
        <w:rPr>
          <w:rFonts w:ascii="Times New Roman" w:hAnsi="Times New Roman" w:cs="Times New Roman"/>
          <w:color w:val="000000" w:themeColor="text1"/>
        </w:rPr>
      </w:pPr>
      <w:r w:rsidRPr="00693331">
        <w:rPr>
          <w:rFonts w:ascii="Times New Roman" w:hAnsi="Times New Roman" w:cs="Times New Roman"/>
          <w:color w:val="000000" w:themeColor="text1"/>
        </w:rPr>
        <w:t>T</w:t>
      </w:r>
      <w:r w:rsidR="0000522B" w:rsidRPr="00693331">
        <w:rPr>
          <w:rFonts w:ascii="Times New Roman" w:hAnsi="Times New Roman" w:cs="Times New Roman"/>
          <w:color w:val="000000" w:themeColor="text1"/>
        </w:rPr>
        <w:t>he other article, “Secession Meeting in Winchester, Tennessee”, appeared on December 1, 1860, page 2, shortly after Abraha</w:t>
      </w:r>
      <w:r w:rsidRPr="00693331">
        <w:rPr>
          <w:rFonts w:ascii="Times New Roman" w:hAnsi="Times New Roman" w:cs="Times New Roman"/>
          <w:color w:val="000000" w:themeColor="text1"/>
        </w:rPr>
        <w:t>m</w:t>
      </w:r>
      <w:r w:rsidR="0000522B" w:rsidRPr="00693331">
        <w:rPr>
          <w:rFonts w:ascii="Times New Roman" w:hAnsi="Times New Roman" w:cs="Times New Roman"/>
          <w:color w:val="000000" w:themeColor="text1"/>
        </w:rPr>
        <w:t xml:space="preserve"> Lincoln’s election. It reports that P. Turney and M. Turney demanded immedi</w:t>
      </w:r>
      <w:r w:rsidRPr="00693331">
        <w:rPr>
          <w:rFonts w:ascii="Times New Roman" w:hAnsi="Times New Roman" w:cs="Times New Roman"/>
          <w:color w:val="000000" w:themeColor="text1"/>
        </w:rPr>
        <w:t>ate, separate-state secession before Lincoln’s inauguration. They praised South Carolina</w:t>
      </w:r>
      <w:r w:rsidR="00573628" w:rsidRPr="00693331">
        <w:rPr>
          <w:rFonts w:ascii="Times New Roman" w:hAnsi="Times New Roman" w:cs="Times New Roman"/>
          <w:color w:val="000000" w:themeColor="text1"/>
        </w:rPr>
        <w:t xml:space="preserve"> and argued that Northern resistance to the Fugitive Slave Law had already dissolved the Union. Col. A. S. Colyar opposed immediate secession, arguing that South Carolina</w:t>
      </w:r>
      <w:r w:rsidRPr="00693331">
        <w:rPr>
          <w:rFonts w:ascii="Times New Roman" w:hAnsi="Times New Roman" w:cs="Times New Roman"/>
          <w:color w:val="000000" w:themeColor="text1"/>
        </w:rPr>
        <w:t xml:space="preserve"> should consult Tennessee and other border states and that a state convention should decide the issue. The correspondent was encouraged that many Democrats would abandon party loyalty to support the Union.</w:t>
      </w:r>
    </w:p>
    <w:p w14:paraId="1D2FFB44" w14:textId="6750E572" w:rsidR="003F4A49" w:rsidRPr="00693331" w:rsidRDefault="003F4A49" w:rsidP="00693331">
      <w:pPr>
        <w:rPr>
          <w:rFonts w:ascii="Times New Roman" w:hAnsi="Times New Roman" w:cs="Times New Roman"/>
          <w:color w:val="000000" w:themeColor="text1"/>
        </w:rPr>
      </w:pPr>
      <w:r w:rsidRPr="00693331">
        <w:rPr>
          <w:rFonts w:ascii="Times New Roman" w:hAnsi="Times New Roman" w:cs="Times New Roman"/>
          <w:color w:val="000000" w:themeColor="text1"/>
        </w:rPr>
        <w:t>I did not find a unified Tennessee position or much discussion of everyday economic life in these articles. Instead, they reveal disagreement over political procedure, federal authority, slavery, and whether Tennessee should follow South Carolina. Compared with my response in Archive 1, which emphasizes the Atlantic slave trade and relied heavily on national and international reprints, these articles focus more directly on Tennessee’s county meetings, political leaders, and local response to national events.</w:t>
      </w:r>
    </w:p>
    <w:p w14:paraId="26BA03A1" w14:textId="264B6762" w:rsidR="00573628" w:rsidRPr="00693331" w:rsidRDefault="003F4A49" w:rsidP="00693331">
      <w:pPr>
        <w:rPr>
          <w:rFonts w:ascii="Times New Roman" w:hAnsi="Times New Roman" w:cs="Times New Roman"/>
          <w:color w:val="000000" w:themeColor="text1"/>
        </w:rPr>
      </w:pPr>
      <w:r w:rsidRPr="00693331">
        <w:rPr>
          <w:rFonts w:ascii="Times New Roman" w:hAnsi="Times New Roman" w:cs="Times New Roman"/>
          <w:color w:val="000000" w:themeColor="text1"/>
        </w:rPr>
        <w:t>Together, the articles capture a major transition in Tennessee politics. The 1851 article used memories of 1832 to warn against disunion, while the 1860 report shows secession becoming an urgent and divisive possibility. Tennessee’s newspapers therefore provide evidence of politically organized communities struggling over Union, slavery, state sovereignty, and the proper methods of collective decision-making.</w:t>
      </w:r>
    </w:p>
    <w:p w14:paraId="366B3810" w14:textId="77777777" w:rsidR="00693331" w:rsidRPr="00693331" w:rsidRDefault="00693331" w:rsidP="00693331">
      <w:pPr>
        <w:pStyle w:val="Heading1"/>
        <w:jc w:val="center"/>
        <w:rPr>
          <w:rFonts w:ascii="Times New Roman" w:hAnsi="Times New Roman" w:cs="Times New Roman"/>
          <w:b/>
          <w:bCs/>
          <w:color w:val="000000" w:themeColor="text1"/>
          <w:sz w:val="24"/>
          <w:szCs w:val="24"/>
        </w:rPr>
      </w:pPr>
      <w:r w:rsidRPr="00693331">
        <w:rPr>
          <w:rFonts w:ascii="Times New Roman" w:hAnsi="Times New Roman" w:cs="Times New Roman"/>
          <w:b/>
          <w:bCs/>
          <w:color w:val="000000" w:themeColor="text1"/>
          <w:sz w:val="24"/>
          <w:szCs w:val="24"/>
        </w:rPr>
        <w:lastRenderedPageBreak/>
        <w:t>Bibliography</w:t>
      </w:r>
    </w:p>
    <w:p w14:paraId="693589E9" w14:textId="7D5BB843" w:rsidR="00693331" w:rsidRPr="00693331" w:rsidRDefault="00693331" w:rsidP="00693331">
      <w:pPr>
        <w:spacing w:line="240" w:lineRule="auto"/>
        <w:ind w:left="720" w:hanging="720"/>
        <w:rPr>
          <w:rFonts w:ascii="Times New Roman" w:hAnsi="Times New Roman" w:cs="Times New Roman"/>
          <w:color w:val="000000" w:themeColor="text1"/>
          <w:shd w:val="clear" w:color="auto" w:fill="FFFFFF"/>
        </w:rPr>
      </w:pPr>
      <w:r w:rsidRPr="00693331">
        <w:rPr>
          <w:rFonts w:ascii="Times New Roman" w:hAnsi="Times New Roman" w:cs="Times New Roman"/>
          <w:color w:val="000000" w:themeColor="text1"/>
          <w:shd w:val="clear" w:color="auto" w:fill="FFFFFF"/>
        </w:rPr>
        <w:t>"POSITION OF TENNESSEE IN 1832-3." 1851., Jun 05</w:t>
      </w:r>
      <w:r w:rsidRPr="00693331">
        <w:rPr>
          <w:rFonts w:ascii="Times New Roman" w:hAnsi="Times New Roman" w:cs="Times New Roman"/>
          <w:i/>
          <w:iCs/>
          <w:color w:val="000000" w:themeColor="text1"/>
          <w:shd w:val="clear" w:color="auto" w:fill="FFFFFF"/>
        </w:rPr>
        <w:t>Republican Banner (1837-1875)</w:t>
      </w:r>
      <w:r w:rsidRPr="00693331">
        <w:rPr>
          <w:rFonts w:ascii="Times New Roman" w:hAnsi="Times New Roman" w:cs="Times New Roman"/>
          <w:color w:val="000000" w:themeColor="text1"/>
          <w:shd w:val="clear" w:color="auto" w:fill="FFFFFF"/>
        </w:rPr>
        <w:t>, 2. https://ezproxy.memphis.edu:3443/login?url=https://www.proquest.com/newspapers/position-tennessee-1832-3/docview/929218953/se-2.</w:t>
      </w:r>
    </w:p>
    <w:p w14:paraId="1F23AB31" w14:textId="67BA4C7E" w:rsidR="00693331" w:rsidRPr="00693331" w:rsidRDefault="00693331" w:rsidP="00693331">
      <w:pPr>
        <w:pStyle w:val="NormalWeb"/>
        <w:shd w:val="clear" w:color="auto" w:fill="FFFFFF"/>
        <w:spacing w:before="75" w:beforeAutospacing="0" w:after="75" w:afterAutospacing="0"/>
        <w:ind w:left="450" w:hanging="450"/>
        <w:rPr>
          <w:color w:val="000000" w:themeColor="text1"/>
        </w:rPr>
      </w:pPr>
      <w:r w:rsidRPr="00693331">
        <w:rPr>
          <w:color w:val="000000" w:themeColor="text1"/>
        </w:rPr>
        <w:t>"Secession Meeting in Winchester, Tennessee." 1860., Dec 01</w:t>
      </w:r>
      <w:r w:rsidRPr="00693331">
        <w:rPr>
          <w:i/>
          <w:iCs/>
          <w:color w:val="000000" w:themeColor="text1"/>
        </w:rPr>
        <w:t>Republican Banner (1837-1875)</w:t>
      </w:r>
      <w:r w:rsidRPr="00693331">
        <w:rPr>
          <w:color w:val="000000" w:themeColor="text1"/>
        </w:rPr>
        <w:t>, 2. https://ezproxy.memphis.edu:3443/login?url=https://www.proquest.com/newspapers/secession-meeting-winchester-tennessee/docview/929195102/se-2.</w:t>
      </w:r>
    </w:p>
    <w:sectPr w:rsidR="00693331" w:rsidRPr="006933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51"/>
    <w:rsid w:val="0000522B"/>
    <w:rsid w:val="0012316A"/>
    <w:rsid w:val="00164569"/>
    <w:rsid w:val="00186391"/>
    <w:rsid w:val="00187585"/>
    <w:rsid w:val="002B51C3"/>
    <w:rsid w:val="002E5FAF"/>
    <w:rsid w:val="00303DB1"/>
    <w:rsid w:val="00347F1D"/>
    <w:rsid w:val="003F4A49"/>
    <w:rsid w:val="004B4DF8"/>
    <w:rsid w:val="004C5797"/>
    <w:rsid w:val="00573628"/>
    <w:rsid w:val="005E5ADE"/>
    <w:rsid w:val="00693331"/>
    <w:rsid w:val="0073556F"/>
    <w:rsid w:val="00987D51"/>
    <w:rsid w:val="009967F6"/>
    <w:rsid w:val="00EE73EC"/>
    <w:rsid w:val="00F94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6A444"/>
  <w15:chartTrackingRefBased/>
  <w15:docId w15:val="{C2F70409-F219-5D4E-AC51-89A6D28F9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51"/>
    <w:rPr>
      <w:rFonts w:eastAsiaTheme="majorEastAsia" w:cstheme="majorBidi"/>
      <w:color w:val="272727" w:themeColor="text1" w:themeTint="D8"/>
    </w:rPr>
  </w:style>
  <w:style w:type="paragraph" w:styleId="Title">
    <w:name w:val="Title"/>
    <w:basedOn w:val="Normal"/>
    <w:next w:val="Normal"/>
    <w:link w:val="TitleChar"/>
    <w:uiPriority w:val="10"/>
    <w:qFormat/>
    <w:rsid w:val="00987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51"/>
    <w:pPr>
      <w:spacing w:before="160"/>
      <w:jc w:val="center"/>
    </w:pPr>
    <w:rPr>
      <w:i/>
      <w:iCs/>
      <w:color w:val="404040" w:themeColor="text1" w:themeTint="BF"/>
    </w:rPr>
  </w:style>
  <w:style w:type="character" w:customStyle="1" w:styleId="QuoteChar">
    <w:name w:val="Quote Char"/>
    <w:basedOn w:val="DefaultParagraphFont"/>
    <w:link w:val="Quote"/>
    <w:uiPriority w:val="29"/>
    <w:rsid w:val="00987D51"/>
    <w:rPr>
      <w:i/>
      <w:iCs/>
      <w:color w:val="404040" w:themeColor="text1" w:themeTint="BF"/>
    </w:rPr>
  </w:style>
  <w:style w:type="paragraph" w:styleId="ListParagraph">
    <w:name w:val="List Paragraph"/>
    <w:basedOn w:val="Normal"/>
    <w:uiPriority w:val="34"/>
    <w:qFormat/>
    <w:rsid w:val="00987D51"/>
    <w:pPr>
      <w:ind w:left="720"/>
      <w:contextualSpacing/>
    </w:pPr>
  </w:style>
  <w:style w:type="character" w:styleId="IntenseEmphasis">
    <w:name w:val="Intense Emphasis"/>
    <w:basedOn w:val="DefaultParagraphFont"/>
    <w:uiPriority w:val="21"/>
    <w:qFormat/>
    <w:rsid w:val="00987D51"/>
    <w:rPr>
      <w:i/>
      <w:iCs/>
      <w:color w:val="0F4761" w:themeColor="accent1" w:themeShade="BF"/>
    </w:rPr>
  </w:style>
  <w:style w:type="paragraph" w:styleId="IntenseQuote">
    <w:name w:val="Intense Quote"/>
    <w:basedOn w:val="Normal"/>
    <w:next w:val="Normal"/>
    <w:link w:val="IntenseQuoteChar"/>
    <w:uiPriority w:val="30"/>
    <w:qFormat/>
    <w:rsid w:val="00987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D51"/>
    <w:rPr>
      <w:i/>
      <w:iCs/>
      <w:color w:val="0F4761" w:themeColor="accent1" w:themeShade="BF"/>
    </w:rPr>
  </w:style>
  <w:style w:type="character" w:styleId="IntenseReference">
    <w:name w:val="Intense Reference"/>
    <w:basedOn w:val="DefaultParagraphFont"/>
    <w:uiPriority w:val="32"/>
    <w:qFormat/>
    <w:rsid w:val="00987D51"/>
    <w:rPr>
      <w:b/>
      <w:bCs/>
      <w:smallCaps/>
      <w:color w:val="0F4761" w:themeColor="accent1" w:themeShade="BF"/>
      <w:spacing w:val="5"/>
    </w:rPr>
  </w:style>
  <w:style w:type="character" w:styleId="Hyperlink">
    <w:name w:val="Hyperlink"/>
    <w:basedOn w:val="DefaultParagraphFont"/>
    <w:uiPriority w:val="99"/>
    <w:unhideWhenUsed/>
    <w:rsid w:val="004B4DF8"/>
    <w:rPr>
      <w:color w:val="467886" w:themeColor="hyperlink"/>
      <w:u w:val="single"/>
    </w:rPr>
  </w:style>
  <w:style w:type="character" w:styleId="UnresolvedMention">
    <w:name w:val="Unresolved Mention"/>
    <w:basedOn w:val="DefaultParagraphFont"/>
    <w:uiPriority w:val="99"/>
    <w:semiHidden/>
    <w:unhideWhenUsed/>
    <w:rsid w:val="004B4DF8"/>
    <w:rPr>
      <w:color w:val="605E5C"/>
      <w:shd w:val="clear" w:color="auto" w:fill="E1DFDD"/>
    </w:rPr>
  </w:style>
  <w:style w:type="paragraph" w:styleId="NormalWeb">
    <w:name w:val="Normal (Web)"/>
    <w:basedOn w:val="Normal"/>
    <w:uiPriority w:val="99"/>
    <w:unhideWhenUsed/>
    <w:rsid w:val="004B4D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4B4D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B8988B0-CB42-534C-89E8-0AE1CB06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499</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Khoa Tran (ntran5)</dc:creator>
  <cp:keywords/>
  <dc:description/>
  <cp:lastModifiedBy>Nguyen Anh Khoa Tran (ntran5)</cp:lastModifiedBy>
  <cp:revision>3</cp:revision>
  <dcterms:created xsi:type="dcterms:W3CDTF">2026-08-31T19:45:00Z</dcterms:created>
  <dcterms:modified xsi:type="dcterms:W3CDTF">2026-09-23T05:39:00Z</dcterms:modified>
</cp:coreProperties>
</file>