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Report 2 Copy Ready Revisions</w:t>
      </w:r>
    </w:p>
    <w:p>
      <w:pPr>
        <w:jc w:val="center"/>
      </w:pPr>
      <w:r>
        <w:rPr>
          <w:i/>
          <w:sz w:val="18"/>
        </w:rPr>
        <w:t>Copy-ready replacement text for the supplied Google Doc</w:t>
      </w:r>
    </w:p>
    <w:p>
      <w:pPr>
        <w:spacing w:after="120" w:line="259" w:lineRule="auto"/>
      </w:pPr>
      <w:r>
        <w:t>Replace Sections 1.1, 1.2, 1.3, 2.1, 2.2 and 6 with the text below. Keep the existing WBS effort rows after adding the Status and Evidence columns described here.</w:t>
      </w:r>
    </w:p>
    <w:p>
      <w:pPr>
        <w:pStyle w:val="Heading1"/>
      </w:pPr>
      <w:r>
        <w:t>1.1 Scope and Estimation</w:t>
      </w:r>
    </w:p>
    <w:p>
      <w:pPr>
        <w:spacing w:after="120" w:line="259" w:lineRule="auto"/>
      </w:pPr>
      <w:r>
        <w:t>LumiGap is an AI-assisted academic research platform whose target scope covers literature discovery, publication trends, evidence-grounded reports and research gaps, project collaboration, AI paper support, academic communities, human review, account credits and administration. The WBS estimates the complete capstone work package; it does not state that every listed feature is already complete.</w:t>
      </w:r>
    </w:p>
    <w:p>
      <w:pPr>
        <w:spacing w:after="120" w:line="259" w:lineRule="auto"/>
      </w:pPr>
      <w:r>
        <w:t>One man-day (MD) equals eight person-hours. Parallel work by two people for one day counts as two MD. Group subtotals summarize their child rows and are not added a second time. The current baseline totals 284 MD, comprising 182 MD of software engineering, 30 MD of independent verification, 50 MD of requirements and documentation, 12 MD of project coordination and 10 MD of training. This is planned effort for the work package, not actual time spent or measured remaining effort.</w:t>
      </w:r>
    </w:p>
    <w:p>
      <w:pPr>
        <w:spacing w:after="120" w:line="259" w:lineRule="auto"/>
      </w:pPr>
      <w:r>
        <w:t>Add these columns to every FE, EX, Q, D, M and T row in the WBS: Status (Implemented, In progress, Planned or Out of release baseline), Evidence (repository path, test file, command or approved document), Primary owner, and Independent reviewer.</w:t>
      </w:r>
    </w:p>
    <w:p>
      <w:pPr>
        <w:spacing w:after="120" w:line="259" w:lineRule="auto"/>
      </w:pPr>
      <w:r>
        <w:t>The current release baseline is the web application and its PostgreSQL, Redis/BullMQ, AI and Python-reviewer support services. The primary mobile client is Flutter in apps/flutter_mobile; it is maintained outside the pnpm workspace and is excluded from the web release baseline unless a separate milestone explicitly accepts mobile work. The former Expo client is not the release baseline.</w:t>
      </w:r>
    </w:p>
    <w:p>
      <w:pPr>
        <w:spacing w:after="120" w:line="259" w:lineRule="auto"/>
      </w:pPr>
      <w:r>
        <w:t>The AI paper-review feature includes the separate Python service in apps/ai-reviewer. The backend calls it through /internal/pre-review, /internal/extract-text, /internal/health and /internal/format-presets, protected by the internal service key. Deployment, timeout, private-file handling and refund behavior must be included in FE-04 integration and acceptance evidence.</w:t>
      </w:r>
    </w:p>
    <w:p>
      <w:pPr>
        <w:pStyle w:val="Heading2"/>
      </w:pPr>
      <w:r>
        <w:t>Feature status summary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8"/>
          </w:tcPr>
          <w:p>
            <w:pPr>
              <w:spacing w:after="40"/>
            </w:pPr>
            <w:r/>
            <w:r>
              <w:rPr>
                <w:b/>
                <w:color w:val="FFFFFF"/>
                <w:sz w:val="17"/>
              </w:rPr>
              <w:t>Feature group</w:t>
            </w:r>
          </w:p>
        </w:tc>
        <w:tc>
          <w:tcPr>
            <w:tcW w:type="dxa" w:w="3360"/>
            <w:vAlign w:val="center"/>
            <w:shd w:fill="1F4E78"/>
          </w:tcPr>
          <w:p>
            <w:pPr>
              <w:spacing w:after="40"/>
            </w:pPr>
            <w:r/>
            <w:r>
              <w:rPr>
                <w:b/>
                <w:color w:val="FFFFFF"/>
                <w:sz w:val="17"/>
              </w:rPr>
              <w:t>Baseline status</w:t>
            </w:r>
          </w:p>
        </w:tc>
        <w:tc>
          <w:tcPr>
            <w:tcW w:type="dxa" w:w="3360"/>
            <w:vAlign w:val="center"/>
            <w:shd w:fill="1F4E78"/>
          </w:tcPr>
          <w:p>
            <w:pPr>
              <w:spacing w:after="40"/>
            </w:pPr>
            <w:r/>
            <w:r>
              <w:rPr>
                <w:b/>
                <w:color w:val="FFFFFF"/>
                <w:sz w:val="17"/>
              </w:rPr>
              <w:t>Required acceptance evidence</w:t>
            </w:r>
          </w:p>
        </w:tc>
      </w:tr>
      <w:tr>
        <w:tc>
          <w:tcPr>
            <w:tcW w:type="dxa" w:w="3360"/>
            <w:vAlign w:val="center"/>
            <w:shd w:fill="F2F6FA"/>
          </w:tcPr>
          <w:p>
            <w:pPr>
              <w:spacing w:after="40"/>
            </w:pPr>
            <w:r/>
            <w:r>
              <w:rPr>
                <w:b w:val="0"/>
                <w:color w:val="000000"/>
                <w:sz w:val="17"/>
              </w:rPr>
              <w:t>FE-01 Research discovery</w:t>
            </w:r>
          </w:p>
        </w:tc>
        <w:tc>
          <w:tcPr>
            <w:tcW w:type="dxa" w:w="3360"/>
            <w:vAlign w:val="center"/>
            <w:shd w:fill="F2F6FA"/>
          </w:tcPr>
          <w:p>
            <w:pPr>
              <w:spacing w:after="40"/>
            </w:pPr>
            <w:r/>
            <w:r>
              <w:rPr>
                <w:b w:val="0"/>
                <w:color w:val="000000"/>
                <w:sz w:val="17"/>
              </w:rPr>
              <w:t>Foundation implemented</w:t>
            </w:r>
          </w:p>
        </w:tc>
        <w:tc>
          <w:tcPr>
            <w:tcW w:type="dxa" w:w="3360"/>
            <w:vAlign w:val="center"/>
            <w:shd w:fill="F2F6FA"/>
          </w:tcPr>
          <w:p>
            <w:pPr>
              <w:spacing w:after="40"/>
            </w:pPr>
            <w:r/>
            <w:r>
              <w:rPr>
                <w:b w:val="0"/>
                <w:color w:val="000000"/>
                <w:sz w:val="17"/>
              </w:rPr>
              <w:t>Search, retrieval, paper detail, comparison and access-control journeys.</w:t>
            </w:r>
          </w:p>
        </w:tc>
      </w:tr>
      <w:tr>
        <w:tc>
          <w:tcPr>
            <w:tcW w:type="dxa" w:w="3360"/>
            <w:vAlign w:val="center"/>
          </w:tcPr>
          <w:p>
            <w:pPr>
              <w:spacing w:after="40"/>
            </w:pPr>
            <w:r/>
            <w:r>
              <w:rPr>
                <w:b w:val="0"/>
                <w:color w:val="000000"/>
                <w:sz w:val="17"/>
              </w:rPr>
              <w:t>FE-02 Research intelligence</w:t>
            </w:r>
          </w:p>
        </w:tc>
        <w:tc>
          <w:tcPr>
            <w:tcW w:type="dxa" w:w="3360"/>
            <w:vAlign w:val="center"/>
          </w:tcPr>
          <w:p>
            <w:pPr>
              <w:spacing w:after="40"/>
            </w:pPr>
            <w:r/>
            <w:r>
              <w:rPr>
                <w:b w:val="0"/>
                <w:color w:val="000000"/>
                <w:sz w:val="17"/>
              </w:rPr>
              <w:t>Core implemented; hardening in progress</w:t>
            </w:r>
          </w:p>
        </w:tc>
        <w:tc>
          <w:tcPr>
            <w:tcW w:type="dxa" w:w="3360"/>
            <w:vAlign w:val="center"/>
          </w:tcPr>
          <w:p>
            <w:pPr>
              <w:spacing w:after="40"/>
            </w:pPr>
            <w:r/>
            <w:r>
              <w:rPr>
                <w:b w:val="0"/>
                <w:color w:val="000000"/>
                <w:sz w:val="17"/>
              </w:rPr>
              <w:t>Trends, RAG reports, evidence inspection and gap tests.</w:t>
            </w:r>
          </w:p>
        </w:tc>
      </w:tr>
      <w:tr>
        <w:tc>
          <w:tcPr>
            <w:tcW w:type="dxa" w:w="3360"/>
            <w:vAlign w:val="center"/>
            <w:shd w:fill="F2F6FA"/>
          </w:tcPr>
          <w:p>
            <w:pPr>
              <w:spacing w:after="40"/>
            </w:pPr>
            <w:r/>
            <w:r>
              <w:rPr>
                <w:b w:val="0"/>
                <w:color w:val="000000"/>
                <w:sz w:val="17"/>
              </w:rPr>
              <w:t>FE-03 Project collaboration</w:t>
            </w:r>
          </w:p>
        </w:tc>
        <w:tc>
          <w:tcPr>
            <w:tcW w:type="dxa" w:w="3360"/>
            <w:vAlign w:val="center"/>
            <w:shd w:fill="F2F6FA"/>
          </w:tcPr>
          <w:p>
            <w:pPr>
              <w:spacing w:after="40"/>
            </w:pPr>
            <w:r/>
            <w:r>
              <w:rPr>
                <w:b w:val="0"/>
                <w:color w:val="000000"/>
                <w:sz w:val="17"/>
              </w:rPr>
              <w:t>In progress</w:t>
            </w:r>
          </w:p>
        </w:tc>
        <w:tc>
          <w:tcPr>
            <w:tcW w:type="dxa" w:w="3360"/>
            <w:vAlign w:val="center"/>
            <w:shd w:fill="F2F6FA"/>
          </w:tcPr>
          <w:p>
            <w:pPr>
              <w:spacing w:after="40"/>
            </w:pPr>
            <w:r/>
            <w:r>
              <w:rPr>
                <w:b w:val="0"/>
                <w:color w:val="000000"/>
                <w:sz w:val="17"/>
              </w:rPr>
              <w:t>Lifecycle, membership, invitations, permissions, communication and AI journey.</w:t>
            </w:r>
          </w:p>
        </w:tc>
      </w:tr>
      <w:tr>
        <w:tc>
          <w:tcPr>
            <w:tcW w:type="dxa" w:w="3360"/>
            <w:vAlign w:val="center"/>
          </w:tcPr>
          <w:p>
            <w:pPr>
              <w:spacing w:after="40"/>
            </w:pPr>
            <w:r/>
            <w:r>
              <w:rPr>
                <w:b w:val="0"/>
                <w:color w:val="000000"/>
                <w:sz w:val="17"/>
              </w:rPr>
              <w:t>FE-04 AI paper support</w:t>
            </w:r>
          </w:p>
        </w:tc>
        <w:tc>
          <w:tcPr>
            <w:tcW w:type="dxa" w:w="3360"/>
            <w:vAlign w:val="center"/>
          </w:tcPr>
          <w:p>
            <w:pPr>
              <w:spacing w:after="40"/>
            </w:pPr>
            <w:r/>
            <w:r>
              <w:rPr>
                <w:b w:val="0"/>
                <w:color w:val="000000"/>
                <w:sz w:val="17"/>
              </w:rPr>
              <w:t>Cross-service implementation exists</w:t>
            </w:r>
          </w:p>
        </w:tc>
        <w:tc>
          <w:tcPr>
            <w:tcW w:type="dxa" w:w="3360"/>
            <w:vAlign w:val="center"/>
          </w:tcPr>
          <w:p>
            <w:pPr>
              <w:spacing w:after="40"/>
            </w:pPr>
            <w:r/>
            <w:r>
              <w:rPr>
                <w:b w:val="0"/>
                <w:color w:val="000000"/>
                <w:sz w:val="17"/>
              </w:rPr>
              <w:t>Node/Python integration, private files, format checks, review, credits and failure/refund tests.</w:t>
            </w:r>
          </w:p>
        </w:tc>
      </w:tr>
      <w:tr>
        <w:tc>
          <w:tcPr>
            <w:tcW w:type="dxa" w:w="3360"/>
            <w:vAlign w:val="center"/>
            <w:shd w:fill="F2F6FA"/>
          </w:tcPr>
          <w:p>
            <w:pPr>
              <w:spacing w:after="40"/>
            </w:pPr>
            <w:r/>
            <w:r>
              <w:rPr>
                <w:b w:val="0"/>
                <w:color w:val="000000"/>
                <w:sz w:val="17"/>
              </w:rPr>
              <w:t>FE-05 Academic community</w:t>
            </w:r>
          </w:p>
        </w:tc>
        <w:tc>
          <w:tcPr>
            <w:tcW w:type="dxa" w:w="3360"/>
            <w:vAlign w:val="center"/>
            <w:shd w:fill="F2F6FA"/>
          </w:tcPr>
          <w:p>
            <w:pPr>
              <w:spacing w:after="40"/>
            </w:pPr>
            <w:r/>
            <w:r>
              <w:rPr>
                <w:b w:val="0"/>
                <w:color w:val="000000"/>
                <w:sz w:val="17"/>
              </w:rPr>
              <w:t>In progress</w:t>
            </w:r>
          </w:p>
        </w:tc>
        <w:tc>
          <w:tcPr>
            <w:tcW w:type="dxa" w:w="3360"/>
            <w:vAlign w:val="center"/>
            <w:shd w:fill="F2F6FA"/>
          </w:tcPr>
          <w:p>
            <w:pPr>
              <w:spacing w:after="40"/>
            </w:pPr>
            <w:r/>
            <w:r>
              <w:rPr>
                <w:b w:val="0"/>
                <w:color w:val="000000"/>
                <w:sz w:val="17"/>
              </w:rPr>
              <w:t>Community/forum, citations, voting, reports, moderation and privacy tests.</w:t>
            </w:r>
          </w:p>
        </w:tc>
      </w:tr>
      <w:tr>
        <w:tc>
          <w:tcPr>
            <w:tcW w:type="dxa" w:w="3360"/>
            <w:vAlign w:val="center"/>
          </w:tcPr>
          <w:p>
            <w:pPr>
              <w:spacing w:after="40"/>
            </w:pPr>
            <w:r/>
            <w:r>
              <w:rPr>
                <w:b w:val="0"/>
                <w:color w:val="000000"/>
                <w:sz w:val="17"/>
              </w:rPr>
              <w:t>FE-06 Academic identity and review</w:t>
            </w:r>
          </w:p>
        </w:tc>
        <w:tc>
          <w:tcPr>
            <w:tcW w:type="dxa" w:w="3360"/>
            <w:vAlign w:val="center"/>
          </w:tcPr>
          <w:p>
            <w:pPr>
              <w:spacing w:after="40"/>
            </w:pPr>
            <w:r/>
            <w:r>
              <w:rPr>
                <w:b w:val="0"/>
                <w:color w:val="000000"/>
                <w:sz w:val="17"/>
              </w:rPr>
              <w:t>In progress</w:t>
            </w:r>
          </w:p>
        </w:tc>
        <w:tc>
          <w:tcPr>
            <w:tcW w:type="dxa" w:w="3360"/>
            <w:vAlign w:val="center"/>
          </w:tcPr>
          <w:p>
            <w:pPr>
              <w:spacing w:after="40"/>
            </w:pPr>
            <w:r/>
            <w:r>
              <w:rPr>
                <w:b w:val="0"/>
                <w:color w:val="000000"/>
                <w:sz w:val="17"/>
              </w:rPr>
              <w:t>Profile, verification, mentorship, submission and formal-review permission tests.</w:t>
            </w:r>
          </w:p>
        </w:tc>
      </w:tr>
      <w:tr>
        <w:tc>
          <w:tcPr>
            <w:tcW w:type="dxa" w:w="3360"/>
            <w:vAlign w:val="center"/>
            <w:shd w:fill="F2F6FA"/>
          </w:tcPr>
          <w:p>
            <w:pPr>
              <w:spacing w:after="40"/>
            </w:pPr>
            <w:r/>
            <w:r>
              <w:rPr>
                <w:b w:val="0"/>
                <w:color w:val="000000"/>
                <w:sz w:val="17"/>
              </w:rPr>
              <w:t>FE-07 Account and engagement</w:t>
            </w:r>
          </w:p>
        </w:tc>
        <w:tc>
          <w:tcPr>
            <w:tcW w:type="dxa" w:w="3360"/>
            <w:vAlign w:val="center"/>
            <w:shd w:fill="F2F6FA"/>
          </w:tcPr>
          <w:p>
            <w:pPr>
              <w:spacing w:after="40"/>
            </w:pPr>
            <w:r/>
            <w:r>
              <w:rPr>
                <w:b w:val="0"/>
                <w:color w:val="000000"/>
                <w:sz w:val="17"/>
              </w:rPr>
              <w:t>Authentication and PayOS routes exist; acceptance required</w:t>
            </w:r>
          </w:p>
        </w:tc>
        <w:tc>
          <w:tcPr>
            <w:tcW w:type="dxa" w:w="3360"/>
            <w:vAlign w:val="center"/>
            <w:shd w:fill="F2F6FA"/>
          </w:tcPr>
          <w:p>
            <w:pPr>
              <w:spacing w:after="40"/>
            </w:pPr>
            <w:r/>
            <w:r>
              <w:rPr>
                <w:b w:val="0"/>
                <w:color w:val="000000"/>
                <w:sz w:val="17"/>
              </w:rPr>
              <w:t>Google OAuth, password flow, PayOS signature/idempotency, credit ledger and account tests.</w:t>
            </w:r>
          </w:p>
        </w:tc>
      </w:tr>
      <w:tr>
        <w:tc>
          <w:tcPr>
            <w:tcW w:type="dxa" w:w="3360"/>
            <w:vAlign w:val="center"/>
          </w:tcPr>
          <w:p>
            <w:pPr>
              <w:spacing w:after="40"/>
            </w:pPr>
            <w:r/>
            <w:r>
              <w:rPr>
                <w:b w:val="0"/>
                <w:color w:val="000000"/>
                <w:sz w:val="17"/>
              </w:rPr>
              <w:t>FE-08 Administration and data operations</w:t>
            </w:r>
          </w:p>
        </w:tc>
        <w:tc>
          <w:tcPr>
            <w:tcW w:type="dxa" w:w="3360"/>
            <w:vAlign w:val="center"/>
          </w:tcPr>
          <w:p>
            <w:pPr>
              <w:spacing w:after="40"/>
            </w:pPr>
            <w:r/>
            <w:r>
              <w:rPr>
                <w:b w:val="0"/>
                <w:color w:val="000000"/>
                <w:sz w:val="17"/>
              </w:rPr>
              <w:t>Core exists; operational evidence required</w:t>
            </w:r>
          </w:p>
        </w:tc>
        <w:tc>
          <w:tcPr>
            <w:tcW w:type="dxa" w:w="3360"/>
            <w:vAlign w:val="center"/>
          </w:tcPr>
          <w:p>
            <w:pPr>
              <w:spacing w:after="40"/>
            </w:pPr>
            <w:r/>
            <w:r>
              <w:rPr>
                <w:b w:val="0"/>
                <w:color w:val="000000"/>
                <w:sz w:val="17"/>
              </w:rPr>
              <w:t>OpenAlex, worker heartbeat, pipeline, corpus validation, evaluation and audit evidence.</w:t>
            </w:r>
          </w:p>
        </w:tc>
      </w:tr>
    </w:tbl>
    <w:p/>
    <w:p>
      <w:pPr>
        <w:spacing w:after="120" w:line="259" w:lineRule="auto"/>
      </w:pPr>
      <w:r>
        <w:t>Draft workspace APIs and generic AI job control are supporting capabilities. A full writing editor, automatic paraphrase-diff acceptance, document export and live collaborative editing are outside this baseline unless the supervisor approves a separate scope change. Legacy code is reference material and is not release evidence.</w:t>
      </w:r>
    </w:p>
    <w:p>
      <w:pPr>
        <w:pStyle w:val="Heading1"/>
      </w:pPr>
      <w:r>
        <w:t>1.2 Project Objectives and Quality Targets</w:t>
      </w:r>
    </w:p>
    <w:p>
      <w:pPr>
        <w:spacing w:after="120" w:line="259" w:lineRule="auto"/>
      </w:pPr>
      <w:r>
        <w:t>The project aims to deliver and verify four end-to-end journeys: (1) literature search to an evidence-grounded research gap; (2) research gap to a collaborative project; (3) manuscript submission to human review; and (4) PDF format checking or AI pre-review with controlled credit use. Academic decisions remain with human users. A route or module in the repository is not acceptance evidence by itself. Each journey requires a dated test result, test data description, expected result, actual result and reviewer sign-off.</w:t>
      </w:r>
    </w:p>
    <w:p>
      <w:pPr>
        <w:spacing w:after="120" w:line="259" w:lineRule="auto"/>
      </w:pPr>
      <w:r>
        <w:t>The following are release targets, not current measurements. Replace Not yet measured with the actual result when the relevant test run is complete.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F4E78"/>
          </w:tcPr>
          <w:p>
            <w:pPr>
              <w:spacing w:after="40"/>
            </w:pPr>
            <w:r/>
            <w:r>
              <w:rPr>
                <w:b/>
                <w:color w:val="FFFFFF"/>
                <w:sz w:val="17"/>
              </w:rPr>
              <w:t>Stage</w:t>
            </w:r>
          </w:p>
        </w:tc>
        <w:tc>
          <w:tcPr>
            <w:tcW w:type="dxa" w:w="2520"/>
            <w:vAlign w:val="center"/>
            <w:shd w:fill="1F4E78"/>
          </w:tcPr>
          <w:p>
            <w:pPr>
              <w:spacing w:after="40"/>
            </w:pPr>
            <w:r/>
            <w:r>
              <w:rPr>
                <w:b/>
                <w:color w:val="FFFFFF"/>
                <w:sz w:val="17"/>
              </w:rPr>
              <w:t>Coverage</w:t>
            </w:r>
          </w:p>
        </w:tc>
        <w:tc>
          <w:tcPr>
            <w:tcW w:type="dxa" w:w="2520"/>
            <w:vAlign w:val="center"/>
            <w:shd w:fill="1F4E78"/>
          </w:tcPr>
          <w:p>
            <w:pPr>
              <w:spacing w:after="40"/>
            </w:pPr>
            <w:r/>
            <w:r>
              <w:rPr>
                <w:b/>
                <w:color w:val="FFFFFF"/>
                <w:sz w:val="17"/>
              </w:rPr>
              <w:t>Release target</w:t>
            </w:r>
          </w:p>
        </w:tc>
        <w:tc>
          <w:tcPr>
            <w:tcW w:type="dxa" w:w="2520"/>
            <w:vAlign w:val="center"/>
            <w:shd w:fill="1F4E78"/>
          </w:tcPr>
          <w:p>
            <w:pPr>
              <w:spacing w:after="40"/>
            </w:pPr>
            <w:r/>
            <w:r>
              <w:rPr>
                <w:b/>
                <w:color w:val="FFFFFF"/>
                <w:sz w:val="17"/>
              </w:rPr>
              <w:t>Current evidence</w:t>
            </w:r>
          </w:p>
        </w:tc>
      </w:tr>
      <w:tr>
        <w:tc>
          <w:tcPr>
            <w:tcW w:type="dxa" w:w="2520"/>
            <w:vAlign w:val="center"/>
            <w:shd w:fill="F2F6FA"/>
          </w:tcPr>
          <w:p>
            <w:pPr>
              <w:spacing w:after="40"/>
            </w:pPr>
            <w:r/>
            <w:r>
              <w:rPr>
                <w:b w:val="0"/>
                <w:color w:val="000000"/>
                <w:sz w:val="17"/>
              </w:rPr>
              <w:t>Peer review</w:t>
            </w:r>
          </w:p>
        </w:tc>
        <w:tc>
          <w:tcPr>
            <w:tcW w:type="dxa" w:w="2520"/>
            <w:vAlign w:val="center"/>
            <w:shd w:fill="F2F6FA"/>
          </w:tcPr>
          <w:p>
            <w:pPr>
              <w:spacing w:after="40"/>
            </w:pPr>
            <w:r/>
            <w:r>
              <w:rPr>
                <w:b w:val="0"/>
                <w:color w:val="000000"/>
                <w:sz w:val="17"/>
              </w:rPr>
              <w:t>Every changed PR and API/data contract</w:t>
            </w:r>
          </w:p>
        </w:tc>
        <w:tc>
          <w:tcPr>
            <w:tcW w:type="dxa" w:w="2520"/>
            <w:vAlign w:val="center"/>
            <w:shd w:fill="F2F6FA"/>
          </w:tcPr>
          <w:p>
            <w:pPr>
              <w:spacing w:after="40"/>
            </w:pPr>
            <w:r/>
            <w:r>
              <w:rPr>
                <w:b w:val="0"/>
                <w:color w:val="000000"/>
                <w:sz w:val="17"/>
              </w:rPr>
              <w:t>100% required reviews; no Critical or High defect</w:t>
            </w:r>
          </w:p>
        </w:tc>
        <w:tc>
          <w:tcPr>
            <w:tcW w:type="dxa" w:w="2520"/>
            <w:vAlign w:val="center"/>
            <w:shd w:fill="F2F6FA"/>
          </w:tcPr>
          <w:p>
            <w:pPr>
              <w:spacing w:after="40"/>
            </w:pPr>
            <w:r/>
            <w:r>
              <w:rPr>
                <w:b w:val="0"/>
                <w:color w:val="000000"/>
                <w:sz w:val="17"/>
              </w:rPr>
              <w:t>Not yet measured per release candidate</w:t>
            </w:r>
          </w:p>
        </w:tc>
      </w:tr>
      <w:tr>
        <w:tc>
          <w:tcPr>
            <w:tcW w:type="dxa" w:w="2520"/>
            <w:vAlign w:val="center"/>
          </w:tcPr>
          <w:p>
            <w:pPr>
              <w:spacing w:after="40"/>
            </w:pPr>
            <w:r/>
            <w:r>
              <w:rPr>
                <w:b w:val="0"/>
                <w:color w:val="000000"/>
                <w:sz w:val="17"/>
              </w:rPr>
              <w:t>Unit tests</w:t>
            </w:r>
          </w:p>
        </w:tc>
        <w:tc>
          <w:tcPr>
            <w:tcW w:type="dxa" w:w="2520"/>
            <w:vAlign w:val="center"/>
          </w:tcPr>
          <w:p>
            <w:pPr>
              <w:spacing w:after="40"/>
            </w:pPr>
            <w:r/>
            <w:r>
              <w:rPr>
                <w:b w:val="0"/>
                <w:color w:val="000000"/>
                <w:sz w:val="17"/>
              </w:rPr>
              <w:t>Critical business, privacy and permission rules</w:t>
            </w:r>
          </w:p>
        </w:tc>
        <w:tc>
          <w:tcPr>
            <w:tcW w:type="dxa" w:w="2520"/>
            <w:vAlign w:val="center"/>
          </w:tcPr>
          <w:p>
            <w:pPr>
              <w:spacing w:after="40"/>
            </w:pPr>
            <w:r/>
            <w:r>
              <w:rPr>
                <w:b w:val="0"/>
                <w:color w:val="000000"/>
                <w:sz w:val="17"/>
              </w:rPr>
              <w:t>80% branch target for selected critical modules; no Critical or High defect</w:t>
            </w:r>
          </w:p>
        </w:tc>
        <w:tc>
          <w:tcPr>
            <w:tcW w:type="dxa" w:w="2520"/>
            <w:vAlign w:val="center"/>
          </w:tcPr>
          <w:p>
            <w:pPr>
              <w:spacing w:after="40"/>
            </w:pPr>
            <w:r/>
            <w:r>
              <w:rPr>
                <w:b w:val="0"/>
                <w:color w:val="000000"/>
                <w:sz w:val="17"/>
              </w:rPr>
              <w:t>Record Vitest/Python command and measured result</w:t>
            </w:r>
          </w:p>
        </w:tc>
      </w:tr>
      <w:tr>
        <w:tc>
          <w:tcPr>
            <w:tcW w:type="dxa" w:w="2520"/>
            <w:vAlign w:val="center"/>
            <w:shd w:fill="F2F6FA"/>
          </w:tcPr>
          <w:p>
            <w:pPr>
              <w:spacing w:after="40"/>
            </w:pPr>
            <w:r/>
            <w:r>
              <w:rPr>
                <w:b w:val="0"/>
                <w:color w:val="000000"/>
                <w:sz w:val="17"/>
              </w:rPr>
              <w:t>Integration tests</w:t>
            </w:r>
          </w:p>
        </w:tc>
        <w:tc>
          <w:tcPr>
            <w:tcW w:type="dxa" w:w="2520"/>
            <w:vAlign w:val="center"/>
            <w:shd w:fill="F2F6FA"/>
          </w:tcPr>
          <w:p>
            <w:pPr>
              <w:spacing w:after="40"/>
            </w:pPr>
            <w:r/>
            <w:r>
              <w:rPr>
                <w:b w:val="0"/>
                <w:color w:val="000000"/>
                <w:sz w:val="17"/>
              </w:rPr>
              <w:t>PostgreSQL, Redis/BullMQ, PayOS and Node/Python</w:t>
            </w:r>
          </w:p>
        </w:tc>
        <w:tc>
          <w:tcPr>
            <w:tcW w:type="dxa" w:w="2520"/>
            <w:vAlign w:val="center"/>
            <w:shd w:fill="F2F6FA"/>
          </w:tcPr>
          <w:p>
            <w:pPr>
              <w:spacing w:after="40"/>
            </w:pPr>
            <w:r/>
            <w:r>
              <w:rPr>
                <w:b w:val="0"/>
                <w:color w:val="000000"/>
                <w:sz w:val="17"/>
              </w:rPr>
              <w:t>100% required cases pass, including retries, denials, signature failure and idempotency</w:t>
            </w:r>
          </w:p>
        </w:tc>
        <w:tc>
          <w:tcPr>
            <w:tcW w:type="dxa" w:w="2520"/>
            <w:vAlign w:val="center"/>
            <w:shd w:fill="F2F6FA"/>
          </w:tcPr>
          <w:p>
            <w:pPr>
              <w:spacing w:after="40"/>
            </w:pPr>
            <w:r/>
            <w:r>
              <w:rPr>
                <w:b w:val="0"/>
                <w:color w:val="000000"/>
                <w:sz w:val="17"/>
              </w:rPr>
              <w:t>Record suite and dated result</w:t>
            </w:r>
          </w:p>
        </w:tc>
      </w:tr>
      <w:tr>
        <w:tc>
          <w:tcPr>
            <w:tcW w:type="dxa" w:w="2520"/>
            <w:vAlign w:val="center"/>
          </w:tcPr>
          <w:p>
            <w:pPr>
              <w:spacing w:after="40"/>
            </w:pPr>
            <w:r/>
            <w:r>
              <w:rPr>
                <w:b w:val="0"/>
                <w:color w:val="000000"/>
                <w:sz w:val="17"/>
              </w:rPr>
              <w:t>System tests</w:t>
            </w:r>
          </w:p>
        </w:tc>
        <w:tc>
          <w:tcPr>
            <w:tcW w:type="dxa" w:w="2520"/>
            <w:vAlign w:val="center"/>
          </w:tcPr>
          <w:p>
            <w:pPr>
              <w:spacing w:after="40"/>
            </w:pPr>
            <w:r/>
            <w:r>
              <w:rPr>
                <w:b w:val="0"/>
                <w:color w:val="000000"/>
                <w:sz w:val="17"/>
              </w:rPr>
              <w:t>Four core journeys, private-file and denied-access checks</w:t>
            </w:r>
          </w:p>
        </w:tc>
        <w:tc>
          <w:tcPr>
            <w:tcW w:type="dxa" w:w="2520"/>
            <w:vAlign w:val="center"/>
          </w:tcPr>
          <w:p>
            <w:pPr>
              <w:spacing w:after="40"/>
            </w:pPr>
            <w:r/>
            <w:r>
              <w:rPr>
                <w:b w:val="0"/>
                <w:color w:val="000000"/>
                <w:sz w:val="17"/>
              </w:rPr>
              <w:t>100% mandatory cases pass; no Critical or High defect</w:t>
            </w:r>
          </w:p>
        </w:tc>
        <w:tc>
          <w:tcPr>
            <w:tcW w:type="dxa" w:w="2520"/>
            <w:vAlign w:val="center"/>
          </w:tcPr>
          <w:p>
            <w:pPr>
              <w:spacing w:after="40"/>
            </w:pPr>
            <w:r/>
            <w:r>
              <w:rPr>
                <w:b w:val="0"/>
                <w:color w:val="000000"/>
                <w:sz w:val="17"/>
              </w:rPr>
              <w:t>Record Playwright/browser evidence and test data</w:t>
            </w:r>
          </w:p>
        </w:tc>
      </w:tr>
      <w:tr>
        <w:tc>
          <w:tcPr>
            <w:tcW w:type="dxa" w:w="2520"/>
            <w:vAlign w:val="center"/>
            <w:shd w:fill="F2F6FA"/>
          </w:tcPr>
          <w:p>
            <w:pPr>
              <w:spacing w:after="40"/>
            </w:pPr>
            <w:r/>
            <w:r>
              <w:rPr>
                <w:b w:val="0"/>
                <w:color w:val="000000"/>
                <w:sz w:val="17"/>
              </w:rPr>
              <w:t>Acceptance</w:t>
            </w:r>
          </w:p>
        </w:tc>
        <w:tc>
          <w:tcPr>
            <w:tcW w:type="dxa" w:w="2520"/>
            <w:vAlign w:val="center"/>
            <w:shd w:fill="F2F6FA"/>
          </w:tcPr>
          <w:p>
            <w:pPr>
              <w:spacing w:after="40"/>
            </w:pPr>
            <w:r/>
            <w:r>
              <w:rPr>
                <w:b w:val="0"/>
                <w:color w:val="000000"/>
                <w:sz w:val="17"/>
              </w:rPr>
              <w:t>Baselined SRS criteria</w:t>
            </w:r>
          </w:p>
        </w:tc>
        <w:tc>
          <w:tcPr>
            <w:tcW w:type="dxa" w:w="2520"/>
            <w:vAlign w:val="center"/>
            <w:shd w:fill="F2F6FA"/>
          </w:tcPr>
          <w:p>
            <w:pPr>
              <w:spacing w:after="40"/>
            </w:pPr>
            <w:r/>
            <w:r>
              <w:rPr>
                <w:b w:val="0"/>
                <w:color w:val="000000"/>
                <w:sz w:val="17"/>
              </w:rPr>
              <w:t>100% mandatory criteria accepted; zero release blockers</w:t>
            </w:r>
          </w:p>
        </w:tc>
        <w:tc>
          <w:tcPr>
            <w:tcW w:type="dxa" w:w="2520"/>
            <w:vAlign w:val="center"/>
            <w:shd w:fill="F2F6FA"/>
          </w:tcPr>
          <w:p>
            <w:pPr>
              <w:spacing w:after="40"/>
            </w:pPr>
            <w:r/>
            <w:r>
              <w:rPr>
                <w:b w:val="0"/>
                <w:color w:val="000000"/>
                <w:sz w:val="17"/>
              </w:rPr>
              <w:t>Supervisor acceptance record</w:t>
            </w:r>
          </w:p>
        </w:tc>
      </w:tr>
    </w:tbl>
    <w:p/>
    <w:p>
      <w:pPr>
        <w:spacing w:after="120" w:line="259" w:lineRule="auto"/>
      </w:pPr>
      <w:r>
        <w:t>Milestone reviews are planned for Weeks 3, 6, 9, 11 and 12 relative to the confirmed kick-off. The supervisor records acceptance after reviewing the relevant deliverables and evidence. The five-member capacity assumption is 300 MD over 12 weeks. The 16 MD contingency is reserved capacity and must not be reported as completed work. Actual weekly availability must be recorded; scope additions require re-estimation and owner approval.</w:t>
      </w:r>
    </w:p>
    <w:p>
      <w:pPr>
        <w:pStyle w:val="Heading1"/>
      </w:pPr>
      <w:r>
        <w:t>1.3 Project Risks</w:t>
      </w:r>
    </w:p>
    <w:p>
      <w:pPr>
        <w:spacing w:after="120" w:line="259" w:lineRule="auto"/>
      </w:pPr>
      <w:r>
        <w:t>The team reviews risks weekly and after a failed milestone, security incident or material scope change. Each risk record must include an owner, trigger or metric, response deadline, residual rating and status.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1F4E78"/>
          </w:tcPr>
          <w:p>
            <w:pPr>
              <w:spacing w:after="40"/>
            </w:pPr>
            <w:r/>
            <w:r>
              <w:rPr>
                <w:b/>
                <w:color w:val="FFFFFF"/>
                <w:sz w:val="17"/>
              </w:rPr>
              <w:t>Risk</w:t>
            </w:r>
          </w:p>
        </w:tc>
        <w:tc>
          <w:tcPr>
            <w:tcW w:type="dxa" w:w="2016"/>
            <w:vAlign w:val="center"/>
            <w:shd w:fill="1F4E78"/>
          </w:tcPr>
          <w:p>
            <w:pPr>
              <w:spacing w:after="40"/>
            </w:pPr>
            <w:r/>
            <w:r>
              <w:rPr>
                <w:b/>
                <w:color w:val="FFFFFF"/>
                <w:sz w:val="17"/>
              </w:rPr>
              <w:t>Trigger or metric</w:t>
            </w:r>
          </w:p>
        </w:tc>
        <w:tc>
          <w:tcPr>
            <w:tcW w:type="dxa" w:w="2016"/>
            <w:vAlign w:val="center"/>
            <w:shd w:fill="1F4E78"/>
          </w:tcPr>
          <w:p>
            <w:pPr>
              <w:spacing w:after="40"/>
            </w:pPr>
            <w:r/>
            <w:r>
              <w:rPr>
                <w:b/>
                <w:color w:val="FFFFFF"/>
                <w:sz w:val="17"/>
              </w:rPr>
              <w:t>Response</w:t>
            </w:r>
          </w:p>
        </w:tc>
        <w:tc>
          <w:tcPr>
            <w:tcW w:type="dxa" w:w="2016"/>
            <w:vAlign w:val="center"/>
            <w:shd w:fill="1F4E78"/>
          </w:tcPr>
          <w:p>
            <w:pPr>
              <w:spacing w:after="40"/>
            </w:pPr>
            <w:r/>
            <w:r>
              <w:rPr>
                <w:b/>
                <w:color w:val="FFFFFF"/>
                <w:sz w:val="17"/>
              </w:rPr>
              <w:t>Owner</w:t>
            </w:r>
          </w:p>
        </w:tc>
        <w:tc>
          <w:tcPr>
            <w:tcW w:type="dxa" w:w="2016"/>
            <w:vAlign w:val="center"/>
            <w:shd w:fill="1F4E78"/>
          </w:tcPr>
          <w:p>
            <w:pPr>
              <w:spacing w:after="40"/>
            </w:pPr>
            <w:r/>
            <w:r>
              <w:rPr>
                <w:b/>
                <w:color w:val="FFFFFF"/>
                <w:sz w:val="17"/>
              </w:rPr>
              <w:t>Residual rating</w:t>
            </w:r>
          </w:p>
        </w:tc>
      </w:tr>
      <w:tr>
        <w:tc>
          <w:tcPr>
            <w:tcW w:type="dxa" w:w="2016"/>
            <w:vAlign w:val="center"/>
            <w:shd w:fill="F2F6FA"/>
          </w:tcPr>
          <w:p>
            <w:pPr>
              <w:spacing w:after="40"/>
            </w:pPr>
            <w:r/>
            <w:r>
              <w:rPr>
                <w:b w:val="0"/>
                <w:color w:val="000000"/>
                <w:sz w:val="17"/>
              </w:rPr>
              <w:t>Scope expands into writing editor or mobile release</w:t>
            </w:r>
          </w:p>
        </w:tc>
        <w:tc>
          <w:tcPr>
            <w:tcW w:type="dxa" w:w="2016"/>
            <w:vAlign w:val="center"/>
            <w:shd w:fill="F2F6FA"/>
          </w:tcPr>
          <w:p>
            <w:pPr>
              <w:spacing w:after="40"/>
            </w:pPr>
            <w:r/>
            <w:r>
              <w:rPr>
                <w:b w:val="0"/>
                <w:color w:val="000000"/>
                <w:sz w:val="17"/>
              </w:rPr>
              <w:t>New request outside baselined WBS</w:t>
            </w:r>
          </w:p>
        </w:tc>
        <w:tc>
          <w:tcPr>
            <w:tcW w:type="dxa" w:w="2016"/>
            <w:vAlign w:val="center"/>
            <w:shd w:fill="F2F6FA"/>
          </w:tcPr>
          <w:p>
            <w:pPr>
              <w:spacing w:after="40"/>
            </w:pPr>
            <w:r/>
            <w:r>
              <w:rPr>
                <w:b w:val="0"/>
                <w:color w:val="000000"/>
                <w:sz w:val="17"/>
              </w:rPr>
              <w:t>Keep baseline; estimate and approve extension</w:t>
            </w:r>
          </w:p>
        </w:tc>
        <w:tc>
          <w:tcPr>
            <w:tcW w:type="dxa" w:w="2016"/>
            <w:vAlign w:val="center"/>
            <w:shd w:fill="F2F6FA"/>
          </w:tcPr>
          <w:p>
            <w:pPr>
              <w:spacing w:after="40"/>
            </w:pPr>
            <w:r/>
            <w:r>
              <w:rPr>
                <w:b w:val="0"/>
                <w:color w:val="000000"/>
                <w:sz w:val="17"/>
              </w:rPr>
              <w:t>Hoa</w:t>
            </w:r>
          </w:p>
        </w:tc>
        <w:tc>
          <w:tcPr>
            <w:tcW w:type="dxa" w:w="2016"/>
            <w:vAlign w:val="center"/>
            <w:shd w:fill="F2F6FA"/>
          </w:tcPr>
          <w:p>
            <w:pPr>
              <w:spacing w:after="40"/>
            </w:pPr>
            <w:r/>
            <w:r>
              <w:rPr>
                <w:b w:val="0"/>
                <w:color w:val="000000"/>
                <w:sz w:val="17"/>
              </w:rPr>
              <w:t>Medium</w:t>
            </w:r>
          </w:p>
        </w:tc>
      </w:tr>
      <w:tr>
        <w:tc>
          <w:tcPr>
            <w:tcW w:type="dxa" w:w="2016"/>
            <w:vAlign w:val="center"/>
          </w:tcPr>
          <w:p>
            <w:pPr>
              <w:spacing w:after="40"/>
            </w:pPr>
            <w:r/>
            <w:r>
              <w:rPr>
                <w:b w:val="0"/>
                <w:color w:val="000000"/>
                <w:sz w:val="17"/>
              </w:rPr>
              <w:t>AI output contains unsupported citations or gaps</w:t>
            </w:r>
          </w:p>
        </w:tc>
        <w:tc>
          <w:tcPr>
            <w:tcW w:type="dxa" w:w="2016"/>
            <w:vAlign w:val="center"/>
          </w:tcPr>
          <w:p>
            <w:pPr>
              <w:spacing w:after="40"/>
            </w:pPr>
            <w:r/>
            <w:r>
              <w:rPr>
                <w:b w:val="0"/>
                <w:color w:val="000000"/>
                <w:sz w:val="17"/>
              </w:rPr>
              <w:t>Evidence mismatch or failed gold case</w:t>
            </w:r>
          </w:p>
        </w:tc>
        <w:tc>
          <w:tcPr>
            <w:tcW w:type="dxa" w:w="2016"/>
            <w:vAlign w:val="center"/>
          </w:tcPr>
          <w:p>
            <w:pPr>
              <w:spacing w:after="40"/>
            </w:pPr>
            <w:r/>
            <w:r>
              <w:rPr>
                <w:b w:val="0"/>
                <w:color w:val="000000"/>
                <w:sz w:val="17"/>
              </w:rPr>
              <w:t>Inspect evidence, evaluate gold cases, block unsupported output</w:t>
            </w:r>
          </w:p>
        </w:tc>
        <w:tc>
          <w:tcPr>
            <w:tcW w:type="dxa" w:w="2016"/>
            <w:vAlign w:val="center"/>
          </w:tcPr>
          <w:p>
            <w:pPr>
              <w:spacing w:after="40"/>
            </w:pPr>
            <w:r/>
            <w:r>
              <w:rPr>
                <w:b w:val="0"/>
                <w:color w:val="000000"/>
                <w:sz w:val="17"/>
              </w:rPr>
              <w:t>Khoa</w:t>
            </w:r>
          </w:p>
        </w:tc>
        <w:tc>
          <w:tcPr>
            <w:tcW w:type="dxa" w:w="2016"/>
            <w:vAlign w:val="center"/>
          </w:tcPr>
          <w:p>
            <w:pPr>
              <w:spacing w:after="40"/>
            </w:pPr>
            <w:r/>
            <w:r>
              <w:rPr>
                <w:b w:val="0"/>
                <w:color w:val="000000"/>
                <w:sz w:val="17"/>
              </w:rPr>
              <w:t>Medium</w:t>
            </w:r>
          </w:p>
        </w:tc>
      </w:tr>
      <w:tr>
        <w:tc>
          <w:tcPr>
            <w:tcW w:type="dxa" w:w="2016"/>
            <w:vAlign w:val="center"/>
            <w:shd w:fill="F2F6FA"/>
          </w:tcPr>
          <w:p>
            <w:pPr>
              <w:spacing w:after="40"/>
            </w:pPr>
            <w:r/>
            <w:r>
              <w:rPr>
                <w:b w:val="0"/>
                <w:color w:val="000000"/>
                <w:sz w:val="17"/>
              </w:rPr>
              <w:t>Private manuscript or blind-review leak</w:t>
            </w:r>
          </w:p>
        </w:tc>
        <w:tc>
          <w:tcPr>
            <w:tcW w:type="dxa" w:w="2016"/>
            <w:vAlign w:val="center"/>
            <w:shd w:fill="F2F6FA"/>
          </w:tcPr>
          <w:p>
            <w:pPr>
              <w:spacing w:after="40"/>
            </w:pPr>
            <w:r/>
            <w:r>
              <w:rPr>
                <w:b w:val="0"/>
                <w:color w:val="000000"/>
                <w:sz w:val="17"/>
              </w:rPr>
              <w:t>Access, projection or file test fails</w:t>
            </w:r>
          </w:p>
        </w:tc>
        <w:tc>
          <w:tcPr>
            <w:tcW w:type="dxa" w:w="2016"/>
            <w:vAlign w:val="center"/>
            <w:shd w:fill="F2F6FA"/>
          </w:tcPr>
          <w:p>
            <w:pPr>
              <w:spacing w:after="40"/>
            </w:pPr>
            <w:r/>
            <w:r>
              <w:rPr>
                <w:b w:val="0"/>
                <w:color w:val="000000"/>
                <w:sz w:val="17"/>
              </w:rPr>
              <w:t>Block release and retest object-scoped access</w:t>
            </w:r>
          </w:p>
        </w:tc>
        <w:tc>
          <w:tcPr>
            <w:tcW w:type="dxa" w:w="2016"/>
            <w:vAlign w:val="center"/>
            <w:shd w:fill="F2F6FA"/>
          </w:tcPr>
          <w:p>
            <w:pPr>
              <w:spacing w:after="40"/>
            </w:pPr>
            <w:r/>
            <w:r>
              <w:rPr>
                <w:b w:val="0"/>
                <w:color w:val="000000"/>
                <w:sz w:val="17"/>
              </w:rPr>
              <w:t>Hoa</w:t>
            </w:r>
          </w:p>
        </w:tc>
        <w:tc>
          <w:tcPr>
            <w:tcW w:type="dxa" w:w="2016"/>
            <w:vAlign w:val="center"/>
            <w:shd w:fill="F2F6FA"/>
          </w:tcPr>
          <w:p>
            <w:pPr>
              <w:spacing w:after="40"/>
            </w:pPr>
            <w:r/>
            <w:r>
              <w:rPr>
                <w:b w:val="0"/>
                <w:color w:val="000000"/>
                <w:sz w:val="17"/>
              </w:rPr>
              <w:t>Low after tests</w:t>
            </w:r>
          </w:p>
        </w:tc>
      </w:tr>
      <w:tr>
        <w:tc>
          <w:tcPr>
            <w:tcW w:type="dxa" w:w="2016"/>
            <w:vAlign w:val="center"/>
          </w:tcPr>
          <w:p>
            <w:pPr>
              <w:spacing w:after="40"/>
            </w:pPr>
            <w:r/>
            <w:r>
              <w:rPr>
                <w:b w:val="0"/>
                <w:color w:val="000000"/>
                <w:sz w:val="17"/>
              </w:rPr>
              <w:t>LLM quota, timeout or cost exceeds limits</w:t>
            </w:r>
          </w:p>
        </w:tc>
        <w:tc>
          <w:tcPr>
            <w:tcW w:type="dxa" w:w="2016"/>
            <w:vAlign w:val="center"/>
          </w:tcPr>
          <w:p>
            <w:pPr>
              <w:spacing w:after="40"/>
            </w:pPr>
            <w:r/>
            <w:r>
              <w:rPr>
                <w:b w:val="0"/>
                <w:color w:val="000000"/>
                <w:sz w:val="17"/>
              </w:rPr>
              <w:t>Quota/error/latency threshold exceeded</w:t>
            </w:r>
          </w:p>
        </w:tc>
        <w:tc>
          <w:tcPr>
            <w:tcW w:type="dxa" w:w="2016"/>
            <w:vAlign w:val="center"/>
          </w:tcPr>
          <w:p>
            <w:pPr>
              <w:spacing w:after="40"/>
            </w:pPr>
            <w:r/>
            <w:r>
              <w:rPr>
                <w:b w:val="0"/>
                <w:color w:val="000000"/>
                <w:sz w:val="17"/>
              </w:rPr>
              <w:t>Cache, bounded retry, monitoring and degraded behavior</w:t>
            </w:r>
          </w:p>
        </w:tc>
        <w:tc>
          <w:tcPr>
            <w:tcW w:type="dxa" w:w="2016"/>
            <w:vAlign w:val="center"/>
          </w:tcPr>
          <w:p>
            <w:pPr>
              <w:spacing w:after="40"/>
            </w:pPr>
            <w:r/>
            <w:r>
              <w:rPr>
                <w:b w:val="0"/>
                <w:color w:val="000000"/>
                <w:sz w:val="17"/>
              </w:rPr>
              <w:t>Khoa</w:t>
            </w:r>
          </w:p>
        </w:tc>
        <w:tc>
          <w:tcPr>
            <w:tcW w:type="dxa" w:w="2016"/>
            <w:vAlign w:val="center"/>
          </w:tcPr>
          <w:p>
            <w:pPr>
              <w:spacing w:after="40"/>
            </w:pPr>
            <w:r/>
            <w:r>
              <w:rPr>
                <w:b w:val="0"/>
                <w:color w:val="000000"/>
                <w:sz w:val="17"/>
              </w:rPr>
              <w:t>Medium</w:t>
            </w:r>
          </w:p>
        </w:tc>
      </w:tr>
      <w:tr>
        <w:tc>
          <w:tcPr>
            <w:tcW w:type="dxa" w:w="2016"/>
            <w:vAlign w:val="center"/>
            <w:shd w:fill="F2F6FA"/>
          </w:tcPr>
          <w:p>
            <w:pPr>
              <w:spacing w:after="40"/>
            </w:pPr>
            <w:r/>
            <w:r>
              <w:rPr>
                <w:b w:val="0"/>
                <w:color w:val="000000"/>
                <w:sz w:val="17"/>
              </w:rPr>
              <w:t>PayOS replay or invalid webhook changes balance</w:t>
            </w:r>
          </w:p>
        </w:tc>
        <w:tc>
          <w:tcPr>
            <w:tcW w:type="dxa" w:w="2016"/>
            <w:vAlign w:val="center"/>
            <w:shd w:fill="F2F6FA"/>
          </w:tcPr>
          <w:p>
            <w:pPr>
              <w:spacing w:after="40"/>
            </w:pPr>
            <w:r/>
            <w:r>
              <w:rPr>
                <w:b w:val="0"/>
                <w:color w:val="000000"/>
                <w:sz w:val="17"/>
              </w:rPr>
              <w:t>Duplicate/signature/amount test changes ledger</w:t>
            </w:r>
          </w:p>
        </w:tc>
        <w:tc>
          <w:tcPr>
            <w:tcW w:type="dxa" w:w="2016"/>
            <w:vAlign w:val="center"/>
            <w:shd w:fill="F2F6FA"/>
          </w:tcPr>
          <w:p>
            <w:pPr>
              <w:spacing w:after="40"/>
            </w:pPr>
            <w:r/>
            <w:r>
              <w:rPr>
                <w:b w:val="0"/>
                <w:color w:val="000000"/>
                <w:sz w:val="17"/>
              </w:rPr>
              <w:t>Verify HMAC, amount, order state and idempotency</w:t>
            </w:r>
          </w:p>
        </w:tc>
        <w:tc>
          <w:tcPr>
            <w:tcW w:type="dxa" w:w="2016"/>
            <w:vAlign w:val="center"/>
            <w:shd w:fill="F2F6FA"/>
          </w:tcPr>
          <w:p>
            <w:pPr>
              <w:spacing w:after="40"/>
            </w:pPr>
            <w:r/>
            <w:r>
              <w:rPr>
                <w:b w:val="0"/>
                <w:color w:val="000000"/>
                <w:sz w:val="17"/>
              </w:rPr>
              <w:t>Thanh</w:t>
            </w:r>
          </w:p>
        </w:tc>
        <w:tc>
          <w:tcPr>
            <w:tcW w:type="dxa" w:w="2016"/>
            <w:vAlign w:val="center"/>
            <w:shd w:fill="F2F6FA"/>
          </w:tcPr>
          <w:p>
            <w:pPr>
              <w:spacing w:after="40"/>
            </w:pPr>
            <w:r/>
            <w:r>
              <w:rPr>
                <w:b w:val="0"/>
                <w:color w:val="000000"/>
                <w:sz w:val="17"/>
              </w:rPr>
              <w:t>Low after tests</w:t>
            </w:r>
          </w:p>
        </w:tc>
      </w:tr>
      <w:tr>
        <w:tc>
          <w:tcPr>
            <w:tcW w:type="dxa" w:w="2016"/>
            <w:vAlign w:val="center"/>
          </w:tcPr>
          <w:p>
            <w:pPr>
              <w:spacing w:after="40"/>
            </w:pPr>
            <w:r/>
            <w:r>
              <w:rPr>
                <w:b w:val="0"/>
                <w:color w:val="000000"/>
                <w:sz w:val="17"/>
              </w:rPr>
              <w:t>Self-declared identity treated as verified</w:t>
            </w:r>
          </w:p>
        </w:tc>
        <w:tc>
          <w:tcPr>
            <w:tcW w:type="dxa" w:w="2016"/>
            <w:vAlign w:val="center"/>
          </w:tcPr>
          <w:p>
            <w:pPr>
              <w:spacing w:after="40"/>
            </w:pPr>
            <w:r/>
            <w:r>
              <w:rPr>
                <w:b w:val="0"/>
                <w:color w:val="000000"/>
                <w:sz w:val="17"/>
              </w:rPr>
              <w:t>Profile link/email bypasses approval</w:t>
            </w:r>
          </w:p>
        </w:tc>
        <w:tc>
          <w:tcPr>
            <w:tcW w:type="dxa" w:w="2016"/>
            <w:vAlign w:val="center"/>
          </w:tcPr>
          <w:p>
            <w:pPr>
              <w:spacing w:after="40"/>
            </w:pPr>
            <w:r/>
            <w:r>
              <w:rPr>
                <w:b w:val="0"/>
                <w:color w:val="000000"/>
                <w:sz w:val="17"/>
              </w:rPr>
              <w:t>Keep self-declaration, email and admin approval separate</w:t>
            </w:r>
          </w:p>
        </w:tc>
        <w:tc>
          <w:tcPr>
            <w:tcW w:type="dxa" w:w="2016"/>
            <w:vAlign w:val="center"/>
          </w:tcPr>
          <w:p>
            <w:pPr>
              <w:spacing w:after="40"/>
            </w:pPr>
            <w:r/>
            <w:r>
              <w:rPr>
                <w:b w:val="0"/>
                <w:color w:val="000000"/>
                <w:sz w:val="17"/>
              </w:rPr>
              <w:t>Hoa</w:t>
            </w:r>
          </w:p>
        </w:tc>
        <w:tc>
          <w:tcPr>
            <w:tcW w:type="dxa" w:w="2016"/>
            <w:vAlign w:val="center"/>
          </w:tcPr>
          <w:p>
            <w:pPr>
              <w:spacing w:after="40"/>
            </w:pPr>
            <w:r/>
            <w:r>
              <w:rPr>
                <w:b w:val="0"/>
                <w:color w:val="000000"/>
                <w:sz w:val="17"/>
              </w:rPr>
              <w:t>Low</w:t>
            </w:r>
          </w:p>
        </w:tc>
      </w:tr>
      <w:tr>
        <w:tc>
          <w:tcPr>
            <w:tcW w:type="dxa" w:w="2016"/>
            <w:vAlign w:val="center"/>
            <w:shd w:fill="F2F6FA"/>
          </w:tcPr>
          <w:p>
            <w:pPr>
              <w:spacing w:after="40"/>
            </w:pPr>
            <w:r/>
            <w:r>
              <w:rPr>
                <w:b w:val="0"/>
                <w:color w:val="000000"/>
                <w:sz w:val="17"/>
              </w:rPr>
              <w:t>pgvector slow or unavailable</w:t>
            </w:r>
          </w:p>
        </w:tc>
        <w:tc>
          <w:tcPr>
            <w:tcW w:type="dxa" w:w="2016"/>
            <w:vAlign w:val="center"/>
            <w:shd w:fill="F2F6FA"/>
          </w:tcPr>
          <w:p>
            <w:pPr>
              <w:spacing w:after="40"/>
            </w:pPr>
            <w:r/>
            <w:r>
              <w:rPr>
                <w:b w:val="0"/>
                <w:color w:val="000000"/>
                <w:sz w:val="17"/>
              </w:rPr>
              <w:t>Latency/error/readiness threshold exceeded</w:t>
            </w:r>
          </w:p>
        </w:tc>
        <w:tc>
          <w:tcPr>
            <w:tcW w:type="dxa" w:w="2016"/>
            <w:vAlign w:val="center"/>
            <w:shd w:fill="F2F6FA"/>
          </w:tcPr>
          <w:p>
            <w:pPr>
              <w:spacing w:after="40"/>
            </w:pPr>
            <w:r/>
            <w:r>
              <w:rPr>
                <w:b w:val="0"/>
                <w:color w:val="000000"/>
                <w:sz w:val="17"/>
              </w:rPr>
              <w:t>Review indexes and verify keyword fallback</w:t>
            </w:r>
          </w:p>
        </w:tc>
        <w:tc>
          <w:tcPr>
            <w:tcW w:type="dxa" w:w="2016"/>
            <w:vAlign w:val="center"/>
            <w:shd w:fill="F2F6FA"/>
          </w:tcPr>
          <w:p>
            <w:pPr>
              <w:spacing w:after="40"/>
            </w:pPr>
            <w:r/>
            <w:r>
              <w:rPr>
                <w:b w:val="0"/>
                <w:color w:val="000000"/>
                <w:sz w:val="17"/>
              </w:rPr>
              <w:t>Thanh</w:t>
            </w:r>
          </w:p>
        </w:tc>
        <w:tc>
          <w:tcPr>
            <w:tcW w:type="dxa" w:w="2016"/>
            <w:vAlign w:val="center"/>
            <w:shd w:fill="F2F6FA"/>
          </w:tcPr>
          <w:p>
            <w:pPr>
              <w:spacing w:after="40"/>
            </w:pPr>
            <w:r/>
            <w:r>
              <w:rPr>
                <w:b w:val="0"/>
                <w:color w:val="000000"/>
                <w:sz w:val="17"/>
              </w:rPr>
              <w:t>Medium</w:t>
            </w:r>
          </w:p>
        </w:tc>
      </w:tr>
      <w:tr>
        <w:tc>
          <w:tcPr>
            <w:tcW w:type="dxa" w:w="2016"/>
            <w:vAlign w:val="center"/>
          </w:tcPr>
          <w:p>
            <w:pPr>
              <w:spacing w:after="40"/>
            </w:pPr>
            <w:r/>
            <w:r>
              <w:rPr>
                <w:b w:val="0"/>
                <w:color w:val="000000"/>
                <w:sz w:val="17"/>
              </w:rPr>
              <w:t>Worker failure leaves jobs stuck</w:t>
            </w:r>
          </w:p>
        </w:tc>
        <w:tc>
          <w:tcPr>
            <w:tcW w:type="dxa" w:w="2016"/>
            <w:vAlign w:val="center"/>
          </w:tcPr>
          <w:p>
            <w:pPr>
              <w:spacing w:after="40"/>
            </w:pPr>
            <w:r/>
            <w:r>
              <w:rPr>
                <w:b w:val="0"/>
                <w:color w:val="000000"/>
                <w:sz w:val="17"/>
              </w:rPr>
              <w:t>Missed heartbeat or orphaned state</w:t>
            </w:r>
          </w:p>
        </w:tc>
        <w:tc>
          <w:tcPr>
            <w:tcW w:type="dxa" w:w="2016"/>
            <w:vAlign w:val="center"/>
          </w:tcPr>
          <w:p>
            <w:pPr>
              <w:spacing w:after="40"/>
            </w:pPr>
            <w:r/>
            <w:r>
              <w:rPr>
                <w:b w:val="0"/>
                <w:color w:val="000000"/>
                <w:sz w:val="17"/>
              </w:rPr>
              <w:t>Monitor heartbeat, startup recovery, retry/refund behavior</w:t>
            </w:r>
          </w:p>
        </w:tc>
        <w:tc>
          <w:tcPr>
            <w:tcW w:type="dxa" w:w="2016"/>
            <w:vAlign w:val="center"/>
          </w:tcPr>
          <w:p>
            <w:pPr>
              <w:spacing w:after="40"/>
            </w:pPr>
            <w:r/>
            <w:r>
              <w:rPr>
                <w:b w:val="0"/>
                <w:color w:val="000000"/>
                <w:sz w:val="17"/>
              </w:rPr>
              <w:t>Khoa</w:t>
            </w:r>
          </w:p>
        </w:tc>
        <w:tc>
          <w:tcPr>
            <w:tcW w:type="dxa" w:w="2016"/>
            <w:vAlign w:val="center"/>
          </w:tcPr>
          <w:p>
            <w:pPr>
              <w:spacing w:after="40"/>
            </w:pPr>
            <w:r/>
            <w:r>
              <w:rPr>
                <w:b w:val="0"/>
                <w:color w:val="000000"/>
                <w:sz w:val="17"/>
              </w:rPr>
              <w:t>Medium</w:t>
            </w:r>
          </w:p>
        </w:tc>
      </w:tr>
      <w:tr>
        <w:tc>
          <w:tcPr>
            <w:tcW w:type="dxa" w:w="2016"/>
            <w:vAlign w:val="center"/>
            <w:shd w:fill="F2F6FA"/>
          </w:tcPr>
          <w:p>
            <w:pPr>
              <w:spacing w:after="40"/>
            </w:pPr>
            <w:r/>
            <w:r>
              <w:rPr>
                <w:b w:val="0"/>
                <w:color w:val="000000"/>
                <w:sz w:val="17"/>
              </w:rPr>
              <w:t>Migration or recovery loses data</w:t>
            </w:r>
          </w:p>
        </w:tc>
        <w:tc>
          <w:tcPr>
            <w:tcW w:type="dxa" w:w="2016"/>
            <w:vAlign w:val="center"/>
            <w:shd w:fill="F2F6FA"/>
          </w:tcPr>
          <w:p>
            <w:pPr>
              <w:spacing w:after="40"/>
            </w:pPr>
            <w:r/>
            <w:r>
              <w:rPr>
                <w:b w:val="0"/>
                <w:color w:val="000000"/>
                <w:sz w:val="17"/>
              </w:rPr>
              <w:t>Restore rehearsal or migration check fails</w:t>
            </w:r>
          </w:p>
        </w:tc>
        <w:tc>
          <w:tcPr>
            <w:tcW w:type="dxa" w:w="2016"/>
            <w:vAlign w:val="center"/>
            <w:shd w:fill="F2F6FA"/>
          </w:tcPr>
          <w:p>
            <w:pPr>
              <w:spacing w:after="40"/>
            </w:pPr>
            <w:r/>
            <w:r>
              <w:rPr>
                <w:b w:val="0"/>
                <w:color w:val="000000"/>
                <w:sz w:val="17"/>
              </w:rPr>
              <w:t>Use hand-written migrations, backup and rehearse restore</w:t>
            </w:r>
          </w:p>
        </w:tc>
        <w:tc>
          <w:tcPr>
            <w:tcW w:type="dxa" w:w="2016"/>
            <w:vAlign w:val="center"/>
            <w:shd w:fill="F2F6FA"/>
          </w:tcPr>
          <w:p>
            <w:pPr>
              <w:spacing w:after="40"/>
            </w:pPr>
            <w:r/>
            <w:r>
              <w:rPr>
                <w:b w:val="0"/>
                <w:color w:val="000000"/>
                <w:sz w:val="17"/>
              </w:rPr>
              <w:t>Thanh</w:t>
            </w:r>
          </w:p>
        </w:tc>
        <w:tc>
          <w:tcPr>
            <w:tcW w:type="dxa" w:w="2016"/>
            <w:vAlign w:val="center"/>
            <w:shd w:fill="F2F6FA"/>
          </w:tcPr>
          <w:p>
            <w:pPr>
              <w:spacing w:after="40"/>
            </w:pPr>
            <w:r/>
            <w:r>
              <w:rPr>
                <w:b w:val="0"/>
                <w:color w:val="000000"/>
                <w:sz w:val="17"/>
              </w:rPr>
              <w:t>Medium</w:t>
            </w:r>
          </w:p>
        </w:tc>
      </w:tr>
      <w:tr>
        <w:tc>
          <w:tcPr>
            <w:tcW w:type="dxa" w:w="2016"/>
            <w:vAlign w:val="center"/>
          </w:tcPr>
          <w:p>
            <w:pPr>
              <w:spacing w:after="40"/>
            </w:pPr>
            <w:r/>
            <w:r>
              <w:rPr>
                <w:b w:val="0"/>
                <w:color w:val="000000"/>
                <w:sz w:val="17"/>
              </w:rPr>
              <w:t>Availability below 300 MD</w:t>
            </w:r>
          </w:p>
        </w:tc>
        <w:tc>
          <w:tcPr>
            <w:tcW w:type="dxa" w:w="2016"/>
            <w:vAlign w:val="center"/>
          </w:tcPr>
          <w:p>
            <w:pPr>
              <w:spacing w:after="40"/>
            </w:pPr>
            <w:r/>
            <w:r>
              <w:rPr>
                <w:b w:val="0"/>
                <w:color w:val="000000"/>
                <w:sz w:val="17"/>
              </w:rPr>
              <w:t>Weekly capacity below forecast</w:t>
            </w:r>
          </w:p>
        </w:tc>
        <w:tc>
          <w:tcPr>
            <w:tcW w:type="dxa" w:w="2016"/>
            <w:vAlign w:val="center"/>
          </w:tcPr>
          <w:p>
            <w:pPr>
              <w:spacing w:after="40"/>
            </w:pPr>
            <w:r/>
            <w:r>
              <w:rPr>
                <w:b w:val="0"/>
                <w:color w:val="000000"/>
                <w:sz w:val="17"/>
              </w:rPr>
              <w:t>Reforecast loads and defer unapproved scope</w:t>
            </w:r>
          </w:p>
        </w:tc>
        <w:tc>
          <w:tcPr>
            <w:tcW w:type="dxa" w:w="2016"/>
            <w:vAlign w:val="center"/>
          </w:tcPr>
          <w:p>
            <w:pPr>
              <w:spacing w:after="40"/>
            </w:pPr>
            <w:r/>
            <w:r>
              <w:rPr>
                <w:b w:val="0"/>
                <w:color w:val="000000"/>
                <w:sz w:val="17"/>
              </w:rPr>
              <w:t>Hoa</w:t>
            </w:r>
          </w:p>
        </w:tc>
        <w:tc>
          <w:tcPr>
            <w:tcW w:type="dxa" w:w="2016"/>
            <w:vAlign w:val="center"/>
          </w:tcPr>
          <w:p>
            <w:pPr>
              <w:spacing w:after="40"/>
            </w:pPr>
            <w:r/>
            <w:r>
              <w:rPr>
                <w:b w:val="0"/>
                <w:color w:val="000000"/>
                <w:sz w:val="17"/>
              </w:rPr>
              <w:t>Medium</w:t>
            </w:r>
          </w:p>
        </w:tc>
      </w:tr>
      <w:tr>
        <w:tc>
          <w:tcPr>
            <w:tcW w:type="dxa" w:w="2016"/>
            <w:vAlign w:val="center"/>
            <w:shd w:fill="F2F6FA"/>
          </w:tcPr>
          <w:p>
            <w:pPr>
              <w:spacing w:after="40"/>
            </w:pPr>
            <w:r/>
            <w:r>
              <w:rPr>
                <w:b w:val="0"/>
                <w:color w:val="000000"/>
                <w:sz w:val="17"/>
              </w:rPr>
              <w:t>Too few reviewers or pilot submissions</w:t>
            </w:r>
          </w:p>
        </w:tc>
        <w:tc>
          <w:tcPr>
            <w:tcW w:type="dxa" w:w="2016"/>
            <w:vAlign w:val="center"/>
            <w:shd w:fill="F2F6FA"/>
          </w:tcPr>
          <w:p>
            <w:pPr>
              <w:spacing w:after="40"/>
            </w:pPr>
            <w:r/>
            <w:r>
              <w:rPr>
                <w:b w:val="0"/>
                <w:color w:val="000000"/>
                <w:sz w:val="17"/>
              </w:rPr>
              <w:t>Fewer consented cases than acceptance plan</w:t>
            </w:r>
          </w:p>
        </w:tc>
        <w:tc>
          <w:tcPr>
            <w:tcW w:type="dxa" w:w="2016"/>
            <w:vAlign w:val="center"/>
            <w:shd w:fill="F2F6FA"/>
          </w:tcPr>
          <w:p>
            <w:pPr>
              <w:spacing w:after="40"/>
            </w:pPr>
            <w:r/>
            <w:r>
              <w:rPr>
                <w:b w:val="0"/>
                <w:color w:val="000000"/>
                <w:sz w:val="17"/>
              </w:rPr>
              <w:t>Recruit early and prepare test submissions</w:t>
            </w:r>
          </w:p>
        </w:tc>
        <w:tc>
          <w:tcPr>
            <w:tcW w:type="dxa" w:w="2016"/>
            <w:vAlign w:val="center"/>
            <w:shd w:fill="F2F6FA"/>
          </w:tcPr>
          <w:p>
            <w:pPr>
              <w:spacing w:after="40"/>
            </w:pPr>
            <w:r/>
            <w:r>
              <w:rPr>
                <w:b w:val="0"/>
                <w:color w:val="000000"/>
                <w:sz w:val="17"/>
              </w:rPr>
              <w:t>Hoang</w:t>
            </w:r>
          </w:p>
        </w:tc>
        <w:tc>
          <w:tcPr>
            <w:tcW w:type="dxa" w:w="2016"/>
            <w:vAlign w:val="center"/>
            <w:shd w:fill="F2F6FA"/>
          </w:tcPr>
          <w:p>
            <w:pPr>
              <w:spacing w:after="40"/>
            </w:pPr>
            <w:r/>
            <w:r>
              <w:rPr>
                <w:b w:val="0"/>
                <w:color w:val="000000"/>
                <w:sz w:val="17"/>
              </w:rPr>
              <w:t>Medium</w:t>
            </w:r>
          </w:p>
        </w:tc>
      </w:tr>
      <w:tr>
        <w:tc>
          <w:tcPr>
            <w:tcW w:type="dxa" w:w="2016"/>
            <w:vAlign w:val="center"/>
          </w:tcPr>
          <w:p>
            <w:pPr>
              <w:spacing w:after="40"/>
            </w:pPr>
            <w:r/>
            <w:r>
              <w:rPr>
                <w:b w:val="0"/>
                <w:color w:val="000000"/>
                <w:sz w:val="17"/>
              </w:rPr>
              <w:t>Documents drift from code</w:t>
            </w:r>
          </w:p>
        </w:tc>
        <w:tc>
          <w:tcPr>
            <w:tcW w:type="dxa" w:w="2016"/>
            <w:vAlign w:val="center"/>
          </w:tcPr>
          <w:p>
            <w:pPr>
              <w:spacing w:after="40"/>
            </w:pPr>
            <w:r/>
            <w:r>
              <w:rPr>
                <w:b w:val="0"/>
                <w:color w:val="000000"/>
                <w:sz w:val="17"/>
              </w:rPr>
              <w:t>Review finds path, behavior or requirement mismatch</w:t>
            </w:r>
          </w:p>
        </w:tc>
        <w:tc>
          <w:tcPr>
            <w:tcW w:type="dxa" w:w="2016"/>
            <w:vAlign w:val="center"/>
          </w:tcPr>
          <w:p>
            <w:pPr>
              <w:spacing w:after="40"/>
            </w:pPr>
            <w:r/>
            <w:r>
              <w:rPr>
                <w:b w:val="0"/>
                <w:color w:val="000000"/>
                <w:sz w:val="17"/>
              </w:rPr>
              <w:t>Maintain traceability and verify weekly</w:t>
            </w:r>
          </w:p>
        </w:tc>
        <w:tc>
          <w:tcPr>
            <w:tcW w:type="dxa" w:w="2016"/>
            <w:vAlign w:val="center"/>
          </w:tcPr>
          <w:p>
            <w:pPr>
              <w:spacing w:after="40"/>
            </w:pPr>
            <w:r/>
            <w:r>
              <w:rPr>
                <w:b w:val="0"/>
                <w:color w:val="000000"/>
                <w:sz w:val="17"/>
              </w:rPr>
              <w:t>Hoang</w:t>
            </w:r>
          </w:p>
        </w:tc>
        <w:tc>
          <w:tcPr>
            <w:tcW w:type="dxa" w:w="2016"/>
            <w:vAlign w:val="center"/>
          </w:tcPr>
          <w:p>
            <w:pPr>
              <w:spacing w:after="40"/>
            </w:pPr>
            <w:r/>
            <w:r>
              <w:rPr>
                <w:b w:val="0"/>
                <w:color w:val="000000"/>
                <w:sz w:val="17"/>
              </w:rPr>
              <w:t>Medium</w:t>
            </w:r>
          </w:p>
        </w:tc>
      </w:tr>
    </w:tbl>
    <w:p/>
    <w:p>
      <w:pPr>
        <w:pStyle w:val="Heading1"/>
      </w:pPr>
      <w:r>
        <w:t>2.1 Project Process</w:t>
      </w:r>
    </w:p>
    <w:p>
      <w:pPr>
        <w:spacing w:after="120" w:line="259" w:lineRule="auto"/>
      </w:pPr>
      <w:r>
        <w:t>The five-member team works in six two-week iterations. Hoa coordinates planning, scope, risk and capacity. Hoang maintains requirements, the document backlog and milestone evidence. Technical owners agree on contracts, implement changes, perform developer checks and provide evidence for independent verification. The backlog and effort forecast are reviewed weekly.</w:t>
      </w:r>
    </w:p>
    <w:p>
      <w:pPr>
        <w:spacing w:after="120" w:line="259" w:lineRule="auto"/>
      </w:pPr>
      <w:r>
        <w:t>A software task is complete only when its implementation, independent review, relevant test result and demonstration evidence are recorded. A document task is complete when its technical owner verifies accuracy, Hoa reviews the consolidated version and Hoang publishes the approved revision. Scope, effort and milestone changes are logged and reviewed with the supervisor.</w:t>
      </w:r>
    </w:p>
    <w:p>
      <w:pPr>
        <w:spacing w:after="120" w:line="259" w:lineRule="auto"/>
      </w:pPr>
      <w:r>
        <w:t>Standard repository checks are pnpm typecheck, pnpm test, pnpm lint, configured Playwright/browser checks, pnpm --filter backend runtime:audit:postgres and pnpm --filter backend db:migrate:deploy where applicable. Prisma migrations are written and reviewed by hand; prisma migrate dev is not used for this repository.</w:t>
      </w:r>
    </w:p>
    <w:p>
      <w:pPr>
        <w:pStyle w:val="Heading1"/>
      </w:pPr>
      <w:r>
        <w:t>2.2 Quality Management</w:t>
      </w:r>
    </w:p>
    <w:p>
      <w:pPr>
        <w:pStyle w:val="ListBullet"/>
        <w:spacing w:after="60"/>
      </w:pPr>
      <w:r>
        <w:t>Defect prevention: agree on API contracts, permission rules, migration steps, private-file rules and AI evidence requirements before implementation.</w:t>
      </w:r>
    </w:p>
    <w:p>
      <w:pPr>
        <w:pStyle w:val="ListBullet"/>
        <w:spacing w:after="60"/>
      </w:pPr>
      <w:r>
        <w:t>Review: a second team member checks behavior, denied paths, privacy, data changes and test evidence for each pull request.</w:t>
      </w:r>
    </w:p>
    <w:p>
      <w:pPr>
        <w:pStyle w:val="ListBullet"/>
        <w:spacing w:after="60"/>
      </w:pPr>
      <w:r>
        <w:t>Unit testing: cover critical authorization, matching, contribution, revision, credit and AI-output rules.</w:t>
      </w:r>
    </w:p>
    <w:p>
      <w:pPr>
        <w:pStyle w:val="ListBullet"/>
        <w:spacing w:after="60"/>
      </w:pPr>
      <w:r>
        <w:t>Integration testing: verify PostgreSQL, Redis/BullMQ, PayOS, external services and TypeScript/Python contracts, including retries and failures.</w:t>
      </w:r>
    </w:p>
    <w:p>
      <w:pPr>
        <w:pStyle w:val="ListBullet"/>
        <w:spacing w:after="60"/>
      </w:pPr>
      <w:r>
        <w:t>System testing: verify the four core journeys plus denied access, payment replay, private-file handling, worker recovery and provider failure cases against a reproducible release candidate.</w:t>
      </w:r>
    </w:p>
    <w:p>
      <w:pPr>
        <w:spacing w:after="120" w:line="259" w:lineRule="auto"/>
      </w:pPr>
      <w:r>
        <w:t>Defects are logged with severity, reproduction steps, owner, affected version and verifying test. A different team member confirms the fix before closure. A target or a source module does not count as a passing result until a dated test record exists.</w:t>
      </w:r>
    </w:p>
    <w:p>
      <w:pPr>
        <w:pStyle w:val="Heading1"/>
      </w:pPr>
      <w:r>
        <w:t>4. Responsibility Assignments</w:t>
      </w:r>
    </w:p>
    <w:p>
      <w:pPr>
        <w:spacing w:after="120" w:line="259" w:lineRule="auto"/>
      </w:pPr>
      <w:r>
        <w:t>Keep the current responsibility matrix and add two rules. Every work item has one primary owner and one backup/support owner. The independent reviewer must be different from the primary implementer. Q00, D09 and release acceptance evidence require review by a person who did not implement the behavior being accepted.</w:t>
      </w:r>
    </w:p>
    <w:p>
      <w:pPr>
        <w:pStyle w:val="Heading1"/>
      </w:pPr>
      <w:r>
        <w:t>6. Configuration Management</w:t>
      </w:r>
    </w:p>
    <w:p>
      <w:pPr>
        <w:spacing w:after="120" w:line="259" w:lineRule="auto"/>
      </w:pPr>
      <w:r>
        <w:t>The repository is a pnpm workspace managed with Turborepo. pnpm-lock.yaml, pnpm-workspace.yaml and .npmrc are version-controlled baselines. Application changes are reviewed through branches and pull requests. PostgreSQL schema changes use checked-in hand-written migrations and are applied with the deployment command; development migration generation that could drop existing indexes or foreign keys is prohibited.</w:t>
      </w:r>
    </w:p>
    <w:p>
      <w:pPr>
        <w:spacing w:after="120" w:line="259" w:lineRule="auto"/>
      </w:pPr>
      <w:r>
        <w:t>Environment files, API keys, JWT keys, database credentials and provider secrets are local configuration and must never be committed. The configured AI provider, storage mode, PayOS credentials, internal AI-reviewer key and service URLs must be recorded in the environment-variable inventory without exposing secret values.</w:t>
      </w:r>
    </w:p>
    <w:p>
      <w:pPr>
        <w:spacing w:after="120" w:line="259" w:lineRule="auto"/>
      </w:pPr>
      <w:r>
        <w:t>Document versions are identified by report name, revision date and approval status. Each report records its source revision, technical contributors, reviewer and evidence links. Hoang maintains the document structure and publication record; technical owners verify the factual accuracy of their sections; Hoa reviews the consolidated package.</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