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4320"/>
      </w:tblGrid>
      <w:tr>
        <w:tc>
          <w:tcPr>
            <w:tcW w:type="dxa" w:w="4680"/>
          </w:tcPr>
          <w:p>
            <w:pPr>
              <w:jc w:val="center"/>
            </w:pPr>
            <w:r>
              <w:rPr>
                <w:rFonts w:ascii="Times New Roman" w:hAnsi="Times New Roman"/>
                <w:b/>
                <w:color w:val="003366"/>
                <w:sz w:val="21"/>
              </w:rPr>
              <w:t>TRƯỜNG ĐẠI HỌC TÔN ĐỨC THẮNG</w:t>
              <w:br/>
              <w:t>KHOA CÔNG NGHỆ THÔNG TIN</w:t>
              <w:br/>
              <w:t>BỘ MÔN HỆ THỐNG THÔNG TIN</w:t>
            </w:r>
          </w:p>
        </w:tc>
        <w:tc>
          <w:tcPr>
            <w:tcW w:type="dxa" w:w="4680"/>
          </w:tcPr>
          <w:p>
            <w:pPr>
              <w:jc w:val="center"/>
            </w:pPr>
            <w:r>
              <w:rPr>
                <w:rFonts w:ascii="Times New Roman" w:hAnsi="Times New Roman"/>
                <w:b/>
                <w:color w:val="555555"/>
                <w:sz w:val="21"/>
              </w:rPr>
              <w:t>BÀI KIỂM TRA THỰC HÀNH LAB 05 (2026)</w:t>
              <w:br/>
              <w:t>Học phần: Hệ Cơ Sở Dữ Liệu</w:t>
              <w:br/>
              <w:t>Mã môn học: 501043</w:t>
            </w:r>
          </w:p>
        </w:tc>
      </w:tr>
    </w:tbl>
    <w:p/>
    <w:p>
      <w:pPr>
        <w:jc w:val="center"/>
      </w:pPr>
      <w:r>
        <w:rPr>
          <w:rFonts w:ascii="Times New Roman" w:hAnsi="Times New Roman"/>
          <w:b/>
          <w:color w:val="990000"/>
          <w:sz w:val="27"/>
        </w:rPr>
        <w:t>BÀI LÀM BẢN BÁO CÁO PHẢN TƯ VÀ TỰ LUẬN</w:t>
        <w:br/>
        <w:t>PHẦN II: NĂNG LỰC PHẢN BIỆN, TƯƠNG TÁC CÔNG NGHỆ &amp; PHẢN TƯ HỌC TẬP</w:t>
      </w:r>
    </w:p>
    <w:tbl>
      <w:tblPr>
        <w:tblW w:type="auto" w:w="0"/>
        <w:jc w:val="center"/>
        <w:tblLook w:firstColumn="1" w:firstRow="1" w:lastColumn="0" w:lastRow="0" w:noHBand="0" w:noVBand="1" w:val="04A0"/>
      </w:tblPr>
      <w:tblGrid>
        <w:gridCol w:w="5040"/>
        <w:gridCol w:w="4320"/>
      </w:tblGrid>
      <w:tr>
        <w:tc>
          <w:tcPr>
            <w:tcW w:type="dxa" w:w="4680"/>
            <w:shd w:fill="F0F4F8"/>
            <w:tcMar>
              <w:top w:w="80" w:type="dxa"/>
              <w:bottom w:w="80" w:type="dxa"/>
              <w:left w:w="120" w:type="dxa"/>
              <w:right w:w="120" w:type="dxa"/>
            </w:tcMar>
          </w:tcPr>
          <w:p>
            <w:r>
              <w:rPr>
                <w:b/>
              </w:rPr>
              <w:t xml:space="preserve">Họ và tên SV: </w:t>
            </w:r>
            <w:r>
              <w:t>Hoàng Thái Đăng Khoa</w:t>
            </w:r>
          </w:p>
        </w:tc>
        <w:tc>
          <w:tcPr>
            <w:tcW w:type="dxa" w:w="4680"/>
            <w:shd w:fill="F0F4F8"/>
            <w:tcMar>
              <w:top w:w="80" w:type="dxa"/>
              <w:bottom w:w="80" w:type="dxa"/>
              <w:left w:w="120" w:type="dxa"/>
              <w:right w:w="120" w:type="dxa"/>
            </w:tcMar>
          </w:tcPr>
          <w:p>
            <w:r>
              <w:rPr>
                <w:b/>
              </w:rPr>
              <w:t xml:space="preserve">Mã số sinh viên: </w:t>
            </w:r>
            <w:r>
              <w:t>52400017</w:t>
            </w:r>
          </w:p>
        </w:tc>
      </w:tr>
      <w:tr>
        <w:tc>
          <w:tcPr>
            <w:tcW w:type="dxa" w:w="4680"/>
            <w:shd w:fill="F0F4F8"/>
            <w:tcMar>
              <w:top w:w="80" w:type="dxa"/>
              <w:bottom w:w="80" w:type="dxa"/>
              <w:left w:w="120" w:type="dxa"/>
              <w:right w:w="120" w:type="dxa"/>
            </w:tcMar>
          </w:tcPr>
          <w:p>
            <w:r>
              <w:rPr>
                <w:b/>
              </w:rPr>
              <w:t xml:space="preserve">Lớp / Ca thực hành: </w:t>
            </w:r>
            <w:r>
              <w:rPr>
                <w:b/>
                <w:color w:val="003399"/>
              </w:rPr>
              <w:t>N02/T02</w:t>
            </w:r>
          </w:p>
        </w:tc>
        <w:tc>
          <w:tcPr>
            <w:tcW w:type="dxa" w:w="4680"/>
            <w:shd w:fill="F0F4F8"/>
            <w:tcMar>
              <w:top w:w="80" w:type="dxa"/>
              <w:bottom w:w="80" w:type="dxa"/>
              <w:left w:w="120" w:type="dxa"/>
              <w:right w:w="120" w:type="dxa"/>
            </w:tcMar>
          </w:tcPr>
          <w:p>
            <w:r>
              <w:rPr>
                <w:b/>
              </w:rPr>
              <w:t xml:space="preserve">Mã đề Kiểm tra: </w:t>
            </w:r>
            <w:r>
              <w:rPr>
                <w:b/>
                <w:color w:val="990000"/>
              </w:rPr>
              <w:t>ĐỀ SỐ 06</w:t>
            </w:r>
          </w:p>
        </w:tc>
      </w:tr>
    </w:tbl>
    <w:p/>
    <w:p>
      <w:r>
        <w:rPr>
          <w:rFonts w:ascii="Times New Roman" w:hAnsi="Times New Roman"/>
          <w:b/>
          <w:color w:val="003366"/>
          <w:sz w:val="26"/>
        </w:rPr>
        <w:t>2.1. Phân Loại Chiến Lược Tương Tác &amp; Quản Trị Nhận Thức (0.75 điểm)</w:t>
      </w:r>
    </w:p>
    <w:p>
      <w:r>
        <w:rPr>
          <w:b/>
        </w:rPr>
        <w:t>Câu 1 (Chiến lược tương tác theo Khung Nhận thức ICAP - 0.5 điểm):</w:t>
        <w:br/>
      </w:r>
      <w:r>
        <w:t>Trong 5 tuần học và làm bài tập SQL, khi sử dụng các công cụ AI (ChatGPT, Claude, Copilot), bạn thuộc nhóm hành vi nào?</w:t>
        <w:br/>
      </w:r>
    </w:p>
    <w:p>
      <w:pPr>
        <w:ind w:left="360"/>
      </w:pPr>
      <w:r>
        <w:rPr>
          <w:b/>
          <w:color w:val="003399"/>
        </w:rPr>
        <w:t xml:space="preserve">Câu trả lời: </w:t>
      </w:r>
      <w:r>
        <w:rPr>
          <w:b/>
        </w:rPr>
        <w:t>Type C (Reflective Debugger) – Tự viết mã trước, chỉ dùng AI để dò tìm lỗi sai cú pháp hoặc ngữ nghĩa.</w:t>
        <w:br/>
      </w:r>
    </w:p>
    <w:p>
      <w:pPr>
        <w:ind w:left="360"/>
      </w:pPr>
      <w:r>
        <w:rPr>
          <w:b/>
          <w:i/>
        </w:rPr>
        <w:t xml:space="preserve">Giải trình nhận thức: </w:t>
      </w:r>
      <w:r>
        <w:t>Lựa chọn Type C thể hiện tư duy học tập có tự điều chỉnh (Self-Regulated Learning). Sinh viên chủ động tư duy giải thuật và tự viết truy vấn T-SQL trước; chỉ dùng AI làm công cụ phản tư (Reflective Filter) để kiểm tra các lỗi cú pháp biên dịch, các bẫy ngữ nghĩa dữ liệu biên (NULL) hoặc đối chiếu cách tối ưu hóa kế hoạch thực thi.</w:t>
      </w:r>
    </w:p>
    <w:p>
      <w:r>
        <w:rPr>
          <w:b/>
        </w:rPr>
        <w:t>Câu 2 (Phân bổ Tải trọng Nhận thức - Cognitive Load - 0.25 điểm):</w:t>
        <w:br/>
      </w:r>
      <w:r>
        <w:t>Ước tính tỷ lệ thời gian (%) bạn dành cho: (1) Đọc hiểu nghiệp vụ, tư duy logic: ............% | (2) Gõ cú pháp, căn chỉnh lệnh trên SSMS: ............% [Tổng: 100%].</w:t>
        <w:br/>
      </w:r>
    </w:p>
    <w:p>
      <w:pPr>
        <w:ind w:left="360"/>
      </w:pPr>
      <w:r>
        <w:rPr>
          <w:b/>
          <w:color w:val="003399"/>
        </w:rPr>
        <w:t xml:space="preserve">Câu trả lời: </w:t>
      </w:r>
      <w:r>
        <w:rPr>
          <w:b/>
        </w:rPr>
        <w:t>(1) Đọc hiểu nghiệp vụ, tư duy logic: 70%  |  (2) Gõ cú pháp, căn chỉnh lệnh trên SSMS: 30%  [Tổng: 100%].</w:t>
        <w:br/>
      </w:r>
    </w:p>
    <w:p>
      <w:pPr>
        <w:ind w:left="360"/>
      </w:pPr>
      <w:r>
        <w:rPr>
          <w:b/>
          <w:i/>
        </w:rPr>
        <w:t xml:space="preserve">Giải thích: </w:t>
      </w:r>
      <w:r>
        <w:t>Trong cơ sở dữ liệu quan hệ, việc thấu suốt lược đồ thực thể, các ràng buộc khóa và điều kiện biên quyết định tính đúng đắn của dữ liệu. Dành 70% thời gian cho tư duy logic giúp loại trừ sai sót bản chất trước khi viết mã; 30% thời gian còn lại là thao tác hiện thực hóa cú pháp chuẩn xác trên SSMS.</w:t>
      </w:r>
    </w:p>
    <w:p>
      <w:r>
        <w:rPr>
          <w:rFonts w:ascii="Times New Roman" w:hAnsi="Times New Roman"/>
          <w:b/>
          <w:color w:val="003366"/>
          <w:sz w:val="26"/>
        </w:rPr>
        <w:t>2.2. Đo Lường Độ Nhạy Phát Hiện Lỗi Ảo Giác AI (Code Probe Task - 1.0 điểm)</w:t>
      </w:r>
    </w:p>
    <w:p>
      <w:r>
        <w:rPr>
          <w:b/>
        </w:rPr>
        <w:t>Câu 3 (Bẫy logic xử lý hàm COUNT(Column) trong phép nối OUTER JOIN):</w:t>
        <w:br/>
      </w:r>
      <w:r>
        <w:t>Một sinh viên nhờ AI viết truy vấn: “Liệt kê tất cả danh mục sách (CategoryName) và tổng số lượt mượn của các sách thuộc danh mục đó, kể cả danh mục chưa có sách nào được mượn”. AI sinh đoạn mã sau:</w:t>
        <w:br/>
      </w:r>
    </w:p>
    <w:p>
      <w:pPr>
        <w:spacing w:after="160"/>
        <w:ind w:left="432"/>
      </w:pPr>
      <w:r>
        <w:rPr>
          <w:rFonts w:ascii="Consolas" w:hAnsi="Consolas"/>
          <w:color w:val="112244"/>
          <w:sz w:val="20"/>
        </w:rPr>
        <w:t>SELECT c.CategoryName, COUNT(b.BookID) AS TotalBorrows</w:t>
        <w:br/>
        <w:t>FROM CATEGORY c</w:t>
        <w:br/>
        <w:t>LEFT JOIN BOOK b ON c.CategoryID = b.CategoryID</w:t>
        <w:br/>
        <w:t>LEFT JOIN BORROW_RECORD br ON b.BookID = br.BookID</w:t>
        <w:br/>
        <w:t>GROUP BY c.CategoryName;</w:t>
      </w:r>
    </w:p>
    <w:p>
      <w:r>
        <w:rPr>
          <w:b/>
        </w:rPr>
        <w:t>a) Đoạn mã trên có báo lỗi cú pháp biên dịch trên SSMS không?</w:t>
        <w:br/>
      </w:r>
    </w:p>
    <w:p>
      <w:pPr>
        <w:ind w:left="360"/>
      </w:pPr>
      <w:r>
        <w:rPr>
          <w:b/>
          <w:color w:val="003399"/>
        </w:rPr>
        <w:t xml:space="preserve">Câu trả lời: </w:t>
      </w:r>
      <w:r>
        <w:rPr>
          <w:b/>
        </w:rPr>
        <w:t>Không.</w:t>
        <w:br/>
      </w:r>
    </w:p>
    <w:p>
      <w:pPr>
        <w:ind w:left="360"/>
      </w:pPr>
      <w:r>
        <w:rPr>
          <w:b/>
        </w:rPr>
        <w:t xml:space="preserve">Giải thích: </w:t>
      </w:r>
      <w:r>
        <w:t>Đoạn mã hoàn toàn đúng ngữ pháp T-SQL: trường không gom nhóm (c.CategoryName) có mặt đầy đủ trong mệnh đề GROUP BY, và COUNT(b.BookID) là hàm tổng hợp hợp lệ. Do đó, SSMS sẽ biên dịch và thực thi thành công mà không báo lỗi cú pháp nào.</w:t>
      </w:r>
    </w:p>
    <w:p>
      <w:r>
        <w:rPr>
          <w:b/>
        </w:rPr>
        <w:t>b) Đoạn mã trên đếm trường b.BookID hay br.RecordID? Nếu một danh mục có sách nhưng sách đó chưa từng được mượn, câu lệnh của AI sẽ đếm ra số lượng là bao nhiêu? Hãy chỉ rõ lỗ hổng logic:</w:t>
        <w:br/>
      </w:r>
    </w:p>
    <w:p>
      <w:pPr>
        <w:ind w:left="360"/>
      </w:pPr>
      <w:r>
        <w:rPr>
          <w:b/>
          <w:color w:val="003399"/>
        </w:rPr>
        <w:t>Câu trả lời:</w:t>
        <w:br/>
      </w:r>
    </w:p>
    <w:p>
      <w:pPr>
        <w:ind w:left="360"/>
      </w:pPr>
      <w:r>
        <w:rPr>
          <w:b/>
        </w:rPr>
        <w:t xml:space="preserve">• Trường được đếm: </w:t>
      </w:r>
      <w:r>
        <w:rPr>
          <w:b/>
          <w:color w:val="990000"/>
        </w:rPr>
        <w:t>b.BookID</w:t>
      </w:r>
      <w:r>
        <w:t xml:space="preserve"> (khóa chính của bảng BOOK), chứ không phải trường </w:t>
      </w:r>
      <w:r>
        <w:rPr>
          <w:b/>
        </w:rPr>
        <w:t>br.RecordID</w:t>
      </w:r>
      <w:r>
        <w:t xml:space="preserve"> (khóa chính của bảng BORROW_RECORD).</w:t>
      </w:r>
    </w:p>
    <w:p>
      <w:pPr>
        <w:ind w:left="360"/>
      </w:pPr>
      <w:r>
        <w:rPr>
          <w:b/>
        </w:rPr>
        <w:t xml:space="preserve">• Trường hợp danh mục có sách nhưng sách chưa từng được mượn: </w:t>
      </w:r>
      <w:r>
        <w:t xml:space="preserve">Câu lệnh của AI sẽ đếm ra số lượng là </w:t>
      </w:r>
      <w:r>
        <w:rPr>
          <w:b/>
          <w:color w:val="990000"/>
        </w:rPr>
        <w:t>số đầu sách hiện có của danh mục đó (≥ 1)</w:t>
      </w:r>
      <w:r>
        <w:t xml:space="preserve">, thay vì kết quả chính xác bắt buộc phải là </w:t>
      </w:r>
      <w:r>
        <w:rPr>
          <w:b/>
          <w:color w:val="006600"/>
        </w:rPr>
        <w:t>0 lượt mượn</w:t>
      </w:r>
      <w:r>
        <w:t>.</w:t>
      </w:r>
    </w:p>
    <w:p>
      <w:pPr>
        <w:ind w:left="360"/>
      </w:pPr>
      <w:r>
        <w:rPr>
          <w:b/>
        </w:rPr>
        <w:t>• Phân tích bẫy đếm sai khóa ngoại:</w:t>
        <w:br/>
      </w:r>
      <w:r>
        <w:t>1. Cơ chế hàm COUNT(Column): Hàm COUNT(ColumnName) chỉ đếm các dòng có giá trị KHÁC NULL tại cột chỉ định.</w:t>
        <w:br/>
        <w:t>2. Bản chất nối ngoài nhiều cấp: Khi thực hiện CATEGORY c LEFT JOIN BOOK b LEFT JOIN BORROW_RECORD br, nếu một cuốn sách b chưa từng được ai mượn, thì các cột thuộc bảng br (như br.RecordID) sau phép LEFT JOIN sẽ mang giá trị NULL. Ngược lại, trường b.BookID vẫn mang giá trị khóa chính của cuốn sách (khác NULL).</w:t>
        <w:br/>
        <w:t>3. Lỗ hổng logic của AI: Do AI dùng COUNT(b.BookID), hàm COUNT thấy giá trị b.BookID khác NULL nên vẫn tính là 1 lượt đếm. Hậu quả là một danh mục có sách nhưng chưa ai mượn lần nào vẫn bị hệ thống báo cáo sai lệch thành có lượt mượn (bằng chính số đầu sách của danh mục đó).</w:t>
        <w:br/>
        <w:t>4. Ngoài ra, nếu sách được mượn n lần (n ≥ 1), phép JOIN nhân bản dòng sách thành n dòng và COUNT(b.BookID) vô tình ra n, làm AI lầm tưởng mã đã viết đúng nhưng thực chất lại sai nghiêm trọng tại trường hợp biên (n = 0).</w:t>
      </w:r>
    </w:p>
    <w:p>
      <w:pPr>
        <w:ind w:left="360"/>
      </w:pPr>
      <w:r>
        <w:rPr>
          <w:b/>
        </w:rPr>
        <w:t>• Đoạn mã khắc phục chuẩn xác 100%:</w:t>
        <w:br/>
      </w:r>
    </w:p>
    <w:p>
      <w:pPr>
        <w:spacing w:after="160"/>
        <w:ind w:left="576"/>
      </w:pPr>
      <w:r>
        <w:rPr>
          <w:rFonts w:ascii="Consolas" w:hAnsi="Consolas"/>
          <w:b/>
          <w:color w:val="004411"/>
          <w:sz w:val="20"/>
        </w:rPr>
        <w:t>SELECT c.CategoryName, COUNT(br.RecordID) AS TotalBorrows</w:t>
        <w:br/>
        <w:t>FROM CATEGORY c</w:t>
        <w:br/>
        <w:t>LEFT JOIN BOOK b ON c.CategoryID = b.CategoryID</w:t>
        <w:br/>
        <w:t>LEFT JOIN BORROW_RECORD br ON b.BookID = br.BookID</w:t>
        <w:br/>
        <w:t>GROUP BY c.CategoryName;</w:t>
      </w:r>
    </w:p>
    <w:p>
      <w:pPr>
        <w:ind w:left="360"/>
      </w:pPr>
      <w:r>
        <w:t>Nguyên lý: Thay thế COUNT(b.BookID) thành COUNT(br.RecordID). Khi sách chưa từng được mượn, br.RecordID mang giá trị NULL nên hàm COUNT(br.RecordID) sẽ bỏ qua và trả về chính xác số 0 theo đúng chuẩn nghiệp vụ.</w:t>
      </w:r>
    </w:p>
    <w:p>
      <w:r>
        <w:rPr>
          <w:rFonts w:ascii="Times New Roman" w:hAnsi="Times New Roman"/>
          <w:b/>
          <w:color w:val="003366"/>
          <w:sz w:val="26"/>
        </w:rPr>
        <w:t>2.3. Thang Đo Nhận Thức Tự Chủ &amp; Ảo Ảnh Năng Lực (0.75 điểm)</w:t>
      </w:r>
    </w:p>
    <w:p>
      <w:r>
        <w:rPr>
          <w:b/>
        </w:rPr>
        <w:t>Câu 4 (Đánh giá mức độ đồng thuận – Thang đo Likert 5 mức độ):</w:t>
        <w:br/>
      </w:r>
      <w:r>
        <w:t>(1 = Rất không đồng ý, 2 = Không đồng ý, 3 = Phân vân, 4 = Đồng ý, 5 = Rất đồng ý)</w:t>
        <w:br/>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6480"/>
            <w:shd w:fill="E8EEF5"/>
            <w:tcMar>
              <w:top w:w="100" w:type="dxa"/>
              <w:bottom w:w="100" w:type="dxa"/>
              <w:left w:w="120" w:type="dxa"/>
              <w:right w:w="120" w:type="dxa"/>
            </w:tcMar>
          </w:tcPr>
          <w:p>
            <w:pPr>
              <w:jc w:val="left"/>
            </w:pPr>
            <w:r>
              <w:rPr>
                <w:b/>
              </w:rPr>
              <w:t>Mục tiêu đo lường nhận thức</w:t>
            </w:r>
          </w:p>
        </w:tc>
        <w:tc>
          <w:tcPr>
            <w:tcW w:type="dxa" w:w="576"/>
            <w:shd w:fill="E8EEF5"/>
            <w:tcMar>
              <w:top w:w="100" w:type="dxa"/>
              <w:bottom w:w="100" w:type="dxa"/>
              <w:left w:w="120" w:type="dxa"/>
              <w:right w:w="120" w:type="dxa"/>
            </w:tcMar>
          </w:tcPr>
          <w:p>
            <w:pPr>
              <w:jc w:val="center"/>
            </w:pPr>
            <w:r>
              <w:rPr>
                <w:b/>
              </w:rPr>
              <w:t>1</w:t>
            </w:r>
          </w:p>
        </w:tc>
        <w:tc>
          <w:tcPr>
            <w:tcW w:type="dxa" w:w="576"/>
            <w:shd w:fill="E8EEF5"/>
            <w:tcMar>
              <w:top w:w="100" w:type="dxa"/>
              <w:bottom w:w="100" w:type="dxa"/>
              <w:left w:w="120" w:type="dxa"/>
              <w:right w:w="120" w:type="dxa"/>
            </w:tcMar>
          </w:tcPr>
          <w:p>
            <w:pPr>
              <w:jc w:val="center"/>
            </w:pPr>
            <w:r>
              <w:rPr>
                <w:b/>
              </w:rPr>
              <w:t>2</w:t>
            </w:r>
          </w:p>
        </w:tc>
        <w:tc>
          <w:tcPr>
            <w:tcW w:type="dxa" w:w="576"/>
            <w:shd w:fill="E8EEF5"/>
            <w:tcMar>
              <w:top w:w="100" w:type="dxa"/>
              <w:bottom w:w="100" w:type="dxa"/>
              <w:left w:w="120" w:type="dxa"/>
              <w:right w:w="120" w:type="dxa"/>
            </w:tcMar>
          </w:tcPr>
          <w:p>
            <w:pPr>
              <w:jc w:val="center"/>
            </w:pPr>
            <w:r>
              <w:rPr>
                <w:b/>
              </w:rPr>
              <w:t>3</w:t>
            </w:r>
          </w:p>
        </w:tc>
        <w:tc>
          <w:tcPr>
            <w:tcW w:type="dxa" w:w="576"/>
            <w:shd w:fill="E8EEF5"/>
            <w:tcMar>
              <w:top w:w="100" w:type="dxa"/>
              <w:bottom w:w="100" w:type="dxa"/>
              <w:left w:w="120" w:type="dxa"/>
              <w:right w:w="120" w:type="dxa"/>
            </w:tcMar>
          </w:tcPr>
          <w:p>
            <w:pPr>
              <w:jc w:val="center"/>
            </w:pPr>
            <w:r>
              <w:rPr>
                <w:b/>
              </w:rPr>
              <w:t>4</w:t>
            </w:r>
          </w:p>
        </w:tc>
        <w:tc>
          <w:tcPr>
            <w:tcW w:type="dxa" w:w="576"/>
            <w:shd w:fill="E8EEF5"/>
            <w:tcMar>
              <w:top w:w="100" w:type="dxa"/>
              <w:bottom w:w="100" w:type="dxa"/>
              <w:left w:w="120" w:type="dxa"/>
              <w:right w:w="120" w:type="dxa"/>
            </w:tcMar>
          </w:tcPr>
          <w:p>
            <w:pPr>
              <w:jc w:val="center"/>
            </w:pPr>
            <w:r>
              <w:rPr>
                <w:b/>
              </w:rPr>
              <w:t>5</w:t>
            </w:r>
          </w:p>
        </w:tc>
      </w:tr>
      <w:tr>
        <w:tc>
          <w:tcPr>
            <w:tcW w:type="dxa" w:w="6480"/>
            <w:tcMar>
              <w:top w:w="80" w:type="dxa"/>
              <w:bottom w:w="80" w:type="dxa"/>
              <w:left w:w="120" w:type="dxa"/>
              <w:right w:w="120" w:type="dxa"/>
            </w:tcMar>
          </w:tcPr>
          <w:p>
            <w:pPr>
              <w:jc w:val="left"/>
            </w:pPr>
            <w:r>
              <w:t>1. AI giải thích code quá tự tin làm tôi ngộ nhận mình đã hiểu sâu câu truy vấn.</w:t>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rPr>
                <w:rFonts w:ascii="Times New Roman" w:hAnsi="Times New Roman"/>
                <w:b/>
                <w:color w:val="990000"/>
                <w:sz w:val="26"/>
              </w:rPr>
              <w:t>X</w:t>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r>
      <w:tr>
        <w:tc>
          <w:tcPr>
            <w:tcW w:type="dxa" w:w="6480"/>
            <w:tcMar>
              <w:top w:w="80" w:type="dxa"/>
              <w:bottom w:w="80" w:type="dxa"/>
              <w:left w:w="120" w:type="dxa"/>
              <w:right w:w="120" w:type="dxa"/>
            </w:tcMar>
          </w:tcPr>
          <w:p>
            <w:pPr>
              <w:jc w:val="left"/>
            </w:pPr>
            <w:r>
              <w:t>2. Đã từng có lúc tôi nộp bài mà không rõ tại sao câu lệnh AI sinh ra lại chạy đúng.</w:t>
            </w:r>
          </w:p>
        </w:tc>
        <w:tc>
          <w:tcPr>
            <w:tcW w:type="dxa" w:w="576"/>
            <w:tcMar>
              <w:top w:w="80" w:type="dxa"/>
              <w:bottom w:w="80" w:type="dxa"/>
              <w:left w:w="60" w:type="dxa"/>
              <w:right w:w="60" w:type="dxa"/>
            </w:tcMar>
          </w:tcPr>
          <w:p>
            <w:pPr>
              <w:jc w:val="center"/>
            </w:pPr>
            <w:r>
              <w:rPr>
                <w:rFonts w:ascii="Times New Roman" w:hAnsi="Times New Roman"/>
                <w:b/>
                <w:color w:val="990000"/>
                <w:sz w:val="26"/>
              </w:rPr>
              <w:t>X</w:t>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r>
      <w:tr>
        <w:tc>
          <w:tcPr>
            <w:tcW w:type="dxa" w:w="6480"/>
            <w:tcMar>
              <w:top w:w="80" w:type="dxa"/>
              <w:bottom w:w="80" w:type="dxa"/>
              <w:left w:w="120" w:type="dxa"/>
              <w:right w:w="120" w:type="dxa"/>
            </w:tcMar>
          </w:tcPr>
          <w:p>
            <w:pPr>
              <w:jc w:val="left"/>
            </w:pPr>
            <w:r>
              <w:t>3. Tôi luôn thiết lập dữ liệu biên có chứa NULL để kiểm thử lại câu lệnh của AI.</w:t>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rPr>
                <w:rFonts w:ascii="Times New Roman" w:hAnsi="Times New Roman"/>
                <w:b/>
                <w:color w:val="990000"/>
                <w:sz w:val="26"/>
              </w:rPr>
              <w:t>X</w:t>
            </w:r>
          </w:p>
        </w:tc>
      </w:tr>
      <w:tr>
        <w:tc>
          <w:tcPr>
            <w:tcW w:type="dxa" w:w="6480"/>
            <w:tcMar>
              <w:top w:w="80" w:type="dxa"/>
              <w:bottom w:w="80" w:type="dxa"/>
              <w:left w:w="120" w:type="dxa"/>
              <w:right w:w="120" w:type="dxa"/>
            </w:tcMar>
          </w:tcPr>
          <w:p>
            <w:pPr>
              <w:jc w:val="left"/>
            </w:pPr>
            <w:r>
              <w:t>4. Việc phụ thuộc AI làm tôi lúng túng khi phải tự viết các câu lệnh Subquery trong phòng thi.</w:t>
            </w:r>
          </w:p>
        </w:tc>
        <w:tc>
          <w:tcPr>
            <w:tcW w:type="dxa" w:w="576"/>
            <w:tcMar>
              <w:top w:w="80" w:type="dxa"/>
              <w:bottom w:w="80" w:type="dxa"/>
              <w:left w:w="60" w:type="dxa"/>
              <w:right w:w="60" w:type="dxa"/>
            </w:tcMar>
          </w:tcPr>
          <w:p>
            <w:pPr>
              <w:jc w:val="center"/>
            </w:pPr>
            <w:r>
              <w:rPr>
                <w:rFonts w:ascii="Times New Roman" w:hAnsi="Times New Roman"/>
                <w:b/>
                <w:color w:val="990000"/>
                <w:sz w:val="26"/>
              </w:rPr>
              <w:t>X</w:t>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c>
          <w:tcPr>
            <w:tcW w:type="dxa" w:w="576"/>
            <w:tcMar>
              <w:top w:w="80" w:type="dxa"/>
              <w:bottom w:w="80" w:type="dxa"/>
              <w:left w:w="60" w:type="dxa"/>
              <w:right w:w="60" w:type="dxa"/>
            </w:tcMar>
          </w:tcPr>
          <w:p>
            <w:pPr>
              <w:jc w:val="center"/>
            </w:pPr>
            <w:r/>
          </w:p>
        </w:tc>
      </w:tr>
    </w:tbl>
    <w:p/>
    <w:p>
      <w:r>
        <w:rPr>
          <w:rFonts w:ascii="Times New Roman" w:hAnsi="Times New Roman"/>
          <w:b/>
          <w:color w:val="003366"/>
          <w:sz w:val="26"/>
        </w:rPr>
        <w:t>2.4. Phản Tư Sư Phạm &amp; Kiến Nghị Đổi Mới Đào Tạo (0.5 điểm)</w:t>
      </w:r>
    </w:p>
    <w:p>
      <w:r>
        <w:rPr>
          <w:b/>
        </w:rPr>
        <w:t>Câu 5 (Tự luận định tính):</w:t>
        <w:br/>
      </w:r>
      <w:r>
        <w:t>Sinh viên CNTT nên cân bằng giữa việc sử dụng AI hỗ trợ và việc tự rèn luyện kỹ năng gõ code độc lập như thế nào?</w:t>
        <w:br/>
      </w:r>
    </w:p>
    <w:p>
      <w:pPr>
        <w:ind w:left="360"/>
      </w:pPr>
      <w:r>
        <w:rPr>
          <w:b/>
          <w:color w:val="003399"/>
        </w:rPr>
        <w:t>Câu trả lời:</w:t>
        <w:br/>
      </w:r>
    </w:p>
    <w:p>
      <w:pPr>
        <w:ind w:left="360"/>
      </w:pPr>
      <w:r>
        <w:t>Trong kỷ nguyên AI Tạo sinh, việc ứng dụng AI vào học tập CNTT là xu thế tất yếu nhưng cần sự tỉnh táo để không làm suy mòn tư duy lập trình cốt lõi. Để đạt được sự cân bằng tối ưu, sinh viên cần áp dụng chiến lược học tập chủ động qua 4 nguyên tắc sau:</w:t>
      </w:r>
    </w:p>
    <w:p>
      <w:pPr>
        <w:ind w:left="360"/>
      </w:pPr>
      <w:r>
        <w:rPr>
          <w:b/>
          <w:color w:val="003366"/>
        </w:rPr>
        <w:t>1. Xác định AI là công cụ hỗ trợ (Co-pilot), sinh viên giữ vai trò kiến trúc sư (Architect):</w:t>
        <w:br/>
      </w:r>
      <w:r>
        <w:t>Sinh viên không để AI làm thay tư duy mà coi AI là người phụ việc. Trước khi tương tác với AI, sinh viên phải tự phân tích yêu cầu nghiệp vụ, tự phác thảo lược đồ thực thể quan hệ (ERD), xác định các khóa và luồng dữ liệu. Khi bản thân đã làm chủ bài toán thì mới có khả năng thẩm định câu trả lời của AI.</w:t>
      </w:r>
    </w:p>
    <w:p>
      <w:pPr>
        <w:ind w:left="360"/>
      </w:pPr>
      <w:r>
        <w:rPr>
          <w:b/>
          <w:color w:val="003366"/>
        </w:rPr>
        <w:t>2. Quy trình 3 bước làm chủ kiến thức: Tự code -&gt; AI phản biện -&gt; Kiểm thử dữ liệu biên:</w:t>
        <w:br/>
      </w:r>
      <w:r>
        <w:t>• Bước 1: Tự viết câu truy vấn T-SQL bằng kiến thức bản thân trên trình soạn thảo.</w:t>
        <w:br/>
        <w:t>• Bước 2: Dùng AI làm đối tác phản tư (Reflective Partner) để tìm lỗi cú pháp, gợi ý tối ưu hoặc giải thích các khái niệm chưa rõ.</w:t>
        <w:br/>
        <w:t>• Bước 3: Luôn tự tạo kịch bản dữ liệu biên (chứa giá trị NULL, dữ liệu rỗng, điều kiện ngoại biên như ở Câu 3) trên SSMS để kiểm chứng độc lập, không tin tưởng mù quáng vào AI.</w:t>
      </w:r>
    </w:p>
    <w:p>
      <w:pPr>
        <w:ind w:left="360"/>
      </w:pPr>
      <w:r>
        <w:rPr>
          <w:b/>
          <w:color w:val="003366"/>
        </w:rPr>
        <w:t>3. Rèn luyện “trí nhớ cơ bắp” (Muscle Memory) bằng việc tự code độc lập:</w:t>
        <w:br/>
      </w:r>
      <w:r>
        <w:t>Dành ít nhất 70% thời gian thực hành để tự tay gõ lệnh trên bàn phím máy trạm. Việc tự sửa các lỗi cú pháp biên dịch, lỗi xung đột khóa ngoại hay lỗi tràn dữ liệu sẽ hình thành phản xạ nhạy bén, giúp sinh viên tự tin làm chủ phòng thi và các tình huống phát triển phần mềm thực tế khi không có internet hay AI.</w:t>
      </w:r>
    </w:p>
    <w:p>
      <w:pPr>
        <w:ind w:left="360"/>
      </w:pPr>
      <w:r>
        <w:rPr>
          <w:b/>
          <w:color w:val="003366"/>
        </w:rPr>
        <w:t>4. Kiến nghị đổi mới sư phạm:</w:t>
        <w:br/>
      </w:r>
      <w:r>
        <w:t>Ủng hộ việc Nhà trường và Giảng viên nhân rộng các dạng bài thi thực hành phân hóa kết hợp kiểm tra độ nhạy phát hiện ảo giác AI (Code Probe Task) như Đề số 06 này. Đây là phương pháp đánh giá thực chất, thúc đẩy sinh viên rèn luyện tư duy phản biện và năng lực tự học bền vững.</w:t>
      </w:r>
    </w:p>
    <w:p>
      <w:pPr>
        <w:jc w:val="center"/>
      </w:pPr>
      <w:r>
        <w:rPr>
          <w:b/>
          <w:color w:val="777777"/>
        </w:rPr>
        <w:t>— HẾT BẢN BÁO CÁO PHẦN II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