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56" w:type="dxa"/>
        <w:jc w:val="start"/>
        <w:tblInd w:w="0" w:type="dxa"/>
        <w:tblLayout w:type="fixed"/>
        <w:tblCellMar>
          <w:top w:w="0" w:type="dxa"/>
          <w:start w:w="108" w:type="dxa"/>
          <w:bottom w:w="0" w:type="dxa"/>
          <w:end w:w="108" w:type="dxa"/>
        </w:tblCellMar>
      </w:tblPr>
      <w:tblGrid>
        <w:gridCol w:w="3348"/>
        <w:gridCol w:w="5508"/>
      </w:tblGrid>
      <w:tr>
        <w:trPr/>
        <w:tc>
          <w:tcPr>
            <w:tcW w:w="3348" w:type="dxa"/>
            <w:tcBorders/>
          </w:tcPr>
          <w:p>
            <w:pPr>
              <w:pStyle w:val="Normal"/>
              <w:spacing w:before="120" w:after="0"/>
              <w:jc w:val="center"/>
              <w:rPr>
                <w:b/>
                <w:bCs/>
              </w:rPr>
            </w:pPr>
            <w:r>
              <w:rPr>
                <w:b/>
                <w:bCs/>
              </w:rPr>
              <w:t>CHÍNH PHỦ</w:t>
              <w:br/>
              <w:t>-------</w:t>
            </w:r>
          </w:p>
        </w:tc>
        <w:tc>
          <w:tcPr>
            <w:tcW w:w="5508"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3348" w:type="dxa"/>
            <w:tcBorders/>
          </w:tcPr>
          <w:p>
            <w:pPr>
              <w:pStyle w:val="Normal"/>
              <w:spacing w:before="120" w:after="0"/>
              <w:jc w:val="center"/>
              <w:rPr/>
            </w:pPr>
            <w:r>
              <w:rPr/>
              <w:t>Số: 49/2022/NĐ-CP</w:t>
            </w:r>
          </w:p>
        </w:tc>
        <w:tc>
          <w:tcPr>
            <w:tcW w:w="5508" w:type="dxa"/>
            <w:tcBorders/>
          </w:tcPr>
          <w:p>
            <w:pPr>
              <w:pStyle w:val="Normal"/>
              <w:spacing w:before="120" w:after="0"/>
              <w:jc w:val="end"/>
              <w:rPr>
                <w:i/>
                <w:i/>
                <w:iCs/>
              </w:rPr>
            </w:pPr>
            <w:r>
              <w:rPr>
                <w:i/>
                <w:iCs/>
              </w:rPr>
              <w:t>Hà Nội, ngày 29 tháng 7 năm 2022</w:t>
            </w:r>
          </w:p>
        </w:tc>
      </w:tr>
    </w:tbl>
    <w:p>
      <w:pPr>
        <w:pStyle w:val="Normal"/>
        <w:spacing w:before="120" w:after="280"/>
        <w:rPr/>
      </w:pPr>
      <w:r>
        <w:rPr/>
        <w:t> </w:t>
      </w:r>
    </w:p>
    <w:p>
      <w:pPr>
        <w:pStyle w:val="Normal"/>
        <w:spacing w:before="120" w:after="280"/>
        <w:jc w:val="center"/>
        <w:rPr>
          <w:b/>
          <w:bCs/>
        </w:rPr>
      </w:pPr>
      <w:bookmarkStart w:id="0" w:name="loai_1"/>
      <w:r>
        <w:rPr>
          <w:b/>
          <w:bCs/>
        </w:rPr>
        <w:t>NGHỊ ĐỊNH</w:t>
      </w:r>
      <w:bookmarkEnd w:id="0"/>
    </w:p>
    <w:p>
      <w:pPr>
        <w:pStyle w:val="Normal"/>
        <w:spacing w:before="120" w:after="280"/>
        <w:jc w:val="center"/>
        <w:rPr/>
      </w:pPr>
      <w:bookmarkStart w:id="1" w:name="loai_1_name"/>
      <w:r>
        <w:rPr/>
        <w:t>SỬA ĐỔI, BỔ SUNG MỘT SỐ ĐIỀU CỦA NGHỊ ĐỊNH SỐ</w:t>
      </w:r>
      <w:bookmarkEnd w:id="1"/>
      <w:r>
        <w:rPr/>
        <w:t xml:space="preserve"> 209/2013/NĐ-CP </w:t>
      </w:r>
      <w:bookmarkStart w:id="2" w:name="loai_1_name_name"/>
      <w:r>
        <w:rPr/>
        <w:t>NGÀY 18 THÁNG 12 NĂM 2013 CỦA CHÍNH PHỦ QUY ĐỊNH CHI TIẾT VÀ HƯỚNG DẪN THI HÀNH MỘT SỐ ĐIỀU CỦA</w:t>
      </w:r>
      <w:bookmarkEnd w:id="2"/>
      <w:r>
        <w:rPr/>
        <w:t xml:space="preserve"> </w:t>
      </w:r>
      <w:bookmarkStart w:id="3" w:name="tvpllink_yfeonwnuvk"/>
      <w:r>
        <w:rPr/>
        <w:t>LUẬT THUẾ GIÁ TRỊ GIA TĂNG</w:t>
      </w:r>
      <w:bookmarkEnd w:id="3"/>
      <w:r>
        <w:rPr/>
        <w:t xml:space="preserve"> </w:t>
      </w:r>
      <w:bookmarkStart w:id="4" w:name="loai_1_name_name_name"/>
      <w:r>
        <w:rPr/>
        <w:t>ĐÃ ĐƯỢC SỬA ĐỔI, BỔ SUNG MỘT SỐ ĐIỀU THEO NGHỊ ĐỊNH SỐ 12/2015/NĐ-CP, NGHỊ ĐỊNH SỐ 100/2016/NĐ-CP VÀ NGHỊ ĐỊNH SỐ 146/2017/NĐ-CP</w:t>
      </w:r>
      <w:bookmarkEnd w:id="4"/>
    </w:p>
    <w:p>
      <w:pPr>
        <w:pStyle w:val="Normal"/>
        <w:spacing w:before="120" w:after="280"/>
        <w:rPr>
          <w:i/>
          <w:i/>
          <w:iCs/>
        </w:rPr>
      </w:pPr>
      <w:r>
        <w:rPr>
          <w:i/>
          <w:iCs/>
        </w:rPr>
        <w:t xml:space="preserve">Căn cứ </w:t>
      </w:r>
      <w:bookmarkStart w:id="5" w:name="tvpllink_jofmpsyqcp"/>
      <w:r>
        <w:rPr>
          <w:i/>
          <w:iCs/>
        </w:rPr>
        <w:t>Luật Tổ chức Chính phủ</w:t>
      </w:r>
      <w:bookmarkEnd w:id="5"/>
      <w:r>
        <w:rPr>
          <w:i/>
          <w:iCs/>
        </w:rPr>
        <w:t xml:space="preserve"> ngày 19 tháng 6 năm 2015; </w:t>
      </w:r>
      <w:bookmarkStart w:id="6" w:name="tvpllink_cdgudmonqm"/>
      <w:r>
        <w:rPr>
          <w:i/>
          <w:iCs/>
        </w:rPr>
        <w:t>Luật sửa đổi, bổ sung một số điều của Luật Tổ chức Chính phủ và Luật Tổ chức chính quyền địa phương</w:t>
      </w:r>
      <w:bookmarkEnd w:id="6"/>
      <w:r>
        <w:rPr>
          <w:i/>
          <w:iCs/>
        </w:rPr>
        <w:t xml:space="preserve"> ngày 22 tháng 11 năm 2019;</w:t>
      </w:r>
    </w:p>
    <w:p>
      <w:pPr>
        <w:pStyle w:val="Normal"/>
        <w:spacing w:before="120" w:after="280"/>
        <w:rPr>
          <w:i/>
          <w:i/>
          <w:iCs/>
        </w:rPr>
      </w:pPr>
      <w:r>
        <w:rPr>
          <w:i/>
          <w:iCs/>
        </w:rPr>
        <w:t xml:space="preserve">Căn cứ </w:t>
      </w:r>
      <w:bookmarkStart w:id="7" w:name="tvpllink_yfeonwnuvk_1"/>
      <w:r>
        <w:rPr>
          <w:i/>
          <w:iCs/>
        </w:rPr>
        <w:t>Luật Thuế giá trị gia tăng</w:t>
      </w:r>
      <w:bookmarkEnd w:id="7"/>
      <w:r>
        <w:rPr>
          <w:i/>
          <w:iCs/>
        </w:rPr>
        <w:t xml:space="preserve"> ngày 03 tháng 6 năm 2008; </w:t>
      </w:r>
      <w:bookmarkStart w:id="8" w:name="tvpllink_utrvuceexq"/>
      <w:r>
        <w:rPr>
          <w:i/>
          <w:iCs/>
        </w:rPr>
        <w:t>Luật sửa đổi, bổ sung một số điều của Luật Thuế giá trị gia tăng</w:t>
      </w:r>
      <w:bookmarkEnd w:id="8"/>
      <w:r>
        <w:rPr>
          <w:i/>
          <w:iCs/>
        </w:rPr>
        <w:t xml:space="preserve"> ngày 19 tháng 6 năm 2013;</w:t>
      </w:r>
    </w:p>
    <w:p>
      <w:pPr>
        <w:pStyle w:val="Normal"/>
        <w:spacing w:before="120" w:after="280"/>
        <w:rPr>
          <w:i/>
          <w:i/>
          <w:iCs/>
        </w:rPr>
      </w:pPr>
      <w:r>
        <w:rPr>
          <w:i/>
          <w:iCs/>
        </w:rPr>
        <w:t xml:space="preserve">Căn cứ </w:t>
      </w:r>
      <w:bookmarkStart w:id="9" w:name="tvpllink_xqjnpglzab"/>
      <w:r>
        <w:rPr>
          <w:i/>
          <w:iCs/>
        </w:rPr>
        <w:t>Luật sửa đổi, bổ sung một số điều của các luật về thuế</w:t>
      </w:r>
      <w:bookmarkEnd w:id="9"/>
      <w:r>
        <w:rPr>
          <w:i/>
          <w:iCs/>
        </w:rPr>
        <w:t xml:space="preserve"> ngày 26 tháng 11 năm 2014;</w:t>
      </w:r>
    </w:p>
    <w:p>
      <w:pPr>
        <w:pStyle w:val="Normal"/>
        <w:spacing w:before="120" w:after="280"/>
        <w:rPr>
          <w:i/>
          <w:i/>
          <w:iCs/>
        </w:rPr>
      </w:pPr>
      <w:r>
        <w:rPr>
          <w:i/>
          <w:iCs/>
        </w:rPr>
        <w:t xml:space="preserve">Căn cứ </w:t>
      </w:r>
      <w:bookmarkStart w:id="10" w:name="tvpllink_vgrohivzva"/>
      <w:r>
        <w:rPr>
          <w:i/>
          <w:iCs/>
        </w:rPr>
        <w:t>Luật sửa đổi, bổ sung một số điều của Luật Thuế giá trị gia tăng, Luật Thuế tiêu thụ đặc biệt và Luật Quản lý thuế</w:t>
      </w:r>
      <w:bookmarkEnd w:id="10"/>
      <w:r>
        <w:rPr>
          <w:i/>
          <w:iCs/>
        </w:rPr>
        <w:t xml:space="preserve"> ngày 06 tháng 4 năm 2016;</w:t>
      </w:r>
    </w:p>
    <w:p>
      <w:pPr>
        <w:pStyle w:val="Normal"/>
        <w:spacing w:before="120" w:after="280"/>
        <w:rPr>
          <w:i/>
          <w:i/>
          <w:iCs/>
        </w:rPr>
      </w:pPr>
      <w:r>
        <w:rPr>
          <w:i/>
          <w:iCs/>
        </w:rPr>
        <w:t>Theo đề nghị của Bộ trưởng Bộ Tài chính;</w:t>
      </w:r>
    </w:p>
    <w:p>
      <w:pPr>
        <w:pStyle w:val="Normal"/>
        <w:spacing w:before="120" w:after="280"/>
        <w:rPr>
          <w:i/>
          <w:i/>
          <w:iCs/>
        </w:rPr>
      </w:pPr>
      <w:r>
        <w:rPr>
          <w:i/>
          <w:iCs/>
        </w:rPr>
        <w:t xml:space="preserve">Chính phủ ban hành Nghị định sửa đổi, bổ sung một số điều của Nghị định số 209/2013/NĐ-CP ngày 18 tháng 12 năm 2013 của Chính phủ quy định chi tiết và hướng dẫn thi hành một số điều của </w:t>
      </w:r>
      <w:bookmarkStart w:id="11" w:name="tvpllink_yfeonwnuvk_2"/>
      <w:r>
        <w:rPr>
          <w:i/>
          <w:iCs/>
        </w:rPr>
        <w:t>Luật Thuế giá trị gia tăng</w:t>
      </w:r>
      <w:bookmarkEnd w:id="11"/>
      <w:r>
        <w:rPr>
          <w:i/>
          <w:iCs/>
        </w:rPr>
        <w:t xml:space="preserve"> đã được sửa đổi, bổ sung một số điều theo Nghị định số 12/2015/NĐ-CP, Nghị định số 100/2016/NĐ-CP và Nghị định số 146/2017/NĐ-CP.</w:t>
      </w:r>
    </w:p>
    <w:p>
      <w:pPr>
        <w:pStyle w:val="Normal"/>
        <w:spacing w:before="120" w:after="280"/>
        <w:rPr>
          <w:b/>
          <w:bCs/>
        </w:rPr>
      </w:pPr>
      <w:bookmarkStart w:id="12" w:name="dieu_1"/>
      <w:r>
        <w:rPr>
          <w:b/>
          <w:bCs/>
        </w:rPr>
        <w:t>Điều 1. Sửa đổi, bổ sung một số điều của Nghị định số 209/2013/NĐ-CP ngày 18 tháng 12 năm 2013 của Chính phủ quy định chi tiết và hướng dẫn thi hành một số điều của</w:t>
      </w:r>
      <w:bookmarkEnd w:id="12"/>
      <w:r>
        <w:rPr>
          <w:b/>
          <w:bCs/>
        </w:rPr>
        <w:t xml:space="preserve"> </w:t>
      </w:r>
      <w:bookmarkStart w:id="13" w:name="tvpllink_yfeonwnuvk_3"/>
      <w:r>
        <w:rPr>
          <w:b/>
          <w:bCs/>
        </w:rPr>
        <w:t>Luật Thuế giá trị gia tăng</w:t>
      </w:r>
      <w:bookmarkEnd w:id="13"/>
      <w:r>
        <w:rPr>
          <w:b/>
          <w:bCs/>
        </w:rPr>
        <w:t xml:space="preserve"> </w:t>
      </w:r>
      <w:bookmarkStart w:id="14" w:name="dieu_1_name"/>
      <w:r>
        <w:rPr>
          <w:b/>
          <w:bCs/>
        </w:rPr>
        <w:t>đã được sửa đổi, bổ sung một số điều theo Nghị định số 12/2015/NĐ-CP, Nghị định số 100/2016/NĐ-CP và Nghị định số 146/2017/NĐ-CP</w:t>
      </w:r>
      <w:bookmarkEnd w:id="14"/>
    </w:p>
    <w:p>
      <w:pPr>
        <w:pStyle w:val="Normal"/>
        <w:spacing w:before="120" w:after="280"/>
        <w:rPr/>
      </w:pPr>
      <w:bookmarkStart w:id="15" w:name="khoan_1_1"/>
      <w:r>
        <w:rPr/>
        <w:t>1. Sửa đổi, bổ sung</w:t>
      </w:r>
      <w:bookmarkEnd w:id="15"/>
      <w:r>
        <w:rPr/>
        <w:t xml:space="preserve"> </w:t>
      </w:r>
      <w:bookmarkStart w:id="16" w:name="dc_1"/>
      <w:r>
        <w:rPr/>
        <w:t>khoản 3, 4 Điều 4</w:t>
      </w:r>
      <w:bookmarkEnd w:id="16"/>
      <w:r>
        <w:rPr/>
        <w:t xml:space="preserve"> </w:t>
      </w:r>
      <w:bookmarkStart w:id="17" w:name="khoan_1_1_name"/>
      <w:r>
        <w:rPr/>
        <w:t>như sau:</w:t>
      </w:r>
      <w:bookmarkEnd w:id="17"/>
    </w:p>
    <w:p>
      <w:pPr>
        <w:pStyle w:val="Normal"/>
        <w:spacing w:before="120" w:after="280"/>
        <w:rPr/>
      </w:pPr>
      <w:r>
        <w:rPr/>
        <w:t>“</w:t>
      </w:r>
      <w:r>
        <w:rPr/>
        <w:t>3. Đối với hoạt động chuyển nhượng bất động sản, giá tính thuế giá trị gia tăng là giá chuyển nhượng bất động sản trừ (-) giá đất được trừ để tính thuế giá trị gia tăng.</w:t>
      </w:r>
    </w:p>
    <w:p>
      <w:pPr>
        <w:pStyle w:val="Normal"/>
        <w:spacing w:before="120" w:after="280"/>
        <w:rPr/>
      </w:pPr>
      <w:r>
        <w:rPr/>
        <w:t>a) Giá đất được trừ để tính thuế giá trị gia tăng được quy định cụ thể như sau:</w:t>
      </w:r>
    </w:p>
    <w:p>
      <w:pPr>
        <w:pStyle w:val="Normal"/>
        <w:spacing w:before="120" w:after="280"/>
        <w:rPr/>
      </w:pPr>
      <w:r>
        <w:rPr/>
        <w:t>a.1) Trường hợp được Nhà nước giao đất để đầu tư cơ sở hạ tầng xây dựng nhà để bán, giá đất được trừ để tính thuế giá trị gia tăng bao gồm tiền sử dụng đất phải nộp ngân sách nhà nước theo quy định pháp luật về thu tiền sử dụng đất và tiền bồi thường, giải phóng mặt bằng (nếu có).</w:t>
      </w:r>
    </w:p>
    <w:p>
      <w:pPr>
        <w:pStyle w:val="Normal"/>
        <w:spacing w:before="120" w:after="280"/>
        <w:rPr/>
      </w:pPr>
      <w:r>
        <w:rPr/>
        <w:t>a.2) Trường hợp đấu giá quyền sử dụng đất thì giá đất được trừ để tính thuế giá trị gia tăng là giá đất trúng đấu giá.</w:t>
      </w:r>
    </w:p>
    <w:p>
      <w:pPr>
        <w:pStyle w:val="Normal"/>
        <w:spacing w:before="120" w:after="280"/>
        <w:rPr/>
      </w:pPr>
      <w:r>
        <w:rPr/>
        <w:t>a.3) Trường hợp thuê đất để xây dựng cơ sở hạ tầng, xây dựng nhà để bán, giá đất được trừ để tính thuế giá trị gia tăng là tiền thuê đất phải nộp ngân sách nhà nước theo quy định pháp luật về thu tiền thuê đất, thuê mặt nước và tiền bồi thường, giải phóng mặt bằng (nếu có).</w:t>
      </w:r>
    </w:p>
    <w:p>
      <w:pPr>
        <w:pStyle w:val="Normal"/>
        <w:spacing w:before="120" w:after="280"/>
        <w:rPr/>
      </w:pPr>
      <w:r>
        <w:rPr/>
        <w:t>Tiền bồi thường, giải phóng mặt bằng quy định tại điểm a.1 và điểm a.3 khoản này là số tiền bồi thường, giải phóng mặt bằng theo phương án được cơ quan nhà nước có thẩm quyền phê duyệt, được trừ vào tiền sử dụng đất, tiền thuê đất phải nộp theo quy định pháp luật về thu tiền sử dụng đất, thu tiền thuê đất, thuê mặt nước.</w:t>
      </w:r>
    </w:p>
    <w:p>
      <w:pPr>
        <w:pStyle w:val="Normal"/>
        <w:spacing w:before="120" w:after="280"/>
        <w:rPr/>
      </w:pPr>
      <w:r>
        <w:rPr/>
        <w:t>a.4) Trường hợp cơ sở kinh doanh nhận chuyển nhượng quyền sử dụng đất của các tổ chức, cá nhân thì giá đất được trừ để tính thuế giá trị gia tăng là giá đất tại thời điểm nhận chuyển nhượng quyền sử dụng đất không bao gồm giá trị cơ sở hạ tầng. Cơ sở kinh doanh được kê khai, khấu trừ thuế giá trị gia tăng đầu vào của cơ sở hạ tầng (nếu có). Trường hợp không xác định được giá đất tại thời điểm nhận chuyển nhượng thì giá đất được trừ để tính thuế giá trị gia tăng là giá đất do Ủy ban nhân dân tỉnh, thành phố trực thuộc trung ương quy định tại thời điểm ký hợp đồng nhận chuyển nhượng.</w:t>
      </w:r>
    </w:p>
    <w:p>
      <w:pPr>
        <w:pStyle w:val="Normal"/>
        <w:spacing w:before="120" w:after="280"/>
        <w:rPr/>
      </w:pPr>
      <w:r>
        <w:rPr/>
        <w:t xml:space="preserve">Trường hợp cơ sở kinh doanh nhận chuyển nhượng bất động sản của các tổ chức, cá nhân đã xác định giá đất bao gồm cả giá trị cơ sở hạ tầng theo quy định tại </w:t>
      </w:r>
      <w:bookmarkStart w:id="18" w:name="dc_2"/>
      <w:r>
        <w:rPr/>
        <w:t>điểm a khoản 3 Điều 4 Nghị định số 209/2013/NĐ-CP</w:t>
      </w:r>
      <w:bookmarkEnd w:id="18"/>
      <w:r>
        <w:rPr/>
        <w:t xml:space="preserve"> (đã được sửa đổi, bổ sung tại </w:t>
      </w:r>
      <w:bookmarkStart w:id="19" w:name="dc_4"/>
      <w:r>
        <w:rPr/>
        <w:t>khoản 3 Điều 3 Nghị định số 12/2015/NĐ-CP</w:t>
      </w:r>
      <w:bookmarkEnd w:id="19"/>
      <w:r>
        <w:rPr/>
        <w:t xml:space="preserve"> ngày 12 tháng 02 năm 2015) thì giá đất được trừ để tính thuế giá trị gia tăng là giá đất tại thời điểm nhận chuyển nhượng không bao gồm cơ sở hạ tầng.</w:t>
      </w:r>
    </w:p>
    <w:p>
      <w:pPr>
        <w:pStyle w:val="Normal"/>
        <w:spacing w:before="120" w:after="280"/>
        <w:rPr/>
      </w:pPr>
      <w:r>
        <w:rPr/>
        <w:t>Trường hợp không tách được giá trị cơ sở hạ tầng tại thời điểm nhận chuyển nhượng thì giá đất được trừ để tính thuế giá trị gia tăng là giá đất do Ủy ban nhân dân tỉnh, thành phố trực thuộc trung ương quy định tại thời điểm ký hợp đồng nhận chuyển nhượng.</w:t>
      </w:r>
    </w:p>
    <w:p>
      <w:pPr>
        <w:pStyle w:val="Normal"/>
        <w:spacing w:before="120" w:after="280"/>
        <w:rPr/>
      </w:pPr>
      <w:r>
        <w:rPr/>
        <w:t>a.5) Trường hợp cơ sở kinh doanh nhận góp vốn bằng quyền sử dụng đất của tổ chức, cá nhân thì giá đất được trừ để tính thuế giá trị gia tăng là giá ghi trong hợp đồng góp vốn. Trường hợp giá chuyển nhượng quyền sử dụng đất thấp hơn giá đất nhận góp vốn thì chỉ được trừ giá đất theo giá chuyển nhượng.</w:t>
      </w:r>
    </w:p>
    <w:p>
      <w:pPr>
        <w:pStyle w:val="Normal"/>
        <w:spacing w:before="120" w:after="280"/>
        <w:rPr/>
      </w:pPr>
      <w:r>
        <w:rPr/>
        <w:t>a.6) Trường hợp cơ sở kinh doanh bất động sản thực hiện theo hình thức xây dựng - chuyển giao (BT) thanh toán bằng giá trị quyền sử dụng đất thì giá đất được trừ để tính thuế giá trị gia tăng là giá tại thời điểm ký hợp đồng BT theo quy định của pháp luật; nếu tại thời điểm ký hợp đồng BT chưa xác định được giá thì giá đất được trừ là giá đất do Ủy ban nhân dân tỉnh, thành phố trực thuộc trung ương quyết định để thanh toán công trình.</w:t>
      </w:r>
    </w:p>
    <w:p>
      <w:pPr>
        <w:pStyle w:val="Normal"/>
        <w:spacing w:before="120" w:after="280"/>
        <w:rPr/>
      </w:pPr>
      <w:r>
        <w:rPr/>
        <w:t>b) Trường hợp xây dựng, kinh doanh cơ sở hạ tầng, xây dựng nhà để bán, chuyển nhượng hoặc cho thuê, giá tính thuế giá trị gia tăng là số tiền thu được theo tiến độ thực hiện dự án hoặc tiến độ thu tiền ghi trong hợp đồng trừ (-) giá đất được trừ tương ứng với tỷ lệ % số tiền thu được trên tổng giá trị hợp đồng.</w:t>
      </w:r>
    </w:p>
    <w:p>
      <w:pPr>
        <w:pStyle w:val="Normal"/>
        <w:spacing w:before="120" w:after="280"/>
        <w:rPr/>
      </w:pPr>
      <w:r>
        <w:rPr/>
        <w:t>4. Giá tính thuế đối với hoạt động sản xuất điện của Tập đoàn điện lực Việt Nam như sau:</w:t>
      </w:r>
    </w:p>
    <w:p>
      <w:pPr>
        <w:pStyle w:val="Normal"/>
        <w:spacing w:before="120" w:after="280"/>
        <w:rPr/>
      </w:pPr>
      <w:r>
        <w:rPr/>
        <w:t>a) Đối với điện của các công ty thủy điện hạch toán phụ thuộc Tập đoàn Điện lực Việt Nam, hạch toán phụ thuộc các Tổng công ty phát điện, giá tính thuế giá trị gia tăng để xác định số thuế giá trị gia tăng nộp tại địa phương nơi có nhà máy thủy điện được tính bằng 35% giá bán lẻ điện bình quân chưa bao gồm thuế giá trị gia tăng theo quy định của pháp luật điện lực và pháp luật giá.</w:t>
      </w:r>
    </w:p>
    <w:p>
      <w:pPr>
        <w:pStyle w:val="Normal"/>
        <w:spacing w:before="120" w:after="280"/>
        <w:rPr/>
      </w:pPr>
      <w:r>
        <w:rPr/>
        <w:t>b) Đối với điện của các công ty nhiệt điện hạch toán phụ thuộc Tập đoàn Điện lực Việt Nam, hạch toán phụ thuộc các Tổng công ty phát điện, giá tính thuế giá trị gia tăng để xác định số thuế giá trị gia tăng nộp tại địa phương nơi có nhà máy nhiệt điện là giá bán điện cho khách hàng ghi trên hóa đơn theo hợp đồng mua bán điện áp dụng cho từng nhà máy nhiệt điện.</w:t>
      </w:r>
    </w:p>
    <w:p>
      <w:pPr>
        <w:pStyle w:val="Normal"/>
        <w:spacing w:before="120" w:after="280"/>
        <w:rPr/>
      </w:pPr>
      <w:r>
        <w:rPr/>
        <w:t>Trường hợp chưa có hợp đồng mua bán điện áp dụng cho từng nhà máy nhiệt điện thì giá tính thuế giá trị gia tăng được xác định là giá bán lẻ điện bình quân chưa bao gồm thuế giá trị gia tăng theo quy định của pháp luật điện lực và pháp luật giá.</w:t>
      </w:r>
    </w:p>
    <w:p>
      <w:pPr>
        <w:pStyle w:val="Normal"/>
        <w:spacing w:before="120" w:after="280"/>
        <w:rPr/>
      </w:pPr>
      <w:r>
        <w:rPr/>
        <w:t>c) Đối với điện của các công ty sản xuất điện (trừ thủy điện, nhiệt điện) hạch toán phụ thuộc Tập đoàn Điện lực Việt Nam, hạch toán phụ thuộc các Tổng công ty phát điện, giá tính thuế giá trị gia tăng để xác định số thuế giá trị gia tăng nộp tại địa phương nơi có nhà máy sản xuất điện là giá bán điện chưa có thuế giá trị gia tăng do cơ quan nhà nước có thẩm quyền quy định cho từng loại hình phát điện.</w:t>
      </w:r>
    </w:p>
    <w:p>
      <w:pPr>
        <w:pStyle w:val="Normal"/>
        <w:spacing w:before="120" w:after="280"/>
        <w:rPr/>
      </w:pPr>
      <w:r>
        <w:rPr/>
        <w:t>Trường hợp chưa có giá bán điện do cơ quan nhà nước có thẩm quyền quy định cho từng loại hình phát điện nêu tại điểm này thì giá tính thuế giá trị gia tăng được xác định là giá bán lẻ điện bình quân chưa bao gồm thuế giá trị gia tăng theo quy định của pháp luật điện lực và pháp luật giá.”</w:t>
      </w:r>
    </w:p>
    <w:p>
      <w:pPr>
        <w:pStyle w:val="Normal"/>
        <w:spacing w:before="120" w:after="280"/>
        <w:rPr/>
      </w:pPr>
      <w:bookmarkStart w:id="20" w:name="khoan_2_1"/>
      <w:r>
        <w:rPr/>
        <w:t>2. Sửa đổi, bổ sung</w:t>
      </w:r>
      <w:bookmarkEnd w:id="20"/>
      <w:r>
        <w:rPr/>
        <w:t xml:space="preserve"> </w:t>
      </w:r>
      <w:bookmarkStart w:id="21" w:name="dc_5"/>
      <w:r>
        <w:rPr/>
        <w:t>khoản 3 Điều 8</w:t>
      </w:r>
      <w:bookmarkEnd w:id="21"/>
      <w:r>
        <w:rPr/>
        <w:t xml:space="preserve"> </w:t>
      </w:r>
      <w:bookmarkStart w:id="22" w:name="khoan_2_1_name"/>
      <w:r>
        <w:rPr/>
        <w:t>như sau:</w:t>
      </w:r>
      <w:bookmarkEnd w:id="22"/>
    </w:p>
    <w:p>
      <w:pPr>
        <w:pStyle w:val="Normal"/>
        <w:spacing w:before="120" w:after="280"/>
        <w:rPr/>
      </w:pPr>
      <w:r>
        <w:rPr/>
        <w:t>“</w:t>
      </w:r>
      <w:r>
        <w:rPr/>
        <w:t xml:space="preserve">3. Hoạt động kinh doanh, hộ kinh doanh không thực hiện hoặc thực hiện không đầy đủ chế độ kế toán, hóa đơn, chứng từ theo quy định của pháp luật thì nộp thuế giá trị gia tăng theo phương pháp khoán thuế quy định tại </w:t>
      </w:r>
      <w:bookmarkStart w:id="23" w:name="dc_6"/>
      <w:r>
        <w:rPr/>
        <w:t>Điều 51 Luật Quản lý thuế</w:t>
      </w:r>
      <w:bookmarkEnd w:id="23"/>
      <w:r>
        <w:rPr/>
        <w:t>.”</w:t>
      </w:r>
    </w:p>
    <w:p>
      <w:pPr>
        <w:pStyle w:val="Normal"/>
        <w:spacing w:before="120" w:after="280"/>
        <w:rPr/>
      </w:pPr>
      <w:bookmarkStart w:id="24" w:name="khoan_3_1"/>
      <w:r>
        <w:rPr/>
        <w:t>3. Sửa đổi, bổ sung</w:t>
      </w:r>
      <w:bookmarkEnd w:id="24"/>
      <w:r>
        <w:rPr/>
        <w:t xml:space="preserve"> </w:t>
      </w:r>
      <w:bookmarkStart w:id="25" w:name="dc_7"/>
      <w:r>
        <w:rPr/>
        <w:t>khoản 2 Điều 10</w:t>
      </w:r>
      <w:bookmarkEnd w:id="25"/>
      <w:r>
        <w:rPr/>
        <w:t xml:space="preserve"> </w:t>
      </w:r>
      <w:bookmarkStart w:id="26" w:name="khoan_3_1_name"/>
      <w:r>
        <w:rPr/>
        <w:t>như sau:</w:t>
      </w:r>
      <w:bookmarkEnd w:id="26"/>
    </w:p>
    <w:p>
      <w:pPr>
        <w:pStyle w:val="Normal"/>
        <w:spacing w:before="120" w:after="280"/>
        <w:rPr/>
      </w:pPr>
      <w:r>
        <w:rPr/>
        <w:t>“</w:t>
      </w:r>
      <w:r>
        <w:rPr/>
        <w:t>2. Cơ sở kinh doanh được hoàn thuế đối với dự án đầu tư như sau:</w:t>
      </w:r>
    </w:p>
    <w:p>
      <w:pPr>
        <w:pStyle w:val="Normal"/>
        <w:spacing w:before="120" w:after="280"/>
        <w:rPr/>
      </w:pPr>
      <w:r>
        <w:rPr/>
        <w:t xml:space="preserve">a) Cơ sở kinh doanh đã đăng ký kinh doanh, đăng ký nộp thuế giá trị gia tăng theo phương pháp khấu trừ (bao gồm cả cơ sở kinh doanh mới thành lập từ dự án đầu tư) có dự án đầu tư mới (bao gồm cả dự án đầu tư được chia thành nhiều giai đoạn đầu tư hoặc nhiều hạng mục đầu tư) theo quy định của </w:t>
      </w:r>
      <w:bookmarkStart w:id="27" w:name="tvpllink_gwozgqnrqo"/>
      <w:r>
        <w:rPr/>
        <w:t>Luật Đầu tư</w:t>
      </w:r>
      <w:bookmarkEnd w:id="27"/>
      <w:r>
        <w:rPr/>
        <w:t xml:space="preserve"> tại địa bàn cùng tỉnh, thành phố hoặc khác tỉnh, thành phố nơi đóng trụ sở chính (trừ trường hợp quy định tại điểm c khoản này và dự án đầu tư xây dựng nhà để bán, dự án đầu tư không hình thành tài sản cố định) đang trong giai đoạn đầu tư hoặc dự án tìm kiếm thăm dò và phát triển mỏ dầu khí đang trong giai đoạn đầu tư, có số thuế giá trị gia tăng đầu vào của hàng hóa, dịch vụ phát sinh trong giai đoạn đầu tư lũy kế chưa được khấu trừ hết từ 300 triệu đồng trở lên được hoàn thuế giá trị gia tăng.</w:t>
      </w:r>
    </w:p>
    <w:p>
      <w:pPr>
        <w:pStyle w:val="Normal"/>
        <w:spacing w:before="120" w:after="280"/>
        <w:rPr/>
      </w:pPr>
      <w:r>
        <w:rPr/>
        <w:t>Cơ sở kinh doanh thực hiện kê khai thuế giá trị gia tăng riêng đối với dự án đầu tư và phải bù trừ số thuế giá trị gia tăng đầu vào của dự án đầu tư với số thuế giá trị gia tăng phải nộp của hoạt động sản xuất kinh doanh đang thực hiện (nếu có). Sau khi bù trừ nếu số thuế giá trị gia tăng đầu vào lũy kế của dự án đầu tư chưa được khấu trừ hết từ 300 triệu đồng trở lên được hoàn thuế giá trị gia tăng.</w:t>
      </w:r>
    </w:p>
    <w:p>
      <w:pPr>
        <w:pStyle w:val="Normal"/>
        <w:spacing w:before="120" w:after="280"/>
        <w:rPr/>
      </w:pPr>
      <w:r>
        <w:rPr/>
        <w:t>Trường hợp dự án đầu tư của cơ sở kinh doanh đã được cơ quan nhà nước có thẩm quyền thanh tra, kiểm tra, kiểm toán thì cơ quan thuế có thể sử dụng kết quả thanh tra, kiểm tra, kiểm toán để quyết định việc hoàn thuế giá trị gia tăng.</w:t>
      </w:r>
    </w:p>
    <w:p>
      <w:pPr>
        <w:pStyle w:val="Normal"/>
        <w:spacing w:before="120" w:after="280"/>
        <w:rPr/>
      </w:pPr>
      <w:r>
        <w:rPr/>
        <w:t>b) Đối với dự án đầu tư của cơ sở kinh doanh ngành, nghề đầu tư kinh doanh có điều kiện thuộc các trường hợp sau thì cơ sở kinh doanh được hoàn thuế giá trị gia tăng đối với dự án đầu tư theo quy định tại điểm a khoản này:</w:t>
      </w:r>
    </w:p>
    <w:p>
      <w:pPr>
        <w:pStyle w:val="Normal"/>
        <w:spacing w:before="120" w:after="280"/>
        <w:rPr/>
      </w:pPr>
      <w:r>
        <w:rPr/>
        <w:t>b.1) Dự án đầu tư trong giai đoạn đầu tư, theo quy định của pháp luật đầu tư, pháp luật chuyên ngành đã được cơ quan nhà nước có thẩm quyền cấp giấy kinh doanh ngành, nghề đầu tư kinh doanh có điều kiện theo một trong các hình thức: Giấy phép hoặc giấy chứng nhận hoặc văn bản xác nhận, chấp thuận.</w:t>
      </w:r>
    </w:p>
    <w:p>
      <w:pPr>
        <w:pStyle w:val="Normal"/>
        <w:spacing w:before="120" w:after="280"/>
        <w:rPr/>
      </w:pPr>
      <w:r>
        <w:rPr/>
        <w:t>b.2) Dự án đầu tư trong giai đoạn đầu tư, theo quy định của pháp luật đầu tư, pháp luật chuyên ngành chưa phải đề nghị cơ quan nhà nước có thẩm quyền cấp giấy kinh doanh ngành, nghề đầu tư kinh doanh có điều kiện theo một trong các hình thức: Giấy phép hoặc giấy chứng nhận hoặc văn bản xác nhận, chấp thuận.</w:t>
      </w:r>
    </w:p>
    <w:p>
      <w:pPr>
        <w:pStyle w:val="Normal"/>
        <w:spacing w:before="120" w:after="280"/>
        <w:rPr/>
      </w:pPr>
      <w:r>
        <w:rPr/>
        <w:t>b.3) Dự án đầu tư theo quy định của pháp luật đầu tư, pháp luật chuyên ngành không phải có giấy kinh doanh ngành, nghề đầu tư kinh doanh có điều kiện theo một trong các hình thức: Giấy phép hoặc giấy chứng nhận hoặc văn bản xác nhận, chấp thuận.</w:t>
      </w:r>
    </w:p>
    <w:p>
      <w:pPr>
        <w:pStyle w:val="Normal"/>
        <w:spacing w:before="120" w:after="280"/>
        <w:rPr/>
      </w:pPr>
      <w:r>
        <w:rPr/>
        <w:t>c) Cơ sở kinh doanh không được hoàn thuế giá trị gia tăng mà được kết chuyển số thuế chưa được khấu trừ của dự án đầu tư theo pháp luật về đầu tư sang kỳ tiếp theo đối với các trường hợp:</w:t>
      </w:r>
    </w:p>
    <w:p>
      <w:pPr>
        <w:pStyle w:val="Normal"/>
        <w:spacing w:before="120" w:after="280"/>
        <w:rPr/>
      </w:pPr>
      <w:r>
        <w:rPr/>
        <w:t xml:space="preserve">c.1) Dự án đầu tư của cơ sở kinh doanh ngành, nghề đầu tư kinh doanh có điều kiện khi chưa đủ các điều kiện kinh doanh theo quy định của </w:t>
      </w:r>
      <w:bookmarkStart w:id="28" w:name="tvpllink_gwozgqnrqo_1"/>
      <w:r>
        <w:rPr/>
        <w:t>Luật Đầu tư</w:t>
      </w:r>
      <w:bookmarkEnd w:id="28"/>
      <w:r>
        <w:rPr/>
        <w:t xml:space="preserve"> quy định tại </w:t>
      </w:r>
      <w:bookmarkStart w:id="29" w:name="dc_8"/>
      <w:r>
        <w:rPr/>
        <w:t>điểm a khoản 1 Điều 13 Luật Thuế giá trị gia tăng</w:t>
      </w:r>
      <w:bookmarkEnd w:id="29"/>
      <w:r>
        <w:rPr/>
        <w:t xml:space="preserve"> đã được sửa đổi, bổ sung tại </w:t>
      </w:r>
      <w:bookmarkStart w:id="30" w:name="tvpllink_utrvuceexq_1"/>
      <w:r>
        <w:rPr/>
        <w:t>Luật sửa đổi, bổ sung một số điều của Luật Thuế giá trị gia tăng</w:t>
      </w:r>
      <w:bookmarkEnd w:id="30"/>
      <w:r>
        <w:rPr/>
        <w:t xml:space="preserve">, </w:t>
      </w:r>
      <w:bookmarkStart w:id="31" w:name="tvpllink_gyrotfitse"/>
      <w:r>
        <w:rPr/>
        <w:t>Luật Thuế tiêu thụ đặc biệt</w:t>
      </w:r>
      <w:bookmarkEnd w:id="31"/>
      <w:r>
        <w:rPr/>
        <w:t xml:space="preserve"> và </w:t>
      </w:r>
      <w:bookmarkStart w:id="32" w:name="tvpllink_gtkyhfrola"/>
      <w:r>
        <w:rPr/>
        <w:t>Luật Quản lý thuế</w:t>
      </w:r>
      <w:bookmarkEnd w:id="32"/>
      <w:r>
        <w:rPr/>
        <w:t xml:space="preserve"> là dự án đầu tư của cơ sở kinh doanh ngành, nghề đầu tư kinh doanh có điều kiện nhưng chưa được cơ quan nhà nước có thẩm quyền cấp giấy kinh doanh ngành, nghề đầu tư kinh doanh có điều kiện theo một trong các hình thức: Giấy phép hoặc giấy chứng nhận hoặc văn bản xác nhận, chấp thuận hoặc chưa đáp ứng được điều kiện để thực hiện đầu tư kinh doanh có điều kiện mà không cần phải có xác nhận, chấp thuận dưới hình thức văn bản theo quy định của pháp luật về đầu tư (trừ các trường hợp quy định tại điểm b khoản này).</w:t>
      </w:r>
    </w:p>
    <w:p>
      <w:pPr>
        <w:pStyle w:val="Normal"/>
        <w:spacing w:before="120" w:after="280"/>
        <w:rPr/>
      </w:pPr>
      <w:r>
        <w:rPr/>
        <w:t xml:space="preserve">Dự án đầu tư của cơ sở kinh doanh ngành, nghề đầu tư kinh doanh có điều kiện không bảo đảm duy trì đủ điều kiện kinh doanh trong quá trình hoạt động quy định tại </w:t>
      </w:r>
      <w:bookmarkStart w:id="33" w:name="dc_9"/>
      <w:r>
        <w:rPr/>
        <w:t>điểm a khoản 1 Điều 13 Luật Thuế giá trị gia tăng</w:t>
      </w:r>
      <w:bookmarkEnd w:id="33"/>
      <w:r>
        <w:rPr/>
        <w:t xml:space="preserve"> đã được sửa đổi, bổ sung tại </w:t>
      </w:r>
      <w:bookmarkStart w:id="34" w:name="tvpllink_utrvuceexq_2"/>
      <w:r>
        <w:rPr/>
        <w:t>Luật sửa đổi, bổ sung một số điều của Luật Thuế giá trị gia tăng</w:t>
      </w:r>
      <w:bookmarkEnd w:id="34"/>
      <w:r>
        <w:rPr/>
        <w:t xml:space="preserve">, </w:t>
      </w:r>
      <w:bookmarkStart w:id="35" w:name="tvpllink_gyrotfitse_1"/>
      <w:r>
        <w:rPr/>
        <w:t>Luật Thuế tiêu thụ đặc biệt</w:t>
      </w:r>
      <w:bookmarkEnd w:id="35"/>
      <w:r>
        <w:rPr/>
        <w:t xml:space="preserve"> và </w:t>
      </w:r>
      <w:bookmarkStart w:id="36" w:name="tvpllink_gtkyhfrola_1"/>
      <w:r>
        <w:rPr/>
        <w:t>Luật Quản lý thuế</w:t>
      </w:r>
      <w:bookmarkEnd w:id="36"/>
      <w:r>
        <w:rPr/>
        <w:t xml:space="preserve"> là dự án đầu tư của cơ sở kinh doanh ngành, nghề đầu tư kinh doanh có điều kiện nhưng trong quá trình hoạt động cơ sở kinh doanh bị thu hồi một trong các giấy kinh doanh ngành, nghề đầu tư kinh doanh có điều kiện: Giấy phép hoặc giấy chứng nhận hoặc văn bản xác nhận, chấp thuận; hoặc trong quá trình hoạt động cơ sở kinh doanh không đáp ứng được điều kiện để thực hiện đầu tư kinh doanh có điều kiện theo quy định của pháp luật về đầu tư thì thời điểm không hoàn thuế giá trị gia tăng được tính từ thời điểm cơ sở kinh doanh bị thu hồi một trong các loại giấy tờ nêu trên hoặc từ thời điểm cơ quan nhà nước có thẩm quyền kiểm tra, phát hiện cơ sở kinh doanh không đáp ứng được các điều kiện về đầu tư kinh doanh có điều kiện.</w:t>
      </w:r>
    </w:p>
    <w:p>
      <w:pPr>
        <w:pStyle w:val="Normal"/>
        <w:spacing w:before="120" w:after="280"/>
        <w:rPr/>
      </w:pPr>
      <w:r>
        <w:rPr/>
        <w:t>c.2) Dự án đầu tư khai thác tài nguyên, khoáng sản được cấp phép từ ngày 01 tháng 7 năm 2016 hoặc dự án đầu tư sản xuất sản phẩm hàng hóa mà tổng trị giá tài nguyên, khoáng sản cộng với chi phí năng lượng chiếm từ 51% giá thành sản phẩm trở lên theo dự án đầu tư, trừ dự án tìm kiếm thăm dò và phát triển mỏ dầu khí quy định tại điểm a khoản này.</w:t>
      </w:r>
    </w:p>
    <w:p>
      <w:pPr>
        <w:pStyle w:val="Normal"/>
        <w:spacing w:before="120" w:after="280"/>
        <w:rPr/>
      </w:pPr>
      <w:r>
        <w:rPr/>
        <w:t>Việc xác định tài nguyên, khoáng sản; trị giá tài nguyên, khoáng sản và thời điểm xác định trị giá tài nguyên, khoáng sản và chi phí năng lượng thực hiện theo quy định tại khoản 11 Điều 3 Nghị định này.”</w:t>
      </w:r>
    </w:p>
    <w:p>
      <w:pPr>
        <w:pStyle w:val="Normal"/>
        <w:spacing w:before="120" w:after="280"/>
        <w:rPr>
          <w:b/>
          <w:bCs/>
        </w:rPr>
      </w:pPr>
      <w:bookmarkStart w:id="37" w:name="dieu_2"/>
      <w:r>
        <w:rPr>
          <w:b/>
          <w:bCs/>
        </w:rPr>
        <w:t>Điều 2. Hiệu lực và trách nhiệm thi hành</w:t>
      </w:r>
      <w:bookmarkEnd w:id="37"/>
    </w:p>
    <w:p>
      <w:pPr>
        <w:pStyle w:val="Normal"/>
        <w:spacing w:before="120" w:after="280"/>
        <w:rPr/>
      </w:pPr>
      <w:r>
        <w:rPr/>
        <w:t>1. Nghị định này có hiệu lực từ ngày 12 tháng 9 năm 2022.</w:t>
      </w:r>
    </w:p>
    <w:p>
      <w:pPr>
        <w:pStyle w:val="Normal"/>
        <w:spacing w:before="120" w:after="280"/>
        <w:rPr/>
      </w:pPr>
      <w:bookmarkStart w:id="38" w:name="khoan_2_2"/>
      <w:r>
        <w:rPr/>
        <w:t xml:space="preserve">2. Quy định về hoàn thuế giá trị gia tăng đối với dự án đầu tư của cơ sở kinh doanh ngành, nghề đầu tư kinh doanh có điều kiện tại </w:t>
      </w:r>
      <w:bookmarkStart w:id="39" w:name="tc_1"/>
      <w:bookmarkEnd w:id="38"/>
      <w:r>
        <w:rPr/>
        <w:t>khoản 3 Điều 1 Nghị định này</w:t>
      </w:r>
      <w:bookmarkEnd w:id="39"/>
      <w:r>
        <w:rPr/>
        <w:t xml:space="preserve"> được áp dụng kể từ ngày Nghị định số 100/2016/NĐ-CP ngày 01 tháng 7 năm 2016 của Chính phủ có hiệu lực thi hành.</w:t>
      </w:r>
    </w:p>
    <w:p>
      <w:pPr>
        <w:pStyle w:val="Normal"/>
        <w:spacing w:before="120" w:after="280"/>
        <w:rPr/>
      </w:pPr>
      <w:r>
        <w:rPr/>
        <w:t xml:space="preserve">Trường hợp cơ sở kinh doanh đã bị thu hồi số thuế giá trị gia tăng của dự án đầu tư theo quy định tại </w:t>
      </w:r>
      <w:bookmarkStart w:id="40" w:name="dc_10"/>
      <w:r>
        <w:rPr/>
        <w:t>điểm c khoản 2 Điều 10 Nghị định số 209/2013/NĐ-CP</w:t>
      </w:r>
      <w:bookmarkEnd w:id="40"/>
      <w:r>
        <w:rPr/>
        <w:t xml:space="preserve"> (đã được sửa đổi, bổ sung theo </w:t>
      </w:r>
      <w:bookmarkStart w:id="41" w:name="dc_11"/>
      <w:r>
        <w:rPr/>
        <w:t>khoản 6 Điều 1 Nghị định số 100/2016/NĐ-CP</w:t>
      </w:r>
      <w:bookmarkEnd w:id="41"/>
      <w:r>
        <w:rPr/>
        <w:t>) thì cơ quan thuế điều chỉnh tiền thuế giá trị gia tăng, tiền chậm nộp, tiền phạt vi phạm hành chính về thuế (nếu có). Việc bù trừ, hoàn nộp thừa thực hiện theo quy định của pháp luật về quản lý thuế.</w:t>
      </w:r>
    </w:p>
    <w:p>
      <w:pPr>
        <w:pStyle w:val="Normal"/>
        <w:spacing w:before="120" w:after="280"/>
        <w:rPr/>
      </w:pPr>
      <w:r>
        <w:rPr/>
        <w:t xml:space="preserve">3. Bãi bỏ quy định tại </w:t>
      </w:r>
      <w:bookmarkStart w:id="42" w:name="dc_12"/>
      <w:r>
        <w:rPr/>
        <w:t>Điều 2 Nghị định số 10/2017/NĐ-CP</w:t>
      </w:r>
      <w:bookmarkEnd w:id="42"/>
      <w:r>
        <w:rPr/>
        <w:t xml:space="preserve"> ngày 09 tháng 02 năm 2017 của Chính phủ ban hành Quy chế quản lý tài chính của Tập đoàn Điện lực Việt Nam và sửa đổi, bổ sung </w:t>
      </w:r>
      <w:bookmarkStart w:id="43" w:name="dc_13"/>
      <w:r>
        <w:rPr/>
        <w:t>khoản 4 Điều 4 Nghị định số 209/2013/NĐ-CP</w:t>
      </w:r>
      <w:bookmarkEnd w:id="43"/>
      <w:r>
        <w:rPr/>
        <w:t xml:space="preserve"> ngày 18 tháng 12 năm 2013 của Chính phủ.</w:t>
      </w:r>
    </w:p>
    <w:p>
      <w:pPr>
        <w:pStyle w:val="Normal"/>
        <w:spacing w:before="120" w:after="280"/>
        <w:rPr/>
      </w:pPr>
      <w:r>
        <w:rPr/>
        <w:t>4. Bộ Tài chính hướng dẫn thi hành Nghị định này.</w:t>
      </w:r>
    </w:p>
    <w:p>
      <w:pPr>
        <w:pStyle w:val="Normal"/>
        <w:spacing w:before="120" w:after="280"/>
        <w:rPr/>
      </w:pPr>
      <w:r>
        <w:rPr/>
        <w:t>5. Các Bộ trưởng, Thủ trưởng cơ quan ngang bộ, Thủ trưởng cơ quan thuộc Chính phủ, Chủ tịch Ủy ban nhân dân tỉnh, thành phố trực thuộc trung ương và các tổ chức, cá nhân có liên quan chịu trách nhiệm thi hành Nghị định này.</w:t>
      </w:r>
    </w:p>
    <w:p>
      <w:pPr>
        <w:pStyle w:val="Normal"/>
        <w:spacing w:before="120" w:after="280"/>
        <w:rPr/>
      </w:pPr>
      <w:r>
        <w:rPr/>
        <w:t> </w:t>
      </w:r>
    </w:p>
    <w:tbl>
      <w:tblPr>
        <w:tblW w:w="8856" w:type="dxa"/>
        <w:jc w:val="start"/>
        <w:tblInd w:w="0" w:type="dxa"/>
        <w:tblLayout w:type="fixed"/>
        <w:tblCellMar>
          <w:top w:w="0" w:type="dxa"/>
          <w:start w:w="108" w:type="dxa"/>
          <w:bottom w:w="0" w:type="dxa"/>
          <w:end w:w="108" w:type="dxa"/>
        </w:tblCellMar>
      </w:tblPr>
      <w:tblGrid>
        <w:gridCol w:w="4428"/>
        <w:gridCol w:w="4428"/>
      </w:tblGrid>
      <w:tr>
        <w:trPr/>
        <w:tc>
          <w:tcPr>
            <w:tcW w:w="4428" w:type="dxa"/>
            <w:tcBorders/>
          </w:tcPr>
          <w:p>
            <w:pPr>
              <w:pStyle w:val="Normal"/>
              <w:spacing w:before="120" w:after="0"/>
              <w:rPr/>
            </w:pPr>
            <w:r>
              <w:rPr>
                <w:b/>
                <w:bCs/>
                <w:i/>
                <w:iCs/>
              </w:rPr>
              <w:br/>
              <w:t>Nơi nhận:</w:t>
              <w:br/>
            </w:r>
            <w:r>
              <w:rPr>
                <w:sz w:val="16"/>
              </w:rPr>
              <w:t>- Ban Bí thư Trung ương Đảng;</w:t>
              <w:br/>
              <w:t>- Thủ tướng, các Phó Thủ tướng Chính phủ;</w:t>
              <w:br/>
              <w:t>- Các bộ, cơ quan ngang bộ, cơ quan thuộc Chính phủ;</w:t>
              <w:br/>
              <w:t>- HĐND, UBND các tỉnh, thành phố trực thuộc trung ương;</w:t>
              <w:br/>
              <w:t>- Văn phòng Trung ương và các Ban của Đảng;</w:t>
              <w:br/>
              <w:t>- Văn phòng Tổng Bí thư;</w:t>
              <w:br/>
              <w:t>- Văn phòng Chủ tịch nước;</w:t>
              <w:br/>
              <w:t>- Hội đồng Dân tộc và các Ủy ban của Quốc hội;</w:t>
              <w:br/>
              <w:t>- Văn phòng Quốc hội;</w:t>
              <w:br/>
              <w:t>- Tòa án nhân dân tối cao;</w:t>
              <w:br/>
              <w:t>- Viện kiểm sát nhân dân tối cao;</w:t>
              <w:br/>
              <w:t>- Kiểm toán nhà nước;</w:t>
              <w:br/>
              <w:t>- Ủy ban Giám sát tài chính Quốc gia;</w:t>
              <w:br/>
              <w:t>- Ngân hàng Chính sách xã hội;</w:t>
              <w:br/>
              <w:t>- Ngân hàng Phát triển Việt Nam;</w:t>
              <w:br/>
              <w:t>- Ủy ban trung ương Mặt trận Tổ quốc Việt Nam;</w:t>
              <w:br/>
              <w:t>- Cơ quan trung ương của các đoàn thể;</w:t>
              <w:br/>
              <w:t>- VPCP: BTCN, các PCN, Trợ lý TTg, TGĐ Cổng TTĐT,</w:t>
              <w:br/>
              <w:t>các Vụ, Cục, đơn vị trực thuộc, Công báo;</w:t>
              <w:br/>
              <w:t>- Lưu: VT, KTTH (2b).</w:t>
            </w:r>
          </w:p>
        </w:tc>
        <w:tc>
          <w:tcPr>
            <w:tcW w:w="4428" w:type="dxa"/>
            <w:tcBorders/>
          </w:tcPr>
          <w:p>
            <w:pPr>
              <w:pStyle w:val="Normal"/>
              <w:spacing w:before="120" w:after="0"/>
              <w:jc w:val="center"/>
              <w:rPr>
                <w:b/>
                <w:bCs/>
              </w:rPr>
            </w:pPr>
            <w:r>
              <w:rPr>
                <w:b/>
                <w:bCs/>
              </w:rPr>
              <w:t>TM. CHÍNH PHỦ</w:t>
              <w:br/>
              <w:t>KT. THỦ TƯỚNG</w:t>
              <w:br/>
              <w:t>PHÓ THỦ TƯỚNG</w:t>
              <w:br/>
              <w:br/>
              <w:br/>
              <w:br/>
              <w:br/>
              <w:t>Lê Minh Khái</w:t>
            </w:r>
          </w:p>
        </w:tc>
      </w:tr>
    </w:tbl>
    <w:p>
      <w:pPr>
        <w:pStyle w:val="Normal"/>
        <w:spacing w:before="120" w:after="280"/>
        <w:rPr/>
      </w:pPr>
      <w:r>
        <w:rPr/>
        <w:t>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2024-05-02T14:20:00Z</dcterms:created>
  <dc:creator>PC</dc:creator>
  <dc:description/>
  <cp:keywords/>
  <dc:language>en-US</dc:language>
  <cp:lastModifiedBy>PC</cp:lastModifiedBy>
  <dcterms:modified xsi:type="dcterms:W3CDTF">2024-05-02T14:20:00Z</dcterms:modified>
  <cp:revision>2</cp:revision>
  <dc:subject/>
  <dc:title/>
</cp:coreProperties>
</file>