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48"/>
        <w:gridCol w:w="5508"/>
      </w:tblGrid>
      <w:tr>
        <w:trPr/>
        <w:tc>
          <w:tcPr>
            <w:tcW w:w="3348" w:type="dxa"/>
            <w:tcBorders/>
          </w:tcPr>
          <w:p>
            <w:pPr>
              <w:pStyle w:val="Normal"/>
              <w:spacing w:before="120" w:after="0"/>
              <w:jc w:val="center"/>
              <w:rPr/>
            </w:pPr>
            <w:r>
              <w:rPr>
                <w:b/>
                <w:bCs/>
                <w:lang w:val="vi-VN"/>
              </w:rPr>
              <w:t>B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  <w:lang w:val="vi-VN"/>
              </w:rPr>
              <w:t xml:space="preserve"> TÀI CHÍNH</w:t>
              <w:br/>
              <w:t>-------</w:t>
            </w:r>
          </w:p>
        </w:tc>
        <w:tc>
          <w:tcPr>
            <w:tcW w:w="5508" w:type="dxa"/>
            <w:tcBorders/>
          </w:tcPr>
          <w:p>
            <w:pPr>
              <w:pStyle w:val="Normal"/>
              <w:spacing w:before="120" w:after="0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CỘNG HÒA XÃ HỘI CHỦ NGHĨA VIỆT NAM</w:t>
              <w:br/>
              <w:t xml:space="preserve">Độc lập - Tự do - Hạnh phúc </w:t>
              <w:br/>
              <w:t>---------------</w:t>
            </w:r>
          </w:p>
        </w:tc>
      </w:tr>
      <w:tr>
        <w:trPr/>
        <w:tc>
          <w:tcPr>
            <w:tcW w:w="3348" w:type="dxa"/>
            <w:tcBorders/>
          </w:tcPr>
          <w:p>
            <w:pPr>
              <w:pStyle w:val="Normal"/>
              <w:spacing w:before="120" w:after="0"/>
              <w:jc w:val="center"/>
              <w:rPr>
                <w:lang w:val="vi-VN"/>
              </w:rPr>
            </w:pPr>
            <w:r>
              <w:rPr>
                <w:lang w:val="vi-VN"/>
              </w:rPr>
              <w:t>Số: 12/2016/TT-BTC</w:t>
            </w:r>
          </w:p>
        </w:tc>
        <w:tc>
          <w:tcPr>
            <w:tcW w:w="5508" w:type="dxa"/>
            <w:tcBorders/>
          </w:tcPr>
          <w:p>
            <w:pPr>
              <w:pStyle w:val="Normal"/>
              <w:spacing w:before="120" w:after="0"/>
              <w:jc w:val="end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Hà Nội, ngày 20 tháng 01 năm 2016</w:t>
            </w:r>
          </w:p>
        </w:tc>
      </w:tr>
    </w:tbl>
    <w:p>
      <w:pPr>
        <w:pStyle w:val="Normal"/>
        <w:spacing w:before="120" w:after="280"/>
        <w:rPr/>
      </w:pPr>
      <w:r>
        <w:rPr/>
        <w:t> </w:t>
      </w:r>
    </w:p>
    <w:p>
      <w:pPr>
        <w:pStyle w:val="Normal"/>
        <w:spacing w:before="120" w:after="280"/>
        <w:jc w:val="center"/>
        <w:rPr>
          <w:b/>
          <w:bCs/>
          <w:lang w:val="vi-VN"/>
        </w:rPr>
      </w:pPr>
      <w:bookmarkStart w:id="0" w:name="loai_1"/>
      <w:r>
        <w:rPr>
          <w:b/>
          <w:bCs/>
          <w:lang w:val="vi-VN"/>
        </w:rPr>
        <w:t>THÔNG TƯ</w:t>
      </w:r>
      <w:bookmarkEnd w:id="0"/>
    </w:p>
    <w:p>
      <w:pPr>
        <w:pStyle w:val="Normal"/>
        <w:spacing w:before="120" w:after="280"/>
        <w:jc w:val="center"/>
        <w:rPr>
          <w:lang w:val="vi-VN"/>
        </w:rPr>
      </w:pPr>
      <w:bookmarkStart w:id="1" w:name="loai_1_name"/>
      <w:r>
        <w:rPr>
          <w:lang w:val="vi-VN"/>
        </w:rPr>
        <w:t>SỬA ĐỔI, BỔ SUNG KHOẢN 1 ĐIỀU 7 THÔNG TƯ SỐ 152/2015/TT-BTC NGÀY 02 THÁNG 10 NĂM 2015 HƯỚNG DẪN VỀ THUẾ TÀI NGUYÊN</w:t>
      </w:r>
      <w:bookmarkEnd w:id="1"/>
    </w:p>
    <w:p>
      <w:pPr>
        <w:pStyle w:val="Normal"/>
        <w:spacing w:before="120" w:after="280"/>
        <w:rPr>
          <w:i/>
          <w:i/>
          <w:iCs/>
          <w:lang w:val="vi-VN"/>
        </w:rPr>
      </w:pPr>
      <w:r>
        <w:rPr>
          <w:i/>
          <w:iCs/>
          <w:lang w:val="vi-VN"/>
        </w:rPr>
        <w:t>Căn cứ Luật thuế tài nguyên số 45/2009/QH12 ngày 25 tháng 11 năm 2009;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>Căn cứ Luật sửa đổi, bổ sung một s</w:t>
      </w:r>
      <w:r>
        <w:rPr>
          <w:i/>
          <w:iCs/>
        </w:rPr>
        <w:t xml:space="preserve">ố </w:t>
      </w:r>
      <w:r>
        <w:rPr>
          <w:i/>
          <w:iCs/>
          <w:lang w:val="vi-VN"/>
        </w:rPr>
        <w:t>điều của các Luật về thuế số 71/2014/QH13 ngày 26 tháng 11 năm 2014;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 xml:space="preserve">Căn cứ Nghị quyết số 1084/2015/UBTVQH13 ngày 10 tháng 12 năm 2015 của </w:t>
      </w:r>
      <w:r>
        <w:rPr>
          <w:i/>
          <w:iCs/>
        </w:rPr>
        <w:t xml:space="preserve">Ủy </w:t>
      </w:r>
      <w:r>
        <w:rPr>
          <w:i/>
          <w:iCs/>
          <w:lang w:val="vi-VN"/>
        </w:rPr>
        <w:t>ban thường vụ Quốc hội ban hành Bi</w:t>
      </w:r>
      <w:r>
        <w:rPr>
          <w:i/>
          <w:iCs/>
        </w:rPr>
        <w:t>ể</w:t>
      </w:r>
      <w:r>
        <w:rPr>
          <w:i/>
          <w:iCs/>
          <w:lang w:val="vi-VN"/>
        </w:rPr>
        <w:t>u mức thuế s</w:t>
      </w:r>
      <w:r>
        <w:rPr>
          <w:i/>
          <w:iCs/>
        </w:rPr>
        <w:t>uấ</w:t>
      </w:r>
      <w:r>
        <w:rPr>
          <w:i/>
          <w:iCs/>
          <w:lang w:val="vi-VN"/>
        </w:rPr>
        <w:t>t thu</w:t>
      </w:r>
      <w:r>
        <w:rPr>
          <w:i/>
          <w:iCs/>
        </w:rPr>
        <w:t>ế</w:t>
      </w:r>
      <w:r>
        <w:rPr>
          <w:i/>
          <w:iCs/>
          <w:lang w:val="vi-VN"/>
        </w:rPr>
        <w:t xml:space="preserve"> tài nguyên;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>Căn cứ Nghị định số 50/2010/NĐ-CP ngày 14 tháng 5 năm 2010 của Chính phủ quy định chi tiết và hướng dẫn thi hành một s</w:t>
      </w:r>
      <w:r>
        <w:rPr>
          <w:i/>
          <w:iCs/>
        </w:rPr>
        <w:t xml:space="preserve">ố </w:t>
      </w:r>
      <w:r>
        <w:rPr>
          <w:i/>
          <w:iCs/>
          <w:lang w:val="vi-VN"/>
        </w:rPr>
        <w:t>điều của Luật thuế tài nguyên;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>Căn cứ Nghị định số 12/2015/NĐ-CP ngày 12 tháng 02 năm 2015 của Chính phủ hướng d</w:t>
      </w:r>
      <w:r>
        <w:rPr>
          <w:i/>
          <w:iCs/>
        </w:rPr>
        <w:t>ẫ</w:t>
      </w:r>
      <w:r>
        <w:rPr>
          <w:i/>
          <w:iCs/>
          <w:lang w:val="vi-VN"/>
        </w:rPr>
        <w:t>n thi hành Luật sửa đ</w:t>
      </w:r>
      <w:r>
        <w:rPr>
          <w:i/>
          <w:iCs/>
        </w:rPr>
        <w:t>ổ</w:t>
      </w:r>
      <w:r>
        <w:rPr>
          <w:i/>
          <w:iCs/>
          <w:lang w:val="vi-VN"/>
        </w:rPr>
        <w:t>i, bổ sung một s</w:t>
      </w:r>
      <w:r>
        <w:rPr>
          <w:i/>
          <w:iCs/>
        </w:rPr>
        <w:t xml:space="preserve">ố </w:t>
      </w:r>
      <w:r>
        <w:rPr>
          <w:i/>
          <w:iCs/>
          <w:lang w:val="vi-VN"/>
        </w:rPr>
        <w:t>điều của các Luật thuế và sửa đ</w:t>
      </w:r>
      <w:r>
        <w:rPr>
          <w:i/>
          <w:iCs/>
        </w:rPr>
        <w:t>ổ</w:t>
      </w:r>
      <w:r>
        <w:rPr>
          <w:i/>
          <w:iCs/>
          <w:lang w:val="vi-VN"/>
        </w:rPr>
        <w:t>i, b</w:t>
      </w:r>
      <w:r>
        <w:rPr>
          <w:i/>
          <w:iCs/>
        </w:rPr>
        <w:t xml:space="preserve">ổ </w:t>
      </w:r>
      <w:r>
        <w:rPr>
          <w:i/>
          <w:iCs/>
          <w:lang w:val="vi-VN"/>
        </w:rPr>
        <w:t>sung một s</w:t>
      </w:r>
      <w:r>
        <w:rPr>
          <w:i/>
          <w:iCs/>
        </w:rPr>
        <w:t xml:space="preserve">ố </w:t>
      </w:r>
      <w:r>
        <w:rPr>
          <w:i/>
          <w:iCs/>
          <w:lang w:val="vi-VN"/>
        </w:rPr>
        <w:t>điều của các Nghị định về thuế;</w:t>
      </w:r>
    </w:p>
    <w:p>
      <w:pPr>
        <w:pStyle w:val="Normal"/>
        <w:spacing w:before="120" w:after="280"/>
        <w:rPr>
          <w:i/>
          <w:i/>
          <w:iCs/>
          <w:lang w:val="vi-VN"/>
        </w:rPr>
      </w:pPr>
      <w:r>
        <w:rPr>
          <w:i/>
          <w:iCs/>
          <w:lang w:val="vi-VN"/>
        </w:rPr>
        <w:t>Căn cứ Nghị định số 215/2013/NĐ-CP ngày 23 tháng 12 năm 2013 của Chính phủ quy định chức năng, nhiệm vụ, quyền hạn và cơ cấu tổ chức của Bộ Tài chính;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>Theo đề nghị của Vụ trưởng Vụ Ch</w:t>
      </w:r>
      <w:r>
        <w:rPr>
          <w:i/>
          <w:iCs/>
        </w:rPr>
        <w:t>í</w:t>
      </w:r>
      <w:r>
        <w:rPr>
          <w:i/>
          <w:iCs/>
          <w:lang w:val="vi-VN"/>
        </w:rPr>
        <w:t>nh sách Thuế;</w:t>
      </w:r>
    </w:p>
    <w:p>
      <w:pPr>
        <w:pStyle w:val="Normal"/>
        <w:spacing w:before="120" w:after="280"/>
        <w:rPr/>
      </w:pPr>
      <w:r>
        <w:rPr>
          <w:i/>
          <w:iCs/>
          <w:lang w:val="vi-VN"/>
        </w:rPr>
        <w:t>Bộ trưởng Bộ Tài chính ban hành Thông tư sửa đ</w:t>
      </w:r>
      <w:r>
        <w:rPr>
          <w:i/>
          <w:iCs/>
        </w:rPr>
        <w:t>ổ</w:t>
      </w:r>
      <w:r>
        <w:rPr>
          <w:i/>
          <w:iCs/>
          <w:lang w:val="vi-VN"/>
        </w:rPr>
        <w:t>i, b</w:t>
      </w:r>
      <w:r>
        <w:rPr>
          <w:i/>
          <w:iCs/>
        </w:rPr>
        <w:t xml:space="preserve">ổ </w:t>
      </w:r>
      <w:r>
        <w:rPr>
          <w:i/>
          <w:iCs/>
          <w:lang w:val="vi-VN"/>
        </w:rPr>
        <w:t xml:space="preserve">sung khoản </w:t>
      </w:r>
      <w:r>
        <w:rPr>
          <w:i/>
          <w:iCs/>
        </w:rPr>
        <w:t xml:space="preserve">1 </w:t>
      </w:r>
      <w:r>
        <w:rPr>
          <w:i/>
          <w:iCs/>
          <w:lang w:val="vi-VN"/>
        </w:rPr>
        <w:t>Điều 7 Thông tư s</w:t>
      </w:r>
      <w:r>
        <w:rPr>
          <w:i/>
          <w:iCs/>
        </w:rPr>
        <w:t>ố</w:t>
      </w:r>
      <w:r>
        <w:rPr>
          <w:i/>
          <w:iCs/>
          <w:lang w:val="vi-VN"/>
        </w:rPr>
        <w:t xml:space="preserve"> 152/2015/TT-BTC ngày 02 tháng 10 năm 2015 hướng dẫn về thuế tài nguyên như sau:</w:t>
      </w:r>
    </w:p>
    <w:p>
      <w:pPr>
        <w:pStyle w:val="Normal"/>
        <w:spacing w:before="120" w:after="280"/>
        <w:rPr>
          <w:b/>
          <w:bCs/>
          <w:lang w:val="vi-VN"/>
        </w:rPr>
      </w:pPr>
      <w:bookmarkStart w:id="2" w:name="dieu_1"/>
      <w:r>
        <w:rPr>
          <w:b/>
          <w:bCs/>
          <w:lang w:val="vi-VN"/>
        </w:rPr>
        <w:t>Điều 1.</w:t>
      </w:r>
      <w:bookmarkEnd w:id="2"/>
      <w:r>
        <w:rPr>
          <w:b/>
          <w:bCs/>
          <w:lang w:val="vi-VN"/>
        </w:rPr>
        <w:t xml:space="preserve"> </w:t>
      </w:r>
      <w:bookmarkStart w:id="3" w:name="dc_83"/>
      <w:r>
        <w:rPr>
          <w:b/>
          <w:bCs/>
          <w:lang w:val="vi-VN"/>
        </w:rPr>
        <w:t>Khoản 1 Điều 7</w:t>
      </w:r>
      <w:bookmarkEnd w:id="3"/>
      <w:r>
        <w:rPr>
          <w:b/>
          <w:bCs/>
          <w:lang w:val="vi-VN"/>
        </w:rPr>
        <w:t xml:space="preserve"> </w:t>
      </w:r>
      <w:bookmarkStart w:id="4" w:name="dieu_1_name"/>
      <w:r>
        <w:rPr>
          <w:b/>
          <w:bCs/>
          <w:lang w:val="vi-VN"/>
        </w:rPr>
        <w:t>được sửa đổi, bổ sung như sau:</w:t>
      </w:r>
      <w:bookmarkEnd w:id="4"/>
    </w:p>
    <w:p>
      <w:pPr>
        <w:pStyle w:val="Normal"/>
        <w:spacing w:before="120" w:after="280"/>
        <w:rPr/>
      </w:pPr>
      <w:r>
        <w:rPr>
          <w:lang w:val="vi-VN"/>
        </w:rPr>
        <w:t>“</w:t>
      </w:r>
      <w:r>
        <w:rPr/>
        <w:t>1</w:t>
      </w:r>
      <w:r>
        <w:rPr>
          <w:lang w:val="vi-VN"/>
        </w:rPr>
        <w:t>. Thuế suất thuế tài nguyên làm căn cứ tính thuế tài n</w:t>
      </w:r>
      <w:r>
        <w:rPr/>
        <w:t>g</w:t>
      </w:r>
      <w:r>
        <w:rPr>
          <w:lang w:val="vi-VN"/>
        </w:rPr>
        <w:t>uyên đ</w:t>
      </w:r>
      <w:r>
        <w:rPr/>
        <w:t>ố</w:t>
      </w:r>
      <w:r>
        <w:rPr>
          <w:lang w:val="vi-VN"/>
        </w:rPr>
        <w:t>i với từng loại tài nguyên khai thác được quy định tại Biểu mức thuế suất thuế tài nguyên ban hành kèm theo Nghị quyết số 1084/2015/UBTVQH13 ngày 10 tháng 12 năm 2015 của Ủy ban thường vụ Quốc hội và các văn bản sửa đổi, bổ sung (nếu có)”.</w:t>
      </w:r>
    </w:p>
    <w:p>
      <w:pPr>
        <w:pStyle w:val="Normal"/>
        <w:spacing w:before="120" w:after="280"/>
        <w:rPr>
          <w:b/>
          <w:bCs/>
          <w:lang w:val="vi-VN"/>
        </w:rPr>
      </w:pPr>
      <w:bookmarkStart w:id="5" w:name="dieu_2"/>
      <w:r>
        <w:rPr>
          <w:b/>
          <w:bCs/>
          <w:lang w:val="vi-VN"/>
        </w:rPr>
        <w:t>Điều 2. Hiệu lực thi hành</w:t>
      </w:r>
      <w:bookmarkEnd w:id="5"/>
    </w:p>
    <w:p>
      <w:pPr>
        <w:pStyle w:val="Normal"/>
        <w:spacing w:before="120" w:after="280"/>
        <w:rPr>
          <w:lang w:val="vi-VN"/>
        </w:rPr>
      </w:pPr>
      <w:r>
        <w:rPr>
          <w:lang w:val="vi-VN"/>
        </w:rPr>
        <w:t>Thông tư này có hiệu lực thi hành kể từ ngày 01/7/2016.</w:t>
      </w:r>
    </w:p>
    <w:p>
      <w:pPr>
        <w:pStyle w:val="Normal"/>
        <w:spacing w:before="120" w:after="280"/>
        <w:rPr/>
      </w:pPr>
      <w:r>
        <w:rPr>
          <w:lang w:val="vi-VN"/>
        </w:rPr>
        <w:t>Trong quá trình thực hiện, nếu có vướng mắc đề nghị các tổ chức, cá nhân phản ánh kịp thời về Bộ Tài chính để được nghiên cứu, giải quyết</w:t>
      </w:r>
      <w:r>
        <w:rPr/>
        <w:t>./.</w:t>
      </w:r>
    </w:p>
    <w:p>
      <w:pPr>
        <w:pStyle w:val="Normal"/>
        <w:spacing w:before="120" w:after="280"/>
        <w:rPr/>
      </w:pPr>
      <w:r>
        <w:rPr/>
        <w:t> 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/>
          </w:tcPr>
          <w:p>
            <w:pPr>
              <w:pStyle w:val="Normal"/>
              <w:spacing w:before="120" w:after="280"/>
              <w:rPr>
                <w:lang w:val="vi-VN"/>
              </w:rPr>
            </w:pPr>
            <w:r>
              <w:rPr>
                <w:lang w:val="vi-VN"/>
              </w:rPr>
              <w:t> </w:t>
            </w:r>
          </w:p>
          <w:p>
            <w:pPr>
              <w:pStyle w:val="Normal"/>
              <w:spacing w:before="120" w:after="0"/>
              <w:rPr/>
            </w:pPr>
            <w:r>
              <w:rPr>
                <w:b/>
                <w:bCs/>
                <w:i/>
                <w:iCs/>
                <w:lang w:val="vi-VN"/>
              </w:rPr>
              <w:t>Nơi nhận:</w:t>
              <w:br/>
            </w:r>
            <w:r>
              <w:rPr>
                <w:sz w:val="16"/>
                <w:lang w:val="vi-VN"/>
              </w:rPr>
              <w:t>- Văn phòng TƯ Đảng;</w:t>
              <w:br/>
              <w:t>- Văn phòng Quốc hội;</w:t>
              <w:br/>
              <w:t>- Văn phòng Chủ tịch nước;</w:t>
              <w:br/>
              <w:t>- Văn phòng Tổng bí thư;</w:t>
              <w:br/>
              <w:t>- Viện Kiểm sát NDTC; T</w:t>
            </w:r>
            <w:r>
              <w:rPr>
                <w:sz w:val="16"/>
              </w:rPr>
              <w:t>òa</w:t>
            </w:r>
            <w:r>
              <w:rPr>
                <w:sz w:val="16"/>
                <w:lang w:val="vi-VN"/>
              </w:rPr>
              <w:t xml:space="preserve"> án NDTC;</w:t>
              <w:br/>
              <w:t>- Ban nội chính;</w:t>
              <w:br/>
              <w:t>- Kiểm toán nhà nước;</w:t>
              <w:br/>
              <w:t>- Các Bộ, cơ quan ngang Bộ, cơ quan thuộc Chính phủ;</w:t>
              <w:br/>
              <w:t>- Cơ quan TW của các đoàn thể;</w:t>
              <w:br/>
              <w:t>- HĐND, UBND các tỉnh, TP trực thuộc TW;</w:t>
              <w:br/>
              <w:t>- Sở Tài chính, Cục Thuế, Cục Hải quan, Kho bạc Nhà nước các t</w:t>
            </w:r>
            <w:r>
              <w:rPr>
                <w:sz w:val="16"/>
              </w:rPr>
              <w:t>ỉ</w:t>
            </w:r>
            <w:r>
              <w:rPr>
                <w:sz w:val="16"/>
                <w:lang w:val="vi-VN"/>
              </w:rPr>
              <w:t>nh, thành phố trực thuộc trung ương;</w:t>
              <w:br/>
              <w:t>- Công báo;</w:t>
              <w:br/>
              <w:t>- Cục Kiểm tra văn bản Bộ Tư pháp;</w:t>
              <w:br/>
              <w:t xml:space="preserve">- </w:t>
            </w:r>
            <w:r>
              <w:rPr>
                <w:sz w:val="16"/>
              </w:rPr>
              <w:t>W</w:t>
            </w:r>
            <w:r>
              <w:rPr>
                <w:sz w:val="16"/>
                <w:lang w:val="vi-VN"/>
              </w:rPr>
              <w:t>ebsite Chính phủ, Website Bộ Tài chính;</w:t>
              <w:br/>
              <w:t>- Lưu: VT, Vụ CST (P4).</w:t>
            </w:r>
          </w:p>
        </w:tc>
        <w:tc>
          <w:tcPr>
            <w:tcW w:w="4428" w:type="dxa"/>
            <w:tcBorders/>
          </w:tcPr>
          <w:p>
            <w:pPr>
              <w:pStyle w:val="Normal"/>
              <w:spacing w:before="12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KT. BỘ TRƯỞNG</w:t>
              <w:br/>
              <w:t>THỨ TRƯỞNG</w:t>
              <w:br/>
              <w:br/>
              <w:br/>
              <w:br/>
              <w:br/>
              <w:t>Vũ Thị Mai</w:t>
            </w:r>
          </w:p>
        </w:tc>
      </w:tr>
    </w:tbl>
    <w:p>
      <w:pPr>
        <w:pStyle w:val="Normal"/>
        <w:spacing w:before="120" w:after="280"/>
        <w:rPr>
          <w:b/>
          <w:bCs/>
          <w:lang w:val="vi-VN"/>
        </w:rPr>
      </w:pPr>
      <w:r>
        <w:rPr>
          <w:b/>
          <w:bCs/>
          <w:lang w:val="vi-VN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LibreOffice/25.8.0.4$MacOSX_AARCH64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2024-05-02T14:39:00Z</dcterms:created>
  <dc:creator>PC</dc:creator>
  <dc:description/>
  <cp:keywords/>
  <dc:language>en-US</dc:language>
  <cp:lastModifiedBy>PC</cp:lastModifiedBy>
  <dcterms:modified xsi:type="dcterms:W3CDTF">2024-05-02T14:39:00Z</dcterms:modified>
  <cp:revision>2</cp:revision>
  <dc:subject/>
  <dc:title/>
</cp:coreProperties>
</file>