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jc w:val="center"/>
              <w:rPr>
                <w:b/>
                <w:bCs/>
              </w:rPr>
            </w:pPr>
            <w:r>
              <w:rPr>
                <w:b/>
                <w:bCs/>
              </w:rPr>
              <w:t>BỘ TÀI CHÍNH</w:t>
              <w:br/>
              <w:t>--------</w:t>
            </w:r>
          </w:p>
        </w:tc>
        <w:tc>
          <w:tcPr>
            <w:tcW w:w="5508" w:type="dxa"/>
            <w:tcBorders/>
          </w:tcPr>
          <w:p>
            <w:pPr>
              <w:pStyle w:val="Normal"/>
              <w:jc w:val="center"/>
              <w:rPr>
                <w:b/>
                <w:bCs/>
              </w:rPr>
            </w:pPr>
            <w:r>
              <w:rPr>
                <w:b/>
                <w:bCs/>
              </w:rPr>
              <w:t>CỘNG HÒA XÃ HỘI CHỦ NGHĨA VIỆT NAM</w:t>
              <w:br/>
              <w:t xml:space="preserve">Độc lập - Tự do - Hạnh phúc </w:t>
              <w:br/>
              <w:t>---------------</w:t>
            </w:r>
          </w:p>
        </w:tc>
      </w:tr>
      <w:tr>
        <w:trPr/>
        <w:tc>
          <w:tcPr>
            <w:tcW w:w="3348" w:type="dxa"/>
            <w:tcBorders/>
          </w:tcPr>
          <w:p>
            <w:pPr>
              <w:pStyle w:val="Normal"/>
              <w:jc w:val="center"/>
              <w:rPr/>
            </w:pPr>
            <w:r>
              <w:rPr/>
              <w:t>Số: 13/2023/TT-BTC</w:t>
            </w:r>
          </w:p>
        </w:tc>
        <w:tc>
          <w:tcPr>
            <w:tcW w:w="5508" w:type="dxa"/>
            <w:tcBorders/>
          </w:tcPr>
          <w:p>
            <w:pPr>
              <w:pStyle w:val="Normal"/>
              <w:jc w:val="end"/>
              <w:rPr>
                <w:i/>
                <w:i/>
                <w:iCs/>
              </w:rPr>
            </w:pPr>
            <w:r>
              <w:rPr>
                <w:i/>
                <w:iCs/>
              </w:rPr>
              <w:t>Hà Nội, ngày 28 tháng 02 năm 2023</w:t>
            </w:r>
          </w:p>
        </w:tc>
      </w:tr>
    </w:tbl>
    <w:p>
      <w:pPr>
        <w:pStyle w:val="Normal"/>
        <w:spacing w:before="0" w:after="120"/>
        <w:jc w:val="center"/>
        <w:rPr/>
      </w:pPr>
      <w:r>
        <w:rPr/>
        <w:t> </w:t>
      </w:r>
    </w:p>
    <w:p>
      <w:pPr>
        <w:pStyle w:val="Normal"/>
        <w:spacing w:before="0" w:after="120"/>
        <w:jc w:val="center"/>
        <w:rPr>
          <w:b/>
          <w:bCs/>
        </w:rPr>
      </w:pPr>
      <w:bookmarkStart w:id="0" w:name="loai_1"/>
      <w:r>
        <w:rPr>
          <w:b/>
          <w:bCs/>
        </w:rPr>
        <w:t>THÔNG TƯ</w:t>
      </w:r>
      <w:bookmarkEnd w:id="0"/>
    </w:p>
    <w:p>
      <w:pPr>
        <w:pStyle w:val="Normal"/>
        <w:spacing w:before="0" w:after="120"/>
        <w:jc w:val="center"/>
        <w:rPr>
          <w:bCs/>
        </w:rPr>
      </w:pPr>
      <w:bookmarkStart w:id="1" w:name="loai_1_name"/>
      <w:r>
        <w:rPr>
          <w:bCs/>
        </w:rPr>
        <w:t>HƯỚNG DẪN THI HÀNH NGHỊ ĐỊNH SỐ 49/2022/NĐ-CP NGÀY 29 THÁNG 7 NĂM 2022 CỦA CHÍNH PHỦ SỬA ĐỔI, BỔ SUNG MỘT SỐ ĐIỀU CỦA NGHỊ ĐỊNH SỐ 209/2013/NĐ-CP NGÀY 18 THÁNG 12 NĂM 2013 CỦA CHÍNH PHỦ QUY ĐỊNH CHI TIẾT VÀ HƯỚNG DẪN THI HÀNH MỘT SỐ ĐIỀU CỦA LUẬT THUẾ GIÁ TRỊ GIA TĂNG ĐÃ ĐƯỢC SỬA ĐỔI, BỔ SUNG MỘT SỐ ĐIỀU THEO NGHỊ ĐỊNH SỐ 12/2015/NĐ-CP, NGHỊ ĐỊNH SỐ 100/2016/NĐ-CP VÀ NGHỊ ĐỊNH SỐ 146/2017/NĐ-CP VÀ SỬA ĐỔI, BỔ SUNG THÔNG TƯ SỐ 80/2021/TT-BTC NGÀY 29 THÁNG 9 NĂM 2021 CỦA BỘ TÀI CHÍNH</w:t>
      </w:r>
      <w:bookmarkEnd w:id="1"/>
    </w:p>
    <w:p>
      <w:pPr>
        <w:pStyle w:val="Normal"/>
        <w:spacing w:before="0" w:after="120"/>
        <w:rPr/>
      </w:pPr>
      <w:r>
        <w:rPr>
          <w:i/>
          <w:iCs/>
        </w:rPr>
        <w:t xml:space="preserve">Căn cứ </w:t>
      </w:r>
      <w:bookmarkStart w:id="2" w:name="tvpllink_yfeonwnuvk"/>
      <w:r>
        <w:rPr>
          <w:i/>
          <w:iCs/>
        </w:rPr>
        <w:t>Luật Thuế giá trị gia tăng</w:t>
      </w:r>
      <w:bookmarkEnd w:id="2"/>
      <w:r>
        <w:rPr>
          <w:i/>
          <w:iCs/>
        </w:rPr>
        <w:t xml:space="preserve"> ngày 03 tháng 6 năm 2008 và </w:t>
      </w:r>
      <w:bookmarkStart w:id="3" w:name="tvpllink_utrvuceexq"/>
      <w:r>
        <w:rPr>
          <w:i/>
          <w:iCs/>
        </w:rPr>
        <w:t>Luật sửa đổi, bổ sung một số điều của Luật Thuế giá trị gia tăng</w:t>
      </w:r>
      <w:bookmarkEnd w:id="3"/>
      <w:r>
        <w:rPr/>
        <w:t> </w:t>
      </w:r>
      <w:r>
        <w:rPr>
          <w:i/>
          <w:iCs/>
        </w:rPr>
        <w:t>ngày 19 tháng 6 năm 2013;</w:t>
      </w:r>
    </w:p>
    <w:p>
      <w:pPr>
        <w:pStyle w:val="Normal"/>
        <w:spacing w:before="0" w:after="120"/>
        <w:rPr>
          <w:i/>
          <w:i/>
          <w:iCs/>
        </w:rPr>
      </w:pPr>
      <w:r>
        <w:rPr>
          <w:i/>
          <w:iCs/>
        </w:rPr>
        <w:t xml:space="preserve">Căn cứ </w:t>
      </w:r>
      <w:bookmarkStart w:id="4" w:name="tvpllink_xqjnpglzab"/>
      <w:r>
        <w:rPr>
          <w:i/>
          <w:iCs/>
        </w:rPr>
        <w:t>Luật sửa đổi, bổ sung một số điều của các Luật về thuế</w:t>
      </w:r>
      <w:bookmarkEnd w:id="4"/>
      <w:r>
        <w:rPr>
          <w:i/>
          <w:iCs/>
        </w:rPr>
        <w:t xml:space="preserve"> ngày 26 tháng 11 năm 2014 và </w:t>
      </w:r>
      <w:bookmarkStart w:id="5" w:name="tvpllink_vgrohivzva"/>
      <w:r>
        <w:rPr>
          <w:i/>
          <w:iCs/>
        </w:rPr>
        <w:t>Luật sửa đổi, bổ sung một số điều của Luật Thuế giá trị gia tăng, Luật Thuế tiêu thụ đặc biệt và Luật Quản lý thuế</w:t>
      </w:r>
      <w:bookmarkEnd w:id="5"/>
      <w:r>
        <w:rPr>
          <w:i/>
          <w:iCs/>
        </w:rPr>
        <w:t xml:space="preserve"> ngày 06 tháng 4 năm 2016;</w:t>
      </w:r>
    </w:p>
    <w:p>
      <w:pPr>
        <w:pStyle w:val="Normal"/>
        <w:spacing w:before="0" w:after="120"/>
        <w:rPr>
          <w:i/>
          <w:i/>
          <w:iCs/>
        </w:rPr>
      </w:pPr>
      <w:r>
        <w:rPr>
          <w:i/>
          <w:iCs/>
        </w:rPr>
        <w:t xml:space="preserve">Căn cứ </w:t>
      </w:r>
      <w:bookmarkStart w:id="6" w:name="tvpllink_gtkyhfrola"/>
      <w:r>
        <w:rPr>
          <w:i/>
          <w:iCs/>
        </w:rPr>
        <w:t>Luật Quản lý thuế</w:t>
      </w:r>
      <w:bookmarkEnd w:id="6"/>
      <w:r>
        <w:rPr>
          <w:i/>
          <w:iCs/>
        </w:rPr>
        <w:t> ngày 13 tháng 6 năm 2019;</w:t>
      </w:r>
    </w:p>
    <w:p>
      <w:pPr>
        <w:pStyle w:val="Normal"/>
        <w:spacing w:before="0" w:after="120"/>
        <w:rPr>
          <w:i/>
          <w:i/>
          <w:iCs/>
        </w:rPr>
      </w:pPr>
      <w:r>
        <w:rPr>
          <w:i/>
          <w:iCs/>
        </w:rPr>
        <w:t xml:space="preserve">Căn cứ </w:t>
      </w:r>
      <w:bookmarkStart w:id="7" w:name="tvpllink_gytpxskymt"/>
      <w:r>
        <w:rPr>
          <w:i/>
          <w:iCs/>
        </w:rPr>
        <w:t>Nghị định số 209/2013/NĐ-CP</w:t>
      </w:r>
      <w:bookmarkEnd w:id="7"/>
      <w:r>
        <w:rPr>
          <w:i/>
          <w:iCs/>
        </w:rPr>
        <w:t xml:space="preserve"> ngày 18 tháng 12 năm 2013 của Chính phủ quy định chi tiết và hướng dẫn thi hành một số điều của Luật Thuế giá trị gia tăng;</w:t>
      </w:r>
    </w:p>
    <w:p>
      <w:pPr>
        <w:pStyle w:val="Normal"/>
        <w:spacing w:before="0" w:after="120"/>
        <w:rPr>
          <w:i/>
          <w:i/>
          <w:iCs/>
        </w:rPr>
      </w:pPr>
      <w:r>
        <w:rPr>
          <w:i/>
          <w:iCs/>
        </w:rPr>
        <w:t xml:space="preserve">Căn cứ </w:t>
      </w:r>
      <w:bookmarkStart w:id="8" w:name="tvpllink_anzsxvzevp"/>
      <w:r>
        <w:rPr>
          <w:i/>
          <w:iCs/>
        </w:rPr>
        <w:t>Nghị định số 12/2015/NĐ-CP</w:t>
      </w:r>
      <w:bookmarkEnd w:id="8"/>
      <w:r>
        <w:rPr>
          <w:i/>
          <w:iCs/>
        </w:rPr>
        <w:t xml:space="preserve"> ngày 12 tháng 02 năm 2015 của Chính phủ quy định chi tiết thi hành Luật sửa đổi, bổ sung một số điều của các Luật về thuế và sửa đổi, bổ sung một số điều của các Nghị định về thuế;</w:t>
      </w:r>
    </w:p>
    <w:p>
      <w:pPr>
        <w:pStyle w:val="Normal"/>
        <w:spacing w:before="0" w:after="120"/>
        <w:rPr>
          <w:i/>
          <w:i/>
          <w:iCs/>
        </w:rPr>
      </w:pPr>
      <w:r>
        <w:rPr>
          <w:i/>
          <w:iCs/>
        </w:rPr>
        <w:t xml:space="preserve">Căn cứ </w:t>
      </w:r>
      <w:bookmarkStart w:id="9" w:name="tvpllink_smyhvotubj"/>
      <w:r>
        <w:rPr>
          <w:i/>
          <w:iCs/>
        </w:rPr>
        <w:t>Nghị định số 100/2016/NĐ-CP</w:t>
      </w:r>
      <w:bookmarkEnd w:id="9"/>
      <w:r>
        <w:rPr>
          <w:i/>
          <w:iCs/>
        </w:rPr>
        <w:t xml:space="preserve"> ngày 01 tháng 7 năm 2016 của Chính phủ quy định chi tiết và hướng dẫn thi hành một số điều của Luật sửa đổi, bổ sung một số điều của Luật Thuế giá trị gia tăng, Luật Thuế tiêu thụ đặc biệt và Luật Quản lý thuế;</w:t>
      </w:r>
    </w:p>
    <w:p>
      <w:pPr>
        <w:pStyle w:val="Normal"/>
        <w:spacing w:before="0" w:after="120"/>
        <w:rPr>
          <w:i/>
          <w:i/>
          <w:iCs/>
        </w:rPr>
      </w:pPr>
      <w:r>
        <w:rPr>
          <w:i/>
          <w:iCs/>
        </w:rPr>
        <w:t xml:space="preserve">Căn cứ </w:t>
      </w:r>
      <w:bookmarkStart w:id="10" w:name="tvpllink_gxepcbanyd_2"/>
      <w:r>
        <w:rPr>
          <w:i/>
          <w:iCs/>
        </w:rPr>
        <w:t>Nghị định số 146/2017/NĐ-CP</w:t>
      </w:r>
      <w:bookmarkEnd w:id="10"/>
      <w:r>
        <w:rPr>
          <w:i/>
          <w:iCs/>
        </w:rPr>
        <w:t xml:space="preserve"> ngày 15 tháng 12 năm 2017 của Chính phủ sửa đổi, bổ sung một số điều của </w:t>
      </w:r>
      <w:bookmarkStart w:id="11" w:name="tvpllink_smyhvotubj_3"/>
      <w:r>
        <w:rPr>
          <w:i/>
          <w:iCs/>
        </w:rPr>
        <w:t>Nghị định số 100/2016/NĐ-CP</w:t>
      </w:r>
      <w:bookmarkEnd w:id="11"/>
      <w:r>
        <w:rPr>
          <w:i/>
          <w:iCs/>
        </w:rPr>
        <w:t xml:space="preserve"> ngày 01 tháng 7 năm 2016 và </w:t>
      </w:r>
      <w:bookmarkStart w:id="12" w:name="tvpllink_anzsxvzevp_3"/>
      <w:r>
        <w:rPr>
          <w:i/>
          <w:iCs/>
        </w:rPr>
        <w:t>Nghị định số 12/2015/NĐ-CP</w:t>
      </w:r>
      <w:bookmarkEnd w:id="12"/>
      <w:r>
        <w:rPr>
          <w:i/>
          <w:iCs/>
        </w:rPr>
        <w:t xml:space="preserve"> ngày 12 tháng 02 năm 2015 của Chính phủ;</w:t>
      </w:r>
    </w:p>
    <w:p>
      <w:pPr>
        <w:pStyle w:val="Normal"/>
        <w:spacing w:before="0" w:after="120"/>
        <w:rPr/>
      </w:pPr>
      <w:r>
        <w:rPr>
          <w:i/>
          <w:iCs/>
        </w:rPr>
        <w:t>Căn cứ </w:t>
      </w:r>
      <w:bookmarkStart w:id="13" w:name="tvpllink_zwgvguumiw"/>
      <w:r>
        <w:rPr>
          <w:i/>
          <w:iCs/>
        </w:rPr>
        <w:t>Nghị định số 49/2022/NĐ-CP</w:t>
      </w:r>
      <w:bookmarkEnd w:id="13"/>
      <w:r>
        <w:rPr>
          <w:i/>
          <w:iCs/>
        </w:rPr>
        <w:t xml:space="preserve"> ngày 29 tháng</w:t>
      </w:r>
      <w:r>
        <w:rPr/>
        <w:t> </w:t>
      </w:r>
      <w:r>
        <w:rPr>
          <w:i/>
          <w:iCs/>
        </w:rPr>
        <w:t>7 năm 2022 của Chính phủ</w:t>
      </w:r>
      <w:r>
        <w:rPr/>
        <w:t> </w:t>
      </w:r>
      <w:r>
        <w:rPr>
          <w:i/>
          <w:iCs/>
        </w:rPr>
        <w:t xml:space="preserve">sửa đổi, bổ sung một số điều của </w:t>
      </w:r>
      <w:bookmarkStart w:id="14" w:name="tvpllink_gytpxskymt_1"/>
      <w:r>
        <w:rPr>
          <w:i/>
          <w:iCs/>
        </w:rPr>
        <w:t>Nghị định số 209/2013/NĐ-CP</w:t>
      </w:r>
      <w:bookmarkEnd w:id="14"/>
      <w:r>
        <w:rPr>
          <w:i/>
          <w:iCs/>
        </w:rPr>
        <w:t xml:space="preserve"> ngày 18 tháng 12 năm 2013 của Chính phủ quy định chi tiết và hướng dẫn thi hành một số điều của Luật Thuế giá trị gia tăng đã được sửa đổi, bổ sung một số điều theo </w:t>
      </w:r>
      <w:bookmarkStart w:id="15" w:name="tvpllink_anzsxvzevp_1"/>
      <w:r>
        <w:rPr>
          <w:i/>
          <w:iCs/>
        </w:rPr>
        <w:t>Nghị định số 12/2015/NĐ-CP</w:t>
      </w:r>
      <w:bookmarkEnd w:id="15"/>
      <w:r>
        <w:rPr>
          <w:i/>
          <w:iCs/>
        </w:rPr>
        <w:t xml:space="preserve">, </w:t>
      </w:r>
      <w:bookmarkStart w:id="16" w:name="tvpllink_smyhvotubj_1"/>
      <w:r>
        <w:rPr>
          <w:i/>
          <w:iCs/>
        </w:rPr>
        <w:t>Nghị định số 100/2016/NĐ-CP</w:t>
      </w:r>
      <w:bookmarkEnd w:id="16"/>
      <w:r>
        <w:rPr>
          <w:i/>
          <w:iCs/>
        </w:rPr>
        <w:t xml:space="preserve"> và </w:t>
      </w:r>
      <w:bookmarkStart w:id="17" w:name="tvpllink_gxepcbanyd"/>
      <w:r>
        <w:rPr>
          <w:i/>
          <w:iCs/>
        </w:rPr>
        <w:t>Nghị định số 146/2017/NĐ-CP</w:t>
      </w:r>
      <w:bookmarkEnd w:id="17"/>
      <w:r>
        <w:rPr>
          <w:i/>
          <w:iCs/>
        </w:rPr>
        <w:t>;</w:t>
      </w:r>
    </w:p>
    <w:p>
      <w:pPr>
        <w:pStyle w:val="Normal"/>
        <w:spacing w:before="0" w:after="120"/>
        <w:rPr>
          <w:i/>
          <w:i/>
          <w:iCs/>
        </w:rPr>
      </w:pPr>
      <w:r>
        <w:rPr>
          <w:i/>
          <w:iCs/>
        </w:rPr>
        <w:t xml:space="preserve">Căn cứ </w:t>
      </w:r>
      <w:bookmarkStart w:id="18" w:name="tvpllink_hdknggrxak"/>
      <w:r>
        <w:rPr>
          <w:i/>
          <w:iCs/>
        </w:rPr>
        <w:t>Nghị định số 126/2020/NĐ-CP</w:t>
      </w:r>
      <w:bookmarkEnd w:id="18"/>
      <w:r>
        <w:rPr>
          <w:i/>
          <w:iCs/>
        </w:rPr>
        <w:t xml:space="preserve"> ngày 19 tháng 10 năm 2020 của Chính phủ quy định chi tiết thi hành một số điều của Luật Quản lý thuế;</w:t>
      </w:r>
    </w:p>
    <w:p>
      <w:pPr>
        <w:pStyle w:val="Normal"/>
        <w:spacing w:before="0" w:after="120"/>
        <w:rPr>
          <w:i/>
          <w:i/>
          <w:iCs/>
        </w:rPr>
      </w:pPr>
      <w:r>
        <w:rPr>
          <w:i/>
          <w:iCs/>
        </w:rPr>
        <w:t xml:space="preserve">Căn cứ </w:t>
      </w:r>
      <w:bookmarkStart w:id="19" w:name="tvpllink_vymqtteupn"/>
      <w:r>
        <w:rPr>
          <w:i/>
          <w:iCs/>
        </w:rPr>
        <w:t>Nghị định số 87/2017/NĐ-CP</w:t>
      </w:r>
      <w:bookmarkEnd w:id="19"/>
      <w:r>
        <w:rPr>
          <w:i/>
          <w:iCs/>
        </w:rPr>
        <w:t xml:space="preserve"> ngày 26 tháng 7 năm 2017 của Chính phủ quy định chức năng, nhiệm vụ, quyền hạn và cơ cấu tổ chức của Bộ Tài chính;</w:t>
      </w:r>
    </w:p>
    <w:p>
      <w:pPr>
        <w:pStyle w:val="Normal"/>
        <w:spacing w:before="0" w:after="120"/>
        <w:rPr>
          <w:i/>
          <w:i/>
          <w:iCs/>
        </w:rPr>
      </w:pPr>
      <w:r>
        <w:rPr>
          <w:i/>
          <w:iCs/>
        </w:rPr>
        <w:t>Theo đề nghị của Tổng cục trưởng Tổng cục Thuế,</w:t>
      </w:r>
    </w:p>
    <w:p>
      <w:pPr>
        <w:pStyle w:val="Normal"/>
        <w:spacing w:before="0" w:after="120"/>
        <w:rPr/>
      </w:pPr>
      <w:r>
        <w:rPr>
          <w:i/>
          <w:iCs/>
        </w:rPr>
        <w:t>Bộ trưởng Bộ Tài chính ban hành Thông tư hướng dẫn thi hành </w:t>
      </w:r>
      <w:bookmarkStart w:id="20" w:name="tvpllink_zwgvguumiw_1"/>
      <w:r>
        <w:rPr>
          <w:i/>
          <w:iCs/>
        </w:rPr>
        <w:t>Nghị định số 49/2022/NĐ-CP</w:t>
      </w:r>
      <w:bookmarkEnd w:id="20"/>
      <w:r>
        <w:rPr>
          <w:i/>
          <w:iCs/>
        </w:rPr>
        <w:t xml:space="preserve"> ngày 29 tháng 7 năm 2022 của Chính phủ sửa đổi, bổ sung một số điều của </w:t>
      </w:r>
      <w:bookmarkStart w:id="21" w:name="tvpllink_gytpxskymt_2"/>
      <w:r>
        <w:rPr>
          <w:i/>
          <w:iCs/>
        </w:rPr>
        <w:t>Nghị định số 209/2013/NĐ-CP</w:t>
      </w:r>
      <w:bookmarkEnd w:id="21"/>
      <w:r>
        <w:rPr>
          <w:i/>
          <w:iCs/>
        </w:rPr>
        <w:t xml:space="preserve"> ngày 18 tháng 12 năm 2013 của Chính phủ quy định chi tiết và hướng dẫn thi hành một số điều của Luật Thuế giá trị gia tăng đã được sửa đổi, bổ sung một số điều theo </w:t>
      </w:r>
      <w:bookmarkStart w:id="22" w:name="tvpllink_anzsxvzevp_2"/>
      <w:r>
        <w:rPr>
          <w:i/>
          <w:iCs/>
        </w:rPr>
        <w:t>Nghị định số 12/2015/NĐ-CP</w:t>
      </w:r>
      <w:bookmarkEnd w:id="22"/>
      <w:r>
        <w:rPr>
          <w:i/>
          <w:iCs/>
        </w:rPr>
        <w:t xml:space="preserve">, </w:t>
      </w:r>
      <w:bookmarkStart w:id="23" w:name="tvpllink_smyhvotubj_2"/>
      <w:r>
        <w:rPr>
          <w:i/>
          <w:iCs/>
        </w:rPr>
        <w:t>Nghị định số 100/2016/NĐ-CP</w:t>
      </w:r>
      <w:bookmarkEnd w:id="23"/>
      <w:r>
        <w:rPr>
          <w:i/>
          <w:iCs/>
        </w:rPr>
        <w:t xml:space="preserve"> và </w:t>
      </w:r>
      <w:bookmarkStart w:id="24" w:name="tvpllink_gxepcbanyd_1"/>
      <w:r>
        <w:rPr>
          <w:i/>
          <w:iCs/>
        </w:rPr>
        <w:t>Nghị định số 146/2017/NĐ-CP</w:t>
      </w:r>
      <w:bookmarkEnd w:id="24"/>
      <w:r>
        <w:rPr>
          <w:i/>
          <w:iCs/>
        </w:rPr>
        <w:t xml:space="preserve"> và sửa đổi bổ sung </w:t>
      </w:r>
      <w:bookmarkStart w:id="25" w:name="tvpllink_juqivgbacm"/>
      <w:r>
        <w:rPr>
          <w:i/>
          <w:iCs/>
        </w:rPr>
        <w:t>Thông tư số 80/2021/TT-BTC</w:t>
      </w:r>
      <w:bookmarkEnd w:id="25"/>
      <w:r>
        <w:rPr>
          <w:i/>
          <w:iCs/>
        </w:rPr>
        <w:t xml:space="preserve"> ngày 29 tháng 9 năm 2021 của Bộ Tài chính</w:t>
      </w:r>
      <w:r>
        <w:rPr/>
        <w:t> </w:t>
      </w:r>
      <w:r>
        <w:rPr>
          <w:i/>
          <w:iCs/>
        </w:rPr>
        <w:t>như sau:</w:t>
      </w:r>
    </w:p>
    <w:p>
      <w:pPr>
        <w:pStyle w:val="Normal"/>
        <w:spacing w:before="0" w:after="120"/>
        <w:rPr/>
      </w:pPr>
      <w:bookmarkStart w:id="26" w:name="dieu_1"/>
      <w:r>
        <w:rPr>
          <w:b/>
          <w:bCs/>
        </w:rPr>
        <w:t>Điều 1. Sửa đổi, bổ sung một số điều của Thông tư số 219/2013/TT-BTC ngày 31 tháng 12 năm 2013 của Bộ Tài chính (đã được sửa đổi, bổ sung tại Thông tư số 26/2015/TT-BTC ngày 27 tháng 02 năm 2015, Thông tư số 130/2016/TT-BTC ngày 12 tháng 8 năm 2016</w:t>
      </w:r>
      <w:r>
        <w:rPr/>
        <w:t> </w:t>
      </w:r>
      <w:r>
        <w:rPr>
          <w:b/>
          <w:bCs/>
        </w:rPr>
        <w:t>của Bộ Tài chính) như sau:</w:t>
      </w:r>
      <w:bookmarkEnd w:id="26"/>
    </w:p>
    <w:p>
      <w:pPr>
        <w:pStyle w:val="Normal"/>
        <w:spacing w:before="0" w:after="120"/>
        <w:rPr/>
      </w:pPr>
      <w:bookmarkStart w:id="27" w:name="khoan_1_1"/>
      <w:r>
        <w:rPr/>
        <w:t>1. Sửa đổi, bổ sung</w:t>
      </w:r>
      <w:bookmarkEnd w:id="27"/>
      <w:r>
        <w:rPr/>
        <w:t xml:space="preserve"> </w:t>
      </w:r>
      <w:bookmarkStart w:id="28" w:name="dc_1"/>
      <w:r>
        <w:rPr/>
        <w:t>khoản 10 Điều 7</w:t>
      </w:r>
      <w:bookmarkEnd w:id="28"/>
      <w:r>
        <w:rPr/>
        <w:t xml:space="preserve"> </w:t>
      </w:r>
      <w:bookmarkStart w:id="29" w:name="khoan_1_1_name"/>
      <w:r>
        <w:rPr/>
        <w:t>như sau:</w:t>
      </w:r>
      <w:bookmarkEnd w:id="29"/>
    </w:p>
    <w:p>
      <w:pPr>
        <w:pStyle w:val="Normal"/>
        <w:spacing w:before="0" w:after="120"/>
        <w:rPr/>
      </w:pPr>
      <w:r>
        <w:rPr/>
        <w:t>“</w:t>
      </w:r>
      <w:r>
        <w:rPr/>
        <w:t xml:space="preserve">10. Đối với hoạt động chuyển nhượng bất động sản, giá tính thuế giá trị gia tăng thực hiện theo quy định tại </w:t>
      </w:r>
      <w:bookmarkStart w:id="30" w:name="dc_2"/>
      <w:r>
        <w:rPr/>
        <w:t>khoản 1 Điều 1 Nghị định số 49/2022/NĐ-CP</w:t>
      </w:r>
      <w:bookmarkEnd w:id="30"/>
      <w:r>
        <w:rPr/>
        <w:t xml:space="preserve"> ngày 29 tháng 7 năm 2022 của Chính phủ.”</w:t>
      </w:r>
    </w:p>
    <w:p>
      <w:pPr>
        <w:pStyle w:val="Normal"/>
        <w:spacing w:before="0" w:after="120"/>
        <w:rPr/>
      </w:pPr>
      <w:bookmarkStart w:id="31" w:name="khoan_2_1"/>
      <w:r>
        <w:rPr/>
        <w:t>2. Sửa đổi, bổ sung</w:t>
      </w:r>
      <w:bookmarkEnd w:id="31"/>
      <w:r>
        <w:rPr/>
        <w:t xml:space="preserve"> </w:t>
      </w:r>
      <w:bookmarkStart w:id="32" w:name="dc_3"/>
      <w:r>
        <w:rPr/>
        <w:t>khoản 13 Điều 7</w:t>
      </w:r>
      <w:bookmarkEnd w:id="32"/>
      <w:r>
        <w:rPr/>
        <w:t xml:space="preserve"> </w:t>
      </w:r>
      <w:bookmarkStart w:id="33" w:name="khoan_2_1_name"/>
      <w:r>
        <w:rPr/>
        <w:t>như sau:</w:t>
      </w:r>
      <w:bookmarkEnd w:id="33"/>
    </w:p>
    <w:p>
      <w:pPr>
        <w:pStyle w:val="Normal"/>
        <w:spacing w:before="0" w:after="120"/>
        <w:rPr/>
      </w:pPr>
      <w:r>
        <w:rPr/>
        <w:t>“</w:t>
      </w:r>
      <w:r>
        <w:rPr/>
        <w:t xml:space="preserve">13. Giá tính thuế đối với hoạt động sản xuất điện của Tập đoàn Điện lực Việt Nam thực hiện theo quy định tại </w:t>
      </w:r>
      <w:bookmarkStart w:id="34" w:name="dc_4"/>
      <w:r>
        <w:rPr/>
        <w:t>khoản 1 Điều 1 Nghị định số 49/2022/NĐ-CP</w:t>
      </w:r>
      <w:bookmarkEnd w:id="34"/>
      <w:r>
        <w:rPr/>
        <w:t xml:space="preserve"> ngày 29 tháng 7 năm 2022 của Chính phủ.”</w:t>
      </w:r>
    </w:p>
    <w:p>
      <w:pPr>
        <w:pStyle w:val="Normal"/>
        <w:spacing w:before="0" w:after="120"/>
        <w:rPr/>
      </w:pPr>
      <w:bookmarkStart w:id="35" w:name="khoan_3_1"/>
      <w:r>
        <w:rPr/>
        <w:t>3. Thay thế</w:t>
      </w:r>
      <w:bookmarkEnd w:id="35"/>
      <w:r>
        <w:rPr/>
        <w:t xml:space="preserve"> </w:t>
      </w:r>
      <w:bookmarkStart w:id="36" w:name="dc_5"/>
      <w:r>
        <w:rPr/>
        <w:t>khoản 2, khoản 3 Điều 18</w:t>
      </w:r>
      <w:bookmarkEnd w:id="36"/>
      <w:r>
        <w:rPr/>
        <w:t xml:space="preserve"> </w:t>
      </w:r>
      <w:bookmarkStart w:id="37" w:name="khoan_3_1_name"/>
      <w:r>
        <w:rPr/>
        <w:t>bằng khoản 2 mới như sau:</w:t>
      </w:r>
      <w:bookmarkEnd w:id="37"/>
    </w:p>
    <w:p>
      <w:pPr>
        <w:pStyle w:val="Normal"/>
        <w:spacing w:before="0" w:after="120"/>
        <w:rPr/>
      </w:pPr>
      <w:r>
        <w:rPr/>
        <w:t>“</w:t>
      </w:r>
      <w:r>
        <w:rPr/>
        <w:t xml:space="preserve">2. Cơ sở kinh doanh được hoàn thuế giá trị gia tăng đối với dự án đầu tư theo quy định tại </w:t>
      </w:r>
      <w:bookmarkStart w:id="38" w:name="dc_6"/>
      <w:r>
        <w:rPr/>
        <w:t>khoản 3 Điều 1 Nghị định số 49/2022/NĐ-CP</w:t>
      </w:r>
      <w:bookmarkEnd w:id="38"/>
      <w:r>
        <w:rPr/>
        <w:t xml:space="preserve"> ngày 29 tháng 7 năm 2022 của Chính phủ.”</w:t>
      </w:r>
    </w:p>
    <w:p>
      <w:pPr>
        <w:pStyle w:val="Normal"/>
        <w:shd w:fill="FFFFFF" w:val="clear"/>
        <w:spacing w:before="0" w:after="120"/>
        <w:rPr>
          <w:b/>
          <w:bCs/>
        </w:rPr>
      </w:pPr>
      <w:bookmarkStart w:id="39" w:name="dieu_2"/>
      <w:r>
        <w:rPr>
          <w:b/>
          <w:bCs/>
        </w:rPr>
        <w:t>Điều 2. Sửa đổi, bổ sung</w:t>
      </w:r>
      <w:bookmarkEnd w:id="39"/>
      <w:r>
        <w:rPr>
          <w:b/>
          <w:bCs/>
        </w:rPr>
        <w:t xml:space="preserve"> </w:t>
      </w:r>
      <w:bookmarkStart w:id="40" w:name="dc_7"/>
      <w:r>
        <w:rPr>
          <w:b/>
          <w:bCs/>
        </w:rPr>
        <w:t>điểm a.4 khoản 2 Điều 28 Thông tư số 80/2021/TT-BTC</w:t>
      </w:r>
      <w:bookmarkEnd w:id="40"/>
      <w:r>
        <w:rPr>
          <w:b/>
          <w:bCs/>
        </w:rPr>
        <w:t xml:space="preserve"> </w:t>
      </w:r>
      <w:bookmarkStart w:id="41" w:name="dieu_2_name"/>
      <w:r>
        <w:rPr>
          <w:b/>
          <w:bCs/>
        </w:rPr>
        <w:t>ngày 29 tháng 9 năm 2021 của Bộ Tài chính như sau:</w:t>
      </w:r>
      <w:bookmarkEnd w:id="41"/>
    </w:p>
    <w:p>
      <w:pPr>
        <w:pStyle w:val="Normal"/>
        <w:spacing w:before="0" w:after="120"/>
        <w:rPr/>
      </w:pPr>
      <w:r>
        <w:rPr/>
        <w:t>“</w:t>
      </w:r>
      <w:r>
        <w:rPr/>
        <w:t xml:space="preserve">a.4) Đối với dự án đầu tư của cơ sở kinh doanh ngành, nghề đầu tư kinh doanh có điều kiện trong giai đoạn đầu tư, theo quy định của pháp luật đầu tư, pháp luật chuyên ngành đã được cơ quan nhà nước có thẩm quyền cấp giấy kinh doanh ngành, nghề đầu tư kinh doanh có điều kiện theo quy định tại </w:t>
      </w:r>
      <w:bookmarkStart w:id="42" w:name="dc_8"/>
      <w:r>
        <w:rPr/>
        <w:t>khoản 3 Điều 1 Nghị định số 49/2022/NĐ-CP</w:t>
      </w:r>
      <w:bookmarkEnd w:id="42"/>
      <w:r>
        <w:rPr/>
        <w:t xml:space="preserve"> ngày 29 tháng 7 năm 2022 của Chính phủ: Bản sao một trong các hình thức Giấy phép hoặc giấy chứng nhận hoặc văn bản xác nhận, chấp thuận về kinh doanh ngành, nghề đầu tư kinh doanh có điều kiện.”</w:t>
      </w:r>
    </w:p>
    <w:p>
      <w:pPr>
        <w:pStyle w:val="Normal"/>
        <w:shd w:fill="FFFFFF" w:val="clear"/>
        <w:spacing w:before="0" w:after="120"/>
        <w:rPr>
          <w:b/>
          <w:bCs/>
        </w:rPr>
      </w:pPr>
      <w:bookmarkStart w:id="43" w:name="dieu_3"/>
      <w:r>
        <w:rPr>
          <w:b/>
          <w:bCs/>
        </w:rPr>
        <w:t>Điều 3. Hiệu lực thi hành</w:t>
      </w:r>
      <w:bookmarkEnd w:id="43"/>
    </w:p>
    <w:p>
      <w:pPr>
        <w:pStyle w:val="Normal"/>
        <w:spacing w:before="0" w:after="120"/>
        <w:rPr/>
      </w:pPr>
      <w:r>
        <w:rPr/>
        <w:t>1. Thông tư này có hiệu lực kể từ ngày 14 tháng 4 năm 2023.</w:t>
      </w:r>
    </w:p>
    <w:p>
      <w:pPr>
        <w:pStyle w:val="Normal"/>
        <w:spacing w:before="0" w:after="120"/>
        <w:rPr/>
      </w:pPr>
      <w:bookmarkStart w:id="44" w:name="khoan_2_3"/>
      <w:r>
        <w:rPr/>
        <w:t xml:space="preserve">2. Quy định về hoàn thuế giá trị gia tăng đối với dự án đầu tư của cơ sở kinh doanh ngành, nghề đầu tư kinh doanh có điều kiện tại </w:t>
      </w:r>
      <w:bookmarkStart w:id="45" w:name="tc_1"/>
      <w:bookmarkEnd w:id="44"/>
      <w:r>
        <w:rPr/>
        <w:t>khoản 3 Điều 1 Thông tư này</w:t>
      </w:r>
      <w:bookmarkEnd w:id="45"/>
      <w:r>
        <w:rPr/>
        <w:t xml:space="preserve"> được áp dụng kể từ ngày Nghị định số 100/2016/NĐ-CP ngày 01 tháng 7 năm 2016 của Chính phủ có hiệu lực thi hành theo quy định tại </w:t>
      </w:r>
      <w:bookmarkStart w:id="46" w:name="dc_9"/>
      <w:r>
        <w:rPr/>
        <w:t>khoản 2 Điều 2 Nghị định số 49/2022/NĐ-CP</w:t>
      </w:r>
      <w:bookmarkEnd w:id="46"/>
      <w:r>
        <w:rPr/>
        <w:t xml:space="preserve"> </w:t>
      </w:r>
      <w:bookmarkStart w:id="47" w:name="khoan_2_3_name"/>
      <w:r>
        <w:rPr/>
        <w:t>ngày 29 tháng 7 năm 2022 của Chính phủ.</w:t>
      </w:r>
      <w:bookmarkEnd w:id="47"/>
    </w:p>
    <w:p>
      <w:pPr>
        <w:pStyle w:val="Normal"/>
        <w:spacing w:before="0" w:after="120"/>
        <w:rPr/>
      </w:pPr>
      <w:r>
        <w:rPr/>
        <w:t xml:space="preserve">Trường hợp cơ sở kinh doanh thuộc đối tượng điều chỉnh tiền thuế giá trị gia tăng, tiền chậm nộp, tiền phạt vi phạm hành chính về thuế (nếu có) theo quy định tại </w:t>
      </w:r>
      <w:bookmarkStart w:id="48" w:name="dc_10"/>
      <w:r>
        <w:rPr/>
        <w:t>khoản 2 Điều 2 Nghị định số 49/2022/NĐ-CP</w:t>
      </w:r>
      <w:bookmarkEnd w:id="48"/>
      <w:r>
        <w:rPr/>
        <w:t xml:space="preserve"> ngày 29 tháng 7 năm 2022 của Chính phủ thì việc điều chỉnh thực hiện như sau:</w:t>
      </w:r>
    </w:p>
    <w:p>
      <w:pPr>
        <w:pStyle w:val="Normal"/>
        <w:spacing w:before="0" w:after="120"/>
        <w:rPr/>
      </w:pPr>
      <w:r>
        <w:rPr/>
        <w:t xml:space="preserve">a) Trường hợp cơ quan thuế đã ban hành quyết định thu hồi tiền hoàn thuế, tính tiền chậm nộp và xử phạt vi phạm hành chính về thuế thì cơ quan thuế ra quyết định điều chỉnh theo Mẫu quyết định số 38 ban hành kèm theo Nghị định số </w:t>
      </w:r>
      <w:bookmarkStart w:id="49" w:name="tvpllink_sztmmlzfso"/>
      <w:r>
        <w:rPr/>
        <w:t>118/2021/NĐ-CP</w:t>
      </w:r>
      <w:bookmarkEnd w:id="49"/>
      <w:r>
        <w:rPr/>
        <w:t xml:space="preserve"> ngày 23 tháng 12 năm 2021 của Chính phủ. Trường hợp cơ sở kinh doanh đã khai bổ sung số thuế giá trị gia tăng thu hồi hoàn thì cơ sở kinh doanh và cơ quan thuế thực hiện theo Mẫu số 02/KTT ban hành kèm theo Thông tư số </w:t>
      </w:r>
      <w:bookmarkStart w:id="50" w:name="tvpllink_juqivgbacm_1"/>
      <w:r>
        <w:rPr/>
        <w:t>80/2021/TT-BTC</w:t>
      </w:r>
      <w:bookmarkEnd w:id="50"/>
      <w:r>
        <w:rPr/>
        <w:t xml:space="preserve"> ngày 29 tháng 9 năm 2021 của Bộ Tài chính để điều chỉnh lại số tiền thuế giá trị gia tăng thu hồi hoàn, tiền chậm nộp.</w:t>
      </w:r>
    </w:p>
    <w:p>
      <w:pPr>
        <w:pStyle w:val="Normal"/>
        <w:spacing w:before="0" w:after="120"/>
        <w:rPr/>
      </w:pPr>
      <w:r>
        <w:rPr/>
        <w:t xml:space="preserve">b) Số tiền thuế giá trị gia tăng đã bị thu hồi hoàn (bao gồm trường hợp cơ sở kinh doanh chưa bù trừ số thuế giá trị gia tăng bị thu hồi hoàn với số thuế giá trị gia tăng phải nộp phát sinh của hoạt động sản xuất kinh doanh và trường hợp cơ sở kinh doanh đã bù trừ số thuế giá trị gia tăng bị thu hồi hoàn với số thuế giá trị gia tăng phải nộp phát sinh của hoạt động sản xuất kinh doanh), số tiền chậm nộp, tiền phạt vi phạm hành chính về thuế (nếu có) đã nộp vào ngân sách nhà nước trước ngày Thông tư này có hiệu lực thi hành được xử lý theo quy định tại </w:t>
      </w:r>
      <w:bookmarkStart w:id="51" w:name="dc_11"/>
      <w:r>
        <w:rPr/>
        <w:t>Điều 25 và Mục 2 Chương V Thông tư số 80/2021/TT-BTC</w:t>
      </w:r>
      <w:bookmarkEnd w:id="51"/>
      <w:r>
        <w:rPr/>
        <w:t xml:space="preserve"> ngày 29 tháng 9 năm 2021 của Bộ Tài chính. Trường hợp hoàn trả số tiền thuế giá trị gia tăng bị thu hồi hoàn nộp thừa sau khi đã xử lý số tiền thuế giá trị gia tăng bị thu hồi hoàn theo quy định tại điểm này được thực hiện từ nguồn kinh phí hoàn thuế giá trị gia tăng.</w:t>
      </w:r>
    </w:p>
    <w:p>
      <w:pPr>
        <w:pStyle w:val="Normal"/>
        <w:spacing w:before="0" w:after="120"/>
        <w:rPr/>
      </w:pPr>
      <w:r>
        <w:rPr/>
        <w:t>Trong quá trình thực hiện, nếu có khó khăn, vướng mắc, đề nghị các đơn vị, cơ sở kinh doanh phản ánh kịp thời về Bộ Tài chính để được giải quyết kịp thời./.</w:t>
      </w:r>
    </w:p>
    <w:p>
      <w:pPr>
        <w:pStyle w:val="Normal"/>
        <w:spacing w:before="0" w:after="120"/>
        <w:rPr/>
      </w:pPr>
      <w:r>
        <w:rPr/>
        <w:t> </w:t>
      </w:r>
    </w:p>
    <w:tbl>
      <w:tblPr>
        <w:tblW w:w="8696" w:type="dxa"/>
        <w:jc w:val="start"/>
        <w:tblInd w:w="0" w:type="dxa"/>
        <w:tblLayout w:type="fixed"/>
        <w:tblCellMar>
          <w:top w:w="0" w:type="dxa"/>
          <w:start w:w="28" w:type="dxa"/>
          <w:bottom w:w="0" w:type="dxa"/>
          <w:end w:w="28" w:type="dxa"/>
        </w:tblCellMar>
      </w:tblPr>
      <w:tblGrid>
        <w:gridCol w:w="4708"/>
        <w:gridCol w:w="3988"/>
      </w:tblGrid>
      <w:tr>
        <w:trPr/>
        <w:tc>
          <w:tcPr>
            <w:tcW w:w="4708" w:type="dxa"/>
            <w:tcBorders/>
          </w:tcPr>
          <w:p>
            <w:pPr>
              <w:pStyle w:val="Normal"/>
              <w:spacing w:before="0" w:after="120"/>
              <w:rPr>
                <w:b/>
                <w:bCs/>
                <w:i/>
                <w:i/>
                <w:iCs/>
                <w:sz w:val="16"/>
              </w:rPr>
            </w:pPr>
            <w:r>
              <w:rPr>
                <w:b/>
                <w:bCs/>
                <w:i/>
                <w:iCs/>
                <w:sz w:val="16"/>
              </w:rPr>
              <w:t> </w:t>
            </w:r>
          </w:p>
          <w:p>
            <w:pPr>
              <w:pStyle w:val="Normal"/>
              <w:rPr/>
            </w:pPr>
            <w:r>
              <w:rPr>
                <w:b/>
                <w:bCs/>
                <w:i/>
                <w:iCs/>
              </w:rPr>
              <w:t>Nơi nhận:</w:t>
            </w:r>
            <w:r>
              <w:rPr>
                <w:b/>
                <w:bCs/>
              </w:rPr>
              <w:br/>
            </w:r>
            <w:r>
              <w:rPr>
                <w:sz w:val="16"/>
              </w:rPr>
              <w:t>- Ban Bí thư Trung ương Đảng;</w:t>
              <w:br/>
              <w:t>- Thủ tướng, các Phó Thủ tướng Chính phủ;</w:t>
              <w:br/>
              <w:t>- Văn phòng Trung ương Đảng và các Ban của Đảng;</w:t>
              <w:br/>
              <w:t>- Văn phòng Tổng Bí thư;</w:t>
              <w:br/>
              <w:t>- Văn phòng Quốc hội;</w:t>
              <w:br/>
              <w:t>- Văn phòng Chủ tịch nước;</w:t>
              <w:br/>
              <w:t>- Văn phòng Chính phủ;</w:t>
              <w:br/>
              <w:t>- Viện Kiểm sát nhân dân tối cao;</w:t>
              <w:br/>
              <w:t>- Toà án nhân dân tối cao;</w:t>
              <w:br/>
              <w:t>- Kiểm toán nhà nước;</w:t>
              <w:br/>
              <w:t>- Các Bộ, cơ quan ngang Bộ, cơ quan thuộc Chính phủ;</w:t>
              <w:br/>
              <w:t>- HĐND, UBND các tỉnh, thành phố trực thuộc TW;</w:t>
              <w:br/>
              <w:t>- Cơ quan Trung ương của các Hội, Đoàn thể;</w:t>
              <w:br/>
              <w:t>- Sở Tài chính, Cục Thuế, Kho bạc nhà nước các tỉnh, thành phố trực thuộc TW;</w:t>
              <w:br/>
              <w:t>- Cục Kiểm tra văn bản quy phạm pháp luật, Bộ Tư pháp;</w:t>
              <w:br/>
              <w:t>- Công báo, Cổng Thông tin điện tử của Chính phủ;</w:t>
              <w:br/>
              <w:t>- Cổng Thông tin điện tử của Bộ Tài chính;</w:t>
              <w:br/>
              <w:t>- Các đơn vị thuộc Bộ Tài chính;</w:t>
              <w:br/>
              <w:t>- Lưu: VT, TCT (VT, CS).</w:t>
            </w:r>
          </w:p>
        </w:tc>
        <w:tc>
          <w:tcPr>
            <w:tcW w:w="3988" w:type="dxa"/>
            <w:tcBorders/>
          </w:tcPr>
          <w:p>
            <w:pPr>
              <w:pStyle w:val="Normal"/>
              <w:jc w:val="center"/>
              <w:rPr/>
            </w:pPr>
            <w:r>
              <w:rPr>
                <w:b/>
                <w:bCs/>
              </w:rPr>
              <w:t>KT. BỘ TRƯỞNG</w:t>
            </w:r>
            <w:r>
              <w:rPr/>
              <w:br/>
            </w:r>
            <w:r>
              <w:rPr>
                <w:b/>
                <w:bCs/>
              </w:rPr>
              <w:t>THỨ TRƯỞNG</w:t>
            </w:r>
            <w:r>
              <w:rPr/>
              <w:br/>
              <w:br/>
              <w:br/>
              <w:br/>
              <w:br/>
            </w:r>
            <w:r>
              <w:rPr>
                <w:b/>
                <w:bCs/>
              </w:rPr>
              <w:t>Cao Anh Tuấn</w:t>
            </w:r>
          </w:p>
        </w:tc>
      </w:tr>
    </w:tbl>
    <w:p>
      <w:pPr>
        <w:pStyle w:val="Normal"/>
        <w:spacing w:before="0" w:after="120"/>
        <w:rPr/>
      </w:pPr>
      <w:r>
        <w:rPr/>
        <w:t> </w:t>
      </w:r>
    </w:p>
    <w:p>
      <w:pPr>
        <w:pStyle w:val="Normal"/>
        <w:spacing w:before="0" w:after="280"/>
        <w:rPr>
          <w:b/>
          <w:bCs/>
        </w:rPr>
      </w:pPr>
      <w:r>
        <w:rPr>
          <w:b/>
          <w:bCs/>
        </w:rPr>
        <w: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2024-05-02T14:21:00Z</dcterms:created>
  <dc:creator>PC</dc:creator>
  <dc:description/>
  <cp:keywords/>
  <dc:language>en-US</dc:language>
  <cp:lastModifiedBy>PC</cp:lastModifiedBy>
  <dcterms:modified xsi:type="dcterms:W3CDTF">2024-05-02T14:21:00Z</dcterms:modified>
  <cp:revision>2</cp:revision>
  <dc:subject/>
  <dc:title/>
</cp:coreProperties>
</file>