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OCR Result</w:t>
      </w:r>
    </w:p>
    <w:p>
      <w:r>
        <w:t>Source: z7093906017376_38f5c048d95524aaafef1ca4c5dfbe09.jpg</w:t>
        <w:br/>
        <w:t>Time: 2025-10-27 18:11</w:t>
      </w:r>
    </w:p>
    <w:p>
      <w:pPr>
        <w:pStyle w:val="Heading1"/>
      </w:pPr>
      <w:r>
        <w:t>Content</w:t>
      </w:r>
    </w:p>
    <w:p>
      <w:r>
        <w:t>## Lưu ý:</w:t>
      </w:r>
    </w:p>
    <w:p>
      <w:r>
        <w:t>- Các yêu cầu về không gian; kiến trúc cảnh quan: Công trình xây dựng phải nghiên cúu để phù với kiến trúc cảnh quan khu vực. Phưong án thiết kế trình cần phù hợp Quy chuẩn xây dựng; Tiêu chuẩn thiết kế và các quy định có Jiên quan hiện hành (luu ý đảm bảo đủ diện tích để xe) hợp công</w:t>
        <w:br/>
        <w:t>3. Thời của Giấy phép quy hoạch: 12 thángv hạn</w:t>
        <w:br/>
        <w:t>- Các yêu cầu về hạ kỹ thuật, môi trường cần nối kết bộ hệ hạ kỹ thuật của trình với hệ thống chung khu vực và thực hiện theo yêu cẩu của các cơ quan lý chuyên Về PCCC và vệ sinh môi trường cần thực hiện theo quy định về PCCC của Sở Cảnh sát PCCC và về quản lý môi trường của Sở Tài nguyên và Môi truờng: đồng tầng giữa thống tầng công ngành. quản</w:t>
      </w:r>
    </w:p>
    <w:p>
      <w:r>
        <w:t>## Nơi nhận:</w:t>
      </w:r>
    </w:p>
    <w:p>
      <w:r>
        <w:t>- Như trên;</w:t>
        <w:br/>
        <w:t>- Sở XD, Sở TNMT, Sở GTVT;</w:t>
        <w:br/>
        <w:t>- VP UBTP: PVPIĐT báo cáo); (đề</w:t>
        <w:br/>
        <w:t>- UBND Q Bình Tân;</w:t>
      </w:r>
    </w:p>
    <w:p>
      <w:r>
        <w:t>MS</w:t>
      </w:r>
    </w:p>
    <w:p>
      <w:r>
        <w:t>&lt;!-- image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