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BTL_Chuyen_dong_trong_he_toa_do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function BTL_Chuyen_dong_trong_he_toa_do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clc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close all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%% BTL VL1 nhóm 17: Mai Thành Đạt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%% INPUT Data Nhập dữ liệu đầu vào 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   y = 8*t;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plot(x,y,'o','markersizdisp('Mời bạn nhập dữ liệu đầu vào');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t1 = input('t1= ');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t2 = input('t2= ');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x = 0;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y = 0;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t = t1;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dt = 0.005;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%% FIGURE Thiết lập trục tọa độ khảo sát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figure('name','Chuyen_dong_trong_he_toa_do','color','white','numbertitle','off');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fig = plot(x,y,'ro','MarkerSize',10,'markerfacecolor','k');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ht = title(sprintf('t=%0.2fs',t));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axis equal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axis ([-100 10 0 50]);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%% CALCULATION Phương trình chuyển động của vật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while t&lt;=t2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  t = t+dt;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  x = 3*t^2-(4/3)*t^3;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e',2,'color','k');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  set(fig,'xdata',x,'ydata',y);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    set(ht,'string',sprintf('t =%0.2fs',t));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    pause(0.002);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end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