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1. Bối cảnh vụ án</w:t>
      </w:r>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Từ 2008–2013, ông Nguyễn Việt C tham gia mua bán, trao đổi tiền ảo qua mạng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Tháng 9/2013, Cơ quan Công an tỉnh Bến Tre nhiều lần mời ông C làm việc vì nghi ngờ hành vi liên quan tiền ảo.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19/10/2015, Cơ quan ANĐT Công an tỉnh Bến Tre có công văn gửi Cục Thuế đề nghị nghiên cứu xử lý hành vi vi phạm hành chính về thuế đối với việc mua bán tiền ảo.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Quyết định truy thu thuế </w:t>
      </w:r>
    </w:p>
    <w:p w14:paraId="7875C27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13/5/2016, Chi cục Thuế ra Quyết định số 714/QĐ-CCT buộc ông C phải nộp 2.649.377.069 đồng, gồm: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GTGT: 981.527.006 đồng.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thu nhập cá nhân: 1.667.850.063 đồng.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không đồng ý, cho rằng số thuế quá cao, không hợp lý vì: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Thời điểm đó, kinh doanh tiền ảo chưa có quy định pháp luật điều chỉnh.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Tiền ảo không phải hàng hóa, không thuộc đối tượng chịu thuế GTGT theo Luật thuế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nhiều lần gửi văn bản, hồ sơ và ý kiến Bộ Công Thương, Chính phủ đều khẳng định tiền ảo không phải hàng hóa, không thuộc đối tượng điều chỉnh như hàng hóa thông thường.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điểm các bên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w:t>
      </w:r>
    </w:p>
    <w:p w14:paraId="04C25175" w14:textId="6E7FFF80"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Tiền ảo chưa có khung pháp lý quản lý, không phải hàng hóa nên không thể tính thuế GTGT. </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Ông có gửi hồ sơ đăng ký bổ sung ngành nghề nhưng Phòng Đăng ký kinh doanh từ chối vì chưa có mã ngành.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rằng việc Chi cục Thuế ra quyết định truy thu là không có căn cứ, không ban hành kèm quyết định xử phạt vi phạm hành chính (trong khi đây là biện pháp khắc phục hậu quả), trái quy định Luật Xử lý vi phạm hành chính.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&amp; Cục Thuế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Khẳng định mua bán tiền ảo là hoạt động kinh doanh phát sinh thu nhập nên phải chịu thuế.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Dẫn các công văn của Công an, Bộ Tài chính khuyến nghị quản lý để tránh thất thu thuế.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Căn cứ tính thuế là từ kết quả xác minh: ông C bán tiền ảo từ 2008–2013 với doanh số 138 tỉ đồng nhưng không khai báo, không nộp thuế.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Tòa án nhận định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Kinh doanh tiền ảo là mô hình mới phát sinh, chưa được pháp luật điều chỉnh đầy đủ.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Việc xem tiền ảo như hàng hóa để tính thuế GTGT là chưa phù hợp với quy định tại Điều 2 Thông tư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Cơ quan thuế áp dụng phương pháp tính thuế trực tiếp với tiền ảo như tính vàng, bạc, đá quý là chưa đúng vì tiền ảo không thuộc nhóm tài sản này.</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ban hành quyết định áp dụng biện pháp khắc phục hậu quả nhưng không kèm quyết định xử phạt hành chính là sai quy định tại Điều 11 Luật Xử lý vi phạm hành chính.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5. Kết quả &amp; kiến nghị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Kiểm sát viên và Tòa cùng thống nhất: các Quyết định số 714/QĐ-CCT ngày 12/5/2016 và 1002/QĐ-CT ngày 18/5/2017 của Chi cục trưởng Chi cục Thuế ban hành chưa phù hợp pháp luật.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Hội đồng xét xử chấp nhận toàn bộ yêu cầu khởi kiện của ông C, tuyên hủy các Quyết định truy thu thuế trên.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Lý do chính: Việc áp thuế GTGT và thuế TNCN đối với hoạt động mua bán Bitcoin là chưa có cơ sở pháp lý rõ ràng.</w:t>
      </w:r>
    </w:p>
    <w:p w14:paraId="0610355F" w14:textId="7AB41EED" w:rsidR="009C4D2E" w:rsidRDefault="00881B22" w:rsidP="007A17BD">
      <w:hyperlink r:id="rId5" w:history="1">
        <w:r w:rsidRPr="00881B22">
          <w:rPr>
            <w:rStyle w:val="Hyperlink"/>
          </w:rPr>
          <w:t>https://congbobanan.toaan.gov.vn/2ta51734t1cvn/</w:t>
        </w:r>
      </w:hyperlink>
    </w:p>
    <w:p w14:paraId="03AA169B" w14:textId="77777777" w:rsidR="00881B22" w:rsidRDefault="00881B22" w:rsidP="007A17BD"/>
    <w:p w14:paraId="33C6F68E" w14:textId="77777777" w:rsidR="00B80342" w:rsidRPr="00B80342" w:rsidRDefault="00E4679E" w:rsidP="00E4679E">
      <w:pPr>
        <w:pStyle w:val="ListParagraph"/>
        <w:numPr>
          <w:ilvl w:val="0"/>
          <w:numId w:val="3"/>
        </w:numPr>
      </w:pPr>
      <w:r>
        <w:rPr>
          <w:rFonts w:hint="eastAsia"/>
        </w:rPr>
        <w:t>Ti</w:t>
      </w:r>
      <w:r>
        <w:t>ề</w:t>
      </w:r>
      <w:r>
        <w:rPr>
          <w:rFonts w:hint="eastAsia"/>
        </w:rPr>
        <w:t xml:space="preserve">n </w:t>
      </w:r>
      <w:r>
        <w:t>ả</w:t>
      </w:r>
      <w:r>
        <w:rPr>
          <w:rFonts w:hint="eastAsia"/>
        </w:rPr>
        <w:t>o có đang n</w:t>
      </w:r>
      <w:r>
        <w:rPr>
          <w:rFonts w:ascii="Calibri" w:hAnsi="Calibri" w:cs="Calibri"/>
        </w:rPr>
        <w:t>ằ</w:t>
      </w:r>
      <w:r>
        <w:rPr>
          <w:rFonts w:ascii="Calibri" w:hAnsi="Calibri" w:cs="Calibri" w:hint="eastAsia"/>
        </w:rPr>
        <w:t>m ngoài vòng pháp lu</w:t>
      </w:r>
      <w:r>
        <w:rPr>
          <w:rFonts w:ascii="Calibri" w:hAnsi="Calibri" w:cs="Calibri"/>
        </w:rPr>
        <w:t>ậ</w:t>
      </w:r>
      <w:r>
        <w:rPr>
          <w:rFonts w:ascii="Calibri" w:hAnsi="Calibri" w:cs="Calibri" w:hint="eastAsia"/>
        </w:rPr>
        <w:t>t ?</w:t>
      </w:r>
    </w:p>
    <w:p w14:paraId="16E157EA" w14:textId="77A5EE2A" w:rsidR="003E3CF6" w:rsidRDefault="00B80342" w:rsidP="00B80342">
      <w:pPr>
        <w:pStyle w:val="ListParagraph"/>
        <w:rPr>
          <w:rFonts w:ascii="Calibri" w:hAnsi="Calibri" w:cs="Calibri"/>
          <w:lang w:val="vi-VN"/>
        </w:rPr>
      </w:pPr>
      <w:r>
        <w:rPr>
          <w:rFonts w:ascii="Calibri" w:hAnsi="Calibri" w:cs="Calibri" w:hint="eastAsia"/>
        </w:rPr>
        <w:t xml:space="preserve">Theo </w:t>
      </w:r>
      <w:r w:rsidRPr="003E3CF6">
        <w:rPr>
          <w:rFonts w:ascii="Calibri" w:hAnsi="Calibri" w:cs="Calibri" w:hint="eastAsia"/>
          <w:highlight w:val="yellow"/>
        </w:rPr>
        <w:t>lu</w:t>
      </w:r>
      <w:r w:rsidRPr="003E3CF6">
        <w:rPr>
          <w:rFonts w:ascii="Calibri" w:hAnsi="Calibri" w:cs="Calibri"/>
          <w:highlight w:val="yellow"/>
        </w:rPr>
        <w:t>ậ</w:t>
      </w:r>
      <w:r w:rsidRPr="003E3CF6">
        <w:rPr>
          <w:rFonts w:ascii="Calibri" w:hAnsi="Calibri" w:cs="Calibri" w:hint="eastAsia"/>
          <w:highlight w:val="yellow"/>
        </w:rPr>
        <w:t xml:space="preserve">t </w:t>
      </w:r>
      <w:r w:rsidRPr="003E3CF6">
        <w:rPr>
          <w:rFonts w:ascii="Calibri" w:hAnsi="Calibri" w:cs="Calibri"/>
          <w:highlight w:val="yellow"/>
        </w:rPr>
        <w:t>…</w:t>
      </w:r>
      <w:r>
        <w:rPr>
          <w:rFonts w:ascii="Calibri" w:hAnsi="Calibri" w:cs="Calibri" w:hint="eastAsia"/>
        </w:rPr>
        <w:t xml:space="preserve">, </w:t>
      </w:r>
      <w:r>
        <w:rPr>
          <w:rFonts w:ascii="Calibri" w:hAnsi="Calibri" w:cs="Calibri" w:hint="eastAsia"/>
        </w:rPr>
        <w:t>ho</w:t>
      </w:r>
      <w:r>
        <w:rPr>
          <w:rFonts w:ascii="Calibri" w:hAnsi="Calibri" w:cs="Calibri"/>
        </w:rPr>
        <w:t>ạ</w:t>
      </w:r>
      <w:r>
        <w:rPr>
          <w:rFonts w:ascii="Calibri" w:hAnsi="Calibri" w:cs="Calibri" w:hint="eastAsia"/>
        </w:rPr>
        <w:t>t đ</w:t>
      </w:r>
      <w:r>
        <w:rPr>
          <w:rFonts w:ascii="Calibri" w:hAnsi="Calibri" w:cs="Calibri"/>
        </w:rPr>
        <w:t>ộ</w:t>
      </w:r>
      <w:r>
        <w:rPr>
          <w:rFonts w:ascii="Calibri" w:hAnsi="Calibri" w:cs="Calibri" w:hint="eastAsia"/>
        </w:rPr>
        <w:t>ng mua bán các</w:t>
      </w:r>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w:t>
      </w:r>
      <w:r>
        <w:rPr>
          <w:rFonts w:ascii="Calibri" w:hAnsi="Calibri" w:cs="Calibri" w:hint="eastAsia"/>
          <w:lang w:val="vi-VN"/>
        </w:rPr>
        <w:t xml:space="preserve">. </w:t>
      </w:r>
      <w:r w:rsidR="00E4679E">
        <w:rPr>
          <w:rFonts w:ascii="Calibri" w:hAnsi="Calibri" w:cs="Calibri"/>
        </w:rPr>
        <w:br/>
      </w:r>
      <w:r w:rsidR="00E4679E">
        <w:rPr>
          <w:rFonts w:ascii="Calibri" w:hAnsi="Calibri" w:cs="Calibri" w:hint="eastAsia"/>
        </w:rPr>
        <w:t>Trong khi</w:t>
      </w:r>
      <w:r>
        <w:rPr>
          <w:rFonts w:ascii="Calibri" w:hAnsi="Calibri" w:cs="Calibri" w:hint="eastAsia"/>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dù</w:t>
      </w:r>
      <w:r w:rsidR="00FB761A">
        <w:rPr>
          <w:rFonts w:ascii="Calibri" w:hAnsi="Calibri" w:cs="Calibri" w:hint="eastAsia"/>
          <w:lang w:val="vi-VN"/>
        </w:rPr>
        <w:t xml:space="preserve"> </w:t>
      </w:r>
      <w:r w:rsidR="00FB761A" w:rsidRPr="003E3CF6">
        <w:rPr>
          <w:rFonts w:ascii="Calibri" w:hAnsi="Calibri" w:cs="Calibri" w:hint="eastAsia"/>
          <w:highlight w:val="yellow"/>
          <w:lang w:val="vi-VN"/>
        </w:rPr>
        <w:t>ti</w:t>
      </w:r>
      <w:r w:rsidR="00FB761A" w:rsidRPr="003E3CF6">
        <w:rPr>
          <w:rFonts w:ascii="Calibri" w:hAnsi="Calibri" w:cs="Calibri"/>
          <w:highlight w:val="yellow"/>
          <w:lang w:val="vi-VN"/>
        </w:rPr>
        <w:t>ề</w:t>
      </w:r>
      <w:r w:rsidR="00FB761A" w:rsidRPr="003E3CF6">
        <w:rPr>
          <w:rFonts w:ascii="Calibri" w:hAnsi="Calibri" w:cs="Calibri" w:hint="eastAsia"/>
          <w:highlight w:val="yellow"/>
          <w:lang w:val="vi-VN"/>
        </w:rPr>
        <w:t xml:space="preserve">n </w:t>
      </w:r>
      <w:r w:rsidR="00FB761A" w:rsidRPr="003E3CF6">
        <w:rPr>
          <w:rFonts w:ascii="Calibri" w:hAnsi="Calibri" w:cs="Calibri"/>
          <w:highlight w:val="yellow"/>
          <w:lang w:val="vi-VN"/>
        </w:rPr>
        <w:t>ả</w:t>
      </w:r>
      <w:r w:rsidR="00FB761A" w:rsidRPr="003E3CF6">
        <w:rPr>
          <w:rFonts w:ascii="Calibri" w:hAnsi="Calibri" w:cs="Calibri" w:hint="eastAsia"/>
          <w:highlight w:val="yellow"/>
          <w:lang w:val="vi-VN"/>
        </w:rPr>
        <w:t>o có kh</w:t>
      </w:r>
      <w:r w:rsidR="00FB761A" w:rsidRPr="003E3CF6">
        <w:rPr>
          <w:rFonts w:ascii="Calibri" w:hAnsi="Calibri" w:cs="Calibri"/>
          <w:highlight w:val="yellow"/>
          <w:lang w:val="vi-VN"/>
        </w:rPr>
        <w:t>ả</w:t>
      </w:r>
      <w:r w:rsidR="00FB761A" w:rsidRPr="003E3CF6">
        <w:rPr>
          <w:rFonts w:ascii="Calibri" w:hAnsi="Calibri" w:cs="Calibri" w:hint="eastAsia"/>
          <w:highlight w:val="yellow"/>
          <w:lang w:val="vi-VN"/>
        </w:rPr>
        <w:t xml:space="preserve"> n</w:t>
      </w:r>
      <w:r w:rsidR="00FB761A" w:rsidRPr="003E3CF6">
        <w:rPr>
          <w:rFonts w:ascii="Calibri" w:hAnsi="Calibri" w:cs="Calibri"/>
          <w:highlight w:val="yellow"/>
          <w:lang w:val="vi-VN"/>
        </w:rPr>
        <w:t>ă</w:t>
      </w:r>
      <w:r w:rsidR="00FB761A" w:rsidRPr="003E3CF6">
        <w:rPr>
          <w:rFonts w:ascii="Calibri" w:hAnsi="Calibri" w:cs="Calibri" w:hint="eastAsia"/>
          <w:highlight w:val="yellow"/>
          <w:lang w:val="vi-VN"/>
        </w:rPr>
        <w:t>ng sinh l</w:t>
      </w:r>
      <w:r w:rsidR="00FB761A" w:rsidRPr="003E3CF6">
        <w:rPr>
          <w:rFonts w:ascii="Calibri" w:hAnsi="Calibri" w:cs="Calibri"/>
          <w:highlight w:val="yellow"/>
          <w:lang w:val="vi-VN"/>
        </w:rPr>
        <w:t>ờ</w:t>
      </w:r>
      <w:r w:rsidR="00FB761A" w:rsidRPr="003E3CF6">
        <w:rPr>
          <w:rFonts w:ascii="Calibri" w:hAnsi="Calibri" w:cs="Calibri" w:hint="eastAsia"/>
          <w:highlight w:val="yellow"/>
          <w:lang w:val="vi-VN"/>
        </w:rPr>
        <w:t>i r</w:t>
      </w:r>
      <w:r w:rsidR="00FB761A" w:rsidRPr="003E3CF6">
        <w:rPr>
          <w:rFonts w:ascii="Calibri" w:hAnsi="Calibri" w:cs="Calibri"/>
          <w:highlight w:val="yellow"/>
          <w:lang w:val="vi-VN"/>
        </w:rPr>
        <w:t>ấ</w:t>
      </w:r>
      <w:r w:rsidR="00FB761A" w:rsidRPr="003E3CF6">
        <w:rPr>
          <w:rFonts w:ascii="Calibri" w:hAnsi="Calibri" w:cs="Calibri" w:hint="eastAsia"/>
          <w:highlight w:val="yellow"/>
          <w:lang w:val="vi-VN"/>
        </w:rPr>
        <w:t>t l</w:t>
      </w:r>
      <w:r w:rsidR="00FB761A" w:rsidRPr="003E3CF6">
        <w:rPr>
          <w:rFonts w:ascii="Calibri" w:hAnsi="Calibri" w:cs="Calibri"/>
          <w:highlight w:val="yellow"/>
          <w:lang w:val="vi-VN"/>
        </w:rPr>
        <w:t>ớ</w:t>
      </w:r>
      <w:r w:rsidR="00FB761A" w:rsidRPr="003E3CF6">
        <w:rPr>
          <w:rFonts w:ascii="Calibri" w:hAnsi="Calibri" w:cs="Calibri" w:hint="eastAsia"/>
          <w:highlight w:val="yellow"/>
          <w:lang w:val="vi-VN"/>
        </w:rPr>
        <w:t>n nh</w:t>
      </w:r>
      <w:r w:rsidR="00FB761A" w:rsidRPr="003E3CF6">
        <w:rPr>
          <w:rFonts w:ascii="Calibri" w:hAnsi="Calibri" w:cs="Calibri"/>
          <w:highlight w:val="yellow"/>
          <w:lang w:val="vi-VN"/>
        </w:rPr>
        <w:t>ờ</w:t>
      </w:r>
      <w:r w:rsidR="00FB761A" w:rsidRPr="003E3CF6">
        <w:rPr>
          <w:rFonts w:ascii="Calibri" w:hAnsi="Calibri" w:cs="Calibri" w:hint="eastAsia"/>
          <w:highlight w:val="yellow"/>
          <w:lang w:val="vi-VN"/>
        </w:rPr>
        <w:t xml:space="preserve"> s</w:t>
      </w:r>
      <w:r w:rsidR="00FB761A" w:rsidRPr="003E3CF6">
        <w:rPr>
          <w:rFonts w:ascii="Calibri" w:hAnsi="Calibri" w:cs="Calibri"/>
          <w:highlight w:val="yellow"/>
          <w:lang w:val="vi-VN"/>
        </w:rPr>
        <w:t>ự</w:t>
      </w:r>
      <w:r w:rsidR="00FB761A" w:rsidRPr="003E3CF6">
        <w:rPr>
          <w:rFonts w:ascii="Calibri" w:hAnsi="Calibri" w:cs="Calibri" w:hint="eastAsia"/>
          <w:highlight w:val="yellow"/>
          <w:lang w:val="vi-VN"/>
        </w:rPr>
        <w:t xml:space="preserve"> bi</w:t>
      </w:r>
      <w:r w:rsidR="00FB761A" w:rsidRPr="003E3CF6">
        <w:rPr>
          <w:rFonts w:ascii="Calibri" w:hAnsi="Calibri" w:cs="Calibri"/>
          <w:highlight w:val="yellow"/>
          <w:lang w:val="vi-VN"/>
        </w:rPr>
        <w:t>ế</w:t>
      </w:r>
      <w:r w:rsidR="00FB761A" w:rsidRPr="003E3CF6">
        <w:rPr>
          <w:rFonts w:ascii="Calibri" w:hAnsi="Calibri" w:cs="Calibri" w:hint="eastAsia"/>
          <w:highlight w:val="yellow"/>
          <w:lang w:val="vi-VN"/>
        </w:rPr>
        <w:t>n đ</w:t>
      </w:r>
      <w:r w:rsidR="00FB761A" w:rsidRPr="003E3CF6">
        <w:rPr>
          <w:rFonts w:ascii="Calibri" w:hAnsi="Calibri" w:cs="Calibri"/>
          <w:highlight w:val="yellow"/>
          <w:lang w:val="vi-VN"/>
        </w:rPr>
        <w:t>ộ</w:t>
      </w:r>
      <w:r w:rsidR="00FB761A" w:rsidRPr="003E3CF6">
        <w:rPr>
          <w:rFonts w:ascii="Calibri" w:hAnsi="Calibri" w:cs="Calibri" w:hint="eastAsia"/>
          <w:highlight w:val="yellow"/>
          <w:lang w:val="vi-VN"/>
        </w:rPr>
        <w:t>ng m</w:t>
      </w:r>
      <w:r w:rsidR="00FB761A" w:rsidRPr="003E3CF6">
        <w:rPr>
          <w:rFonts w:ascii="Calibri" w:hAnsi="Calibri" w:cs="Calibri"/>
          <w:highlight w:val="yellow"/>
          <w:lang w:val="vi-VN"/>
        </w:rPr>
        <w:t>ạ</w:t>
      </w:r>
      <w:r w:rsidR="00FB761A" w:rsidRPr="003E3CF6">
        <w:rPr>
          <w:rFonts w:ascii="Calibri" w:hAnsi="Calibri" w:cs="Calibri" w:hint="eastAsia"/>
          <w:highlight w:val="yellow"/>
          <w:lang w:val="vi-VN"/>
        </w:rPr>
        <w:t>nh c</w:t>
      </w:r>
      <w:r w:rsidR="00FB761A" w:rsidRPr="003E3CF6">
        <w:rPr>
          <w:rFonts w:ascii="Calibri" w:hAnsi="Calibri" w:cs="Calibri"/>
          <w:highlight w:val="yellow"/>
          <w:lang w:val="vi-VN"/>
        </w:rPr>
        <w:t>ủ</w:t>
      </w:r>
      <w:r w:rsidR="00FB761A" w:rsidRPr="003E3CF6">
        <w:rPr>
          <w:rFonts w:ascii="Calibri" w:hAnsi="Calibri" w:cs="Calibri" w:hint="eastAsia"/>
          <w:highlight w:val="yellow"/>
          <w:lang w:val="vi-VN"/>
        </w:rPr>
        <w:t>a th</w:t>
      </w:r>
      <w:r w:rsidR="00FB761A" w:rsidRPr="003E3CF6">
        <w:rPr>
          <w:rFonts w:ascii="Calibri" w:hAnsi="Calibri" w:cs="Calibri"/>
          <w:highlight w:val="yellow"/>
          <w:lang w:val="vi-VN"/>
        </w:rPr>
        <w:t>ị</w:t>
      </w:r>
      <w:r w:rsidR="00FB761A" w:rsidRPr="003E3CF6">
        <w:rPr>
          <w:rFonts w:ascii="Calibri" w:hAnsi="Calibri" w:cs="Calibri" w:hint="eastAsia"/>
          <w:highlight w:val="yellow"/>
          <w:lang w:val="vi-VN"/>
        </w:rPr>
        <w:t xml:space="preserve"> tr</w:t>
      </w:r>
      <w:r w:rsidR="00FB761A" w:rsidRPr="003E3CF6">
        <w:rPr>
          <w:rFonts w:ascii="Calibri" w:hAnsi="Calibri" w:cs="Calibri"/>
          <w:highlight w:val="yellow"/>
          <w:lang w:val="vi-VN"/>
        </w:rPr>
        <w:t>ườ</w:t>
      </w:r>
      <w:r w:rsidR="00FB761A" w:rsidRPr="003E3CF6">
        <w:rPr>
          <w:rFonts w:ascii="Calibri" w:hAnsi="Calibri" w:cs="Calibri" w:hint="eastAsia"/>
          <w:highlight w:val="yellow"/>
          <w:lang w:val="vi-VN"/>
        </w:rPr>
        <w:t>ng ti</w:t>
      </w:r>
      <w:r w:rsidR="00FB761A" w:rsidRPr="003E3CF6">
        <w:rPr>
          <w:rFonts w:ascii="Calibri" w:hAnsi="Calibri" w:cs="Calibri"/>
          <w:highlight w:val="yellow"/>
          <w:lang w:val="vi-VN"/>
        </w:rPr>
        <w:t>ề</w:t>
      </w:r>
      <w:r w:rsidR="00FB761A" w:rsidRPr="003E3CF6">
        <w:rPr>
          <w:rFonts w:ascii="Calibri" w:hAnsi="Calibri" w:cs="Calibri" w:hint="eastAsia"/>
          <w:highlight w:val="yellow"/>
          <w:lang w:val="vi-VN"/>
        </w:rPr>
        <w:t xml:space="preserve">n </w:t>
      </w:r>
      <w:r w:rsidR="00FB761A" w:rsidRPr="003E3CF6">
        <w:rPr>
          <w:rFonts w:ascii="Calibri" w:hAnsi="Calibri" w:cs="Calibri"/>
          <w:highlight w:val="yellow"/>
          <w:lang w:val="vi-VN"/>
        </w:rPr>
        <w:t>ả</w:t>
      </w:r>
      <w:r w:rsidR="00FB761A" w:rsidRPr="003E3CF6">
        <w:rPr>
          <w:rFonts w:ascii="Calibri" w:hAnsi="Calibri" w:cs="Calibri" w:hint="eastAsia"/>
          <w:highlight w:val="yellow"/>
          <w:lang w:val="vi-VN"/>
        </w:rPr>
        <w:t>o.</w:t>
      </w:r>
      <w:r w:rsidR="00FB761A">
        <w:rPr>
          <w:rFonts w:ascii="Calibri" w:hAnsi="Calibri" w:cs="Calibri" w:hint="eastAsia"/>
          <w:lang w:val="vi-VN"/>
        </w:rPr>
        <w:t xml:space="preserve"> </w:t>
      </w:r>
    </w:p>
    <w:p w14:paraId="51971440" w14:textId="77777777" w:rsidR="003E3CF6" w:rsidRDefault="003E3CF6" w:rsidP="00B80342">
      <w:pPr>
        <w:pStyle w:val="ListParagraph"/>
        <w:rPr>
          <w:rFonts w:ascii="Calibri" w:hAnsi="Calibri" w:cs="Calibri"/>
          <w:lang w:val="vi-VN"/>
        </w:rPr>
      </w:pPr>
    </w:p>
    <w:p w14:paraId="4D45FAAE" w14:textId="7E14155E" w:rsidR="003E3CF6" w:rsidRDefault="003E3CF6" w:rsidP="00B80342">
      <w:pPr>
        <w:pStyle w:val="ListParagraph"/>
        <w:rPr>
          <w:rFonts w:ascii="Calibri" w:hAnsi="Calibri" w:cs="Calibri"/>
          <w:lang w:val="vi-VN"/>
        </w:rPr>
      </w:pPr>
      <w:r>
        <w:rPr>
          <w:rFonts w:ascii="Calibri" w:hAnsi="Calibri" w:cs="Calibri" w:hint="eastAsia"/>
          <w:lang w:val="vi-VN"/>
        </w:rPr>
        <w:t xml:space="preserve">Tuy nhiên, </w:t>
      </w:r>
      <w:r w:rsidRPr="003E3CF6">
        <w:rPr>
          <w:rFonts w:ascii="Calibri" w:hAnsi="Calibri" w:cs="Calibri" w:hint="eastAsia"/>
          <w:highlight w:val="yellow"/>
          <w:lang w:val="vi-VN"/>
        </w:rPr>
        <w:t>theo bài nghiên c</w:t>
      </w:r>
      <w:r w:rsidRPr="003E3CF6">
        <w:rPr>
          <w:rFonts w:ascii="Calibri" w:hAnsi="Calibri" w:cs="Calibri"/>
          <w:highlight w:val="yellow"/>
          <w:lang w:val="vi-VN"/>
        </w:rPr>
        <w:t>ứ</w:t>
      </w:r>
      <w:r w:rsidRPr="003E3CF6">
        <w:rPr>
          <w:rFonts w:ascii="Calibri" w:hAnsi="Calibri" w:cs="Calibri" w:hint="eastAsia"/>
          <w:highlight w:val="yellow"/>
          <w:lang w:val="vi-VN"/>
        </w:rPr>
        <w:t xml:space="preserve">u </w:t>
      </w:r>
      <w:r w:rsidRPr="003E3CF6">
        <w:rPr>
          <w:rFonts w:ascii="Calibri" w:hAnsi="Calibri" w:cs="Calibri"/>
          <w:highlight w:val="yellow"/>
          <w:lang w:val="vi-VN"/>
        </w:rPr>
        <w:t>“</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Pr="003E3CF6">
        <w:rPr>
          <w:rFonts w:ascii="Calibri" w:hAnsi="Calibri" w:cs="Calibri"/>
          <w:highlight w:val="yellow"/>
          <w:lang w:val="vi-VN"/>
        </w:rPr>
        <w:t>”</w:t>
      </w:r>
      <w:r w:rsidRPr="003E3CF6">
        <w:rPr>
          <w:rFonts w:ascii="Calibri" w:hAnsi="Calibri" w:cs="Calibri" w:hint="eastAsia"/>
          <w:highlight w:val="yellow"/>
          <w:lang w:val="vi-VN"/>
        </w:rPr>
        <w:t>,</w:t>
      </w:r>
      <w:r>
        <w:rPr>
          <w:rFonts w:ascii="Calibri" w:hAnsi="Calibri" w:cs="Calibri" w:hint="eastAsia"/>
          <w:lang w:val="vi-VN"/>
        </w:rPr>
        <w:t xml:space="preserve"> nhóm tác gi</w:t>
      </w:r>
      <w:r>
        <w:rPr>
          <w:rFonts w:ascii="Calibri" w:hAnsi="Calibri" w:cs="Calibri"/>
          <w:lang w:val="vi-VN"/>
        </w:rPr>
        <w:t>ả</w:t>
      </w:r>
      <w:r>
        <w:rPr>
          <w:rFonts w:ascii="Calibri" w:hAnsi="Calibri" w:cs="Calibri" w:hint="eastAsia"/>
          <w:lang w:val="vi-VN"/>
        </w:rPr>
        <w:t xml:space="preserve"> l</w:t>
      </w:r>
      <w:r>
        <w:rPr>
          <w:rFonts w:ascii="Calibri" w:hAnsi="Calibri" w:cs="Calibri"/>
          <w:lang w:val="vi-VN"/>
        </w:rPr>
        <w:t>ạ</w:t>
      </w:r>
      <w:r>
        <w:rPr>
          <w:rFonts w:ascii="Calibri" w:hAnsi="Calibri" w:cs="Calibri" w:hint="eastAsia"/>
          <w:lang w:val="vi-VN"/>
        </w:rPr>
        <w:t>i có m</w:t>
      </w:r>
      <w:r>
        <w:rPr>
          <w:rFonts w:ascii="Calibri" w:hAnsi="Calibri" w:cs="Calibri"/>
          <w:lang w:val="vi-VN"/>
        </w:rPr>
        <w:t>ộ</w:t>
      </w:r>
      <w:r>
        <w:rPr>
          <w:rFonts w:ascii="Calibri" w:hAnsi="Calibri" w:cs="Calibri" w:hint="eastAsia"/>
          <w:lang w:val="vi-VN"/>
        </w:rPr>
        <w:t>t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n khác.</w:t>
      </w:r>
    </w:p>
    <w:p w14:paraId="0ED5EE8B" w14:textId="77777777" w:rsidR="003E3CF6" w:rsidRDefault="003E3CF6" w:rsidP="00B80342">
      <w:pPr>
        <w:pStyle w:val="ListParagraph"/>
        <w:rPr>
          <w:rFonts w:ascii="Calibri" w:hAnsi="Calibri" w:cs="Calibri"/>
          <w:lang w:val="vi-VN"/>
        </w:rPr>
      </w:pPr>
    </w:p>
    <w:p w14:paraId="1931E9F8" w14:textId="54630D73"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n trên.</w:t>
      </w:r>
    </w:p>
    <w:p w14:paraId="0B6662E8" w14:textId="0D447308"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6" w:history="1">
        <w:r w:rsidRPr="003E3CF6">
          <w:rPr>
            <w:rStyle w:val="Hyperlink"/>
            <w:rFonts w:ascii="Calibri" w:hAnsi="Calibri" w:cs="Calibri"/>
            <w:lang w:val="vi-VN"/>
          </w:rPr>
          <w:t>https://thuvienphapluat.vn/cong-dong-dan-luat/vuong-mac-trong-viec-xac-dinh-bitcoin-ethereum-va-cac-loai-tien-ky-thuat-so-khac-la-tai-san-trong-vu-an-hinh-su-198956.html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hint="eastAsia"/>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hint="eastAsia"/>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994036">
    <w:abstractNumId w:val="0"/>
  </w:num>
  <w:num w:numId="2" w16cid:durableId="1963072839">
    <w:abstractNumId w:val="2"/>
  </w:num>
  <w:num w:numId="3" w16cid:durableId="86143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12219C"/>
    <w:rsid w:val="003E3CF6"/>
    <w:rsid w:val="00401C7C"/>
    <w:rsid w:val="004C060C"/>
    <w:rsid w:val="006F0172"/>
    <w:rsid w:val="006F1904"/>
    <w:rsid w:val="00795ADE"/>
    <w:rsid w:val="007A17BD"/>
    <w:rsid w:val="00881B22"/>
    <w:rsid w:val="009C4D2E"/>
    <w:rsid w:val="00A92C23"/>
    <w:rsid w:val="00B60622"/>
    <w:rsid w:val="00B80342"/>
    <w:rsid w:val="00B865DA"/>
    <w:rsid w:val="00CC5B80"/>
    <w:rsid w:val="00CF570E"/>
    <w:rsid w:val="00E4679E"/>
    <w:rsid w:val="00F43B66"/>
    <w:rsid w:val="00FB7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23"/>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cong-dong-dan-luat/vuong-mac-trong-viec-xac-dinh-bitcoin-ethereum-va-cac-loai-tien-ky-thuat-so-khac-la-tai-san-trong-vu-an-hinh-su-198956.html" TargetMode="External"/><Relationship Id="rId5" Type="http://schemas.openxmlformats.org/officeDocument/2006/relationships/hyperlink" Target="https://congbobanan.toaan.gov.vn/2ta51734t1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cp:revision>
  <dcterms:created xsi:type="dcterms:W3CDTF">2025-06-28T14:20:00Z</dcterms:created>
  <dcterms:modified xsi:type="dcterms:W3CDTF">2025-06-29T15:20:00Z</dcterms:modified>
</cp:coreProperties>
</file>