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66"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285"/>
        <w:gridCol w:w="93"/>
        <w:gridCol w:w="517"/>
        <w:gridCol w:w="370"/>
        <w:gridCol w:w="387"/>
        <w:gridCol w:w="373"/>
        <w:gridCol w:w="369"/>
        <w:gridCol w:w="382"/>
        <w:gridCol w:w="374"/>
        <w:gridCol w:w="376"/>
        <w:gridCol w:w="374"/>
        <w:gridCol w:w="385"/>
        <w:gridCol w:w="534"/>
        <w:gridCol w:w="145"/>
        <w:gridCol w:w="5165"/>
        <w:gridCol w:w="236"/>
      </w:tblGrid>
      <w:tr>
        <w:trPr>
          <w:trHeight w:val="630" w:hRule="atLeast"/>
        </w:trPr>
        <w:tc>
          <w:tcPr>
            <w:tcW w:w="378" w:type="dxa"/>
            <w:gridSpan w:val="2"/>
            <w:tcBorders/>
          </w:tcPr>
          <w:p>
            <w:pPr>
              <w:pStyle w:val="Header"/>
              <w:snapToGrid w:val="false"/>
              <w:spacing w:before="120" w:after="0"/>
              <w:jc w:val="center"/>
              <w:rPr>
                <w:rFonts w:ascii="Times New Roman" w:hAnsi="Times New Roman" w:cs="Times New Roman"/>
                <w:b/>
                <w:bCs/>
                <w:iCs/>
                <w:sz w:val="22"/>
                <w:szCs w:val="22"/>
                <w:lang w:val="en-US"/>
              </w:rPr>
            </w:pPr>
            <w:r>
              <w:rPr>
                <w:rFonts w:cs="Times New Roman" w:ascii="Times New Roman" w:hAnsi="Times New Roman"/>
                <w:b/>
                <w:bCs/>
                <w:iCs/>
                <w:sz w:val="22"/>
                <w:szCs w:val="22"/>
                <w:lang w:val="en-US"/>
              </w:rPr>
            </w:r>
          </w:p>
        </w:tc>
        <w:tc>
          <w:tcPr>
            <w:tcW w:w="4586" w:type="dxa"/>
            <w:gridSpan w:val="12"/>
            <w:tcBorders/>
          </w:tcPr>
          <w:p>
            <w:pPr>
              <w:pStyle w:val="Header"/>
              <w:snapToGrid w:val="false"/>
              <w:spacing w:before="120" w:after="0"/>
              <w:jc w:val="center"/>
              <w:rPr>
                <w:rFonts w:ascii="Times New Roman" w:hAnsi="Times New Roman" w:cs="Times New Roman"/>
                <w:b/>
                <w:bCs/>
                <w:iCs/>
                <w:sz w:val="22"/>
                <w:szCs w:val="22"/>
                <w:lang w:val="en-US"/>
              </w:rPr>
            </w:pPr>
            <w:r>
              <w:rPr>
                <w:rFonts w:cs="Times New Roman" w:ascii="Times New Roman" w:hAnsi="Times New Roman"/>
                <w:b/>
                <w:bCs/>
                <w:iCs/>
                <w:sz w:val="22"/>
                <w:szCs w:val="22"/>
                <w:lang w:val="en-US"/>
              </w:rPr>
            </w:r>
          </w:p>
        </w:tc>
        <w:tc>
          <w:tcPr>
            <w:tcW w:w="5165" w:type="dxa"/>
            <w:tcBorders/>
          </w:tcPr>
          <w:p>
            <w:pPr>
              <w:pStyle w:val="Header"/>
              <w:tabs>
                <w:tab w:val="clear" w:pos="4320"/>
                <w:tab w:val="clear" w:pos="8640"/>
                <w:tab w:val="center" w:pos="6946" w:leader="none"/>
              </w:tabs>
              <w:spacing w:before="120" w:after="0"/>
              <w:rPr>
                <w:b/>
                <w:bCs/>
                <w:i/>
                <w:i/>
                <w:sz w:val="22"/>
                <w:szCs w:val="22"/>
              </w:rPr>
            </w:pPr>
            <w:r>
              <w:rPr>
                <w:rFonts w:cs="Times New Roman" w:ascii="Times New Roman" w:hAnsi="Times New Roman"/>
                <w:b/>
                <w:bCs/>
                <w:sz w:val="22"/>
                <w:szCs w:val="22"/>
                <w:lang w:val="en-US"/>
              </w:rPr>
              <w:t>CỘNG HÒA XÃ HỘI CHỦ NGHĨA VIỆT NAM</w:t>
            </w:r>
          </w:p>
          <w:p>
            <w:pPr>
              <w:pStyle w:val="Header"/>
              <w:tabs>
                <w:tab w:val="clear" w:pos="4320"/>
                <w:tab w:val="clear" w:pos="8640"/>
                <w:tab w:val="center" w:pos="6946" w:leader="none"/>
              </w:tabs>
              <w:spacing w:before="120" w:after="0"/>
              <w:jc w:val="center"/>
              <w:rPr>
                <w:rFonts w:ascii="Times New Roman" w:hAnsi="Times New Roman" w:cs="Times New Roman"/>
                <w:b/>
                <w:bCs/>
                <w:i/>
                <w:i/>
                <w:sz w:val="24"/>
                <w:szCs w:val="24"/>
                <w:lang w:val="en-US"/>
              </w:rPr>
            </w:pPr>
            <w:r>
              <w:rPr>
                <w:rFonts w:cs="Times New Roman" w:ascii="Times New Roman" w:hAnsi="Times New Roman"/>
                <w:b/>
                <w:bCs/>
                <w:sz w:val="22"/>
                <w:szCs w:val="22"/>
                <w:lang w:val="en-US"/>
              </w:rPr>
              <w:t>Độc Lập - Tự Do - Hạnh Phúc</w:t>
            </w:r>
          </w:p>
          <w:p>
            <w:pPr>
              <w:pStyle w:val="Header"/>
              <w:tabs>
                <w:tab w:val="clear" w:pos="4320"/>
                <w:tab w:val="clear" w:pos="8640"/>
                <w:tab w:val="center" w:pos="6946" w:leader="none"/>
              </w:tabs>
              <w:spacing w:before="120" w:after="0"/>
              <w:jc w:val="center"/>
              <w:rPr/>
            </w:pPr>
            <w:r>
              <w:rPr/>
            </w:r>
          </w:p>
        </w:tc>
        <w:tc>
          <w:tcPr>
            <w:tcW w:w="236" w:type="dxa"/>
            <w:tcBorders/>
          </w:tcPr>
          <w:p>
            <w:pPr>
              <w:pStyle w:val="Normal"/>
              <w:rPr/>
            </w:pPr>
            <w:r>
              <w:rPr/>
            </w:r>
          </w:p>
        </w:tc>
      </w:tr>
      <w:tr>
        <w:trPr>
          <w:trHeight w:val="256" w:hRule="atLeast"/>
        </w:trPr>
        <w:tc>
          <w:tcPr>
            <w:tcW w:w="285" w:type="dxa"/>
            <w:tcBorders/>
          </w:tcPr>
          <w:p>
            <w:pPr>
              <w:pStyle w:val="Normal"/>
              <w:snapToGrid w:val="false"/>
              <w:rPr>
                <w:sz w:val="22"/>
                <w:szCs w:val="22"/>
              </w:rPr>
            </w:pPr>
            <w:r>
              <w:rPr>
                <w:sz w:val="22"/>
                <w:szCs w:val="22"/>
              </w:rPr>
            </w:r>
          </w:p>
        </w:tc>
        <w:tc>
          <w:tcPr>
            <w:tcW w:w="610" w:type="dxa"/>
            <w:gridSpan w:val="2"/>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Số</w:t>
            </w:r>
          </w:p>
        </w:tc>
        <w:tc>
          <w:tcPr>
            <w:tcW w:w="370" w:type="dxa"/>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H</w:t>
            </w:r>
          </w:p>
        </w:tc>
        <w:tc>
          <w:tcPr>
            <w:tcW w:w="387" w:type="dxa"/>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W</w:t>
            </w:r>
          </w:p>
        </w:tc>
        <w:tc>
          <w:tcPr>
            <w:tcW w:w="373" w:type="dxa"/>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R</w:t>
            </w:r>
          </w:p>
        </w:tc>
        <w:tc>
          <w:tcPr>
            <w:tcW w:w="369"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2</w:t>
            </w:r>
          </w:p>
        </w:tc>
        <w:tc>
          <w:tcPr>
            <w:tcW w:w="382"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5</w:t>
            </w:r>
          </w:p>
        </w:tc>
        <w:tc>
          <w:tcPr>
            <w:tcW w:w="374"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0</w:t>
            </w:r>
          </w:p>
        </w:tc>
        <w:tc>
          <w:tcPr>
            <w:tcW w:w="376"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0</w:t>
            </w:r>
          </w:p>
        </w:tc>
        <w:tc>
          <w:tcPr>
            <w:tcW w:w="374"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7</w:t>
            </w:r>
          </w:p>
        </w:tc>
        <w:tc>
          <w:tcPr>
            <w:tcW w:w="385" w:type="dxa"/>
            <w:tcBorders>
              <w:top w:val="single" w:sz="4" w:space="0" w:color="000000"/>
              <w:left w:val="single" w:sz="4" w:space="0" w:color="000000"/>
              <w:bottom w:val="single" w:sz="4" w:space="0" w:color="000000"/>
            </w:tcBorders>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0</w:t>
            </w:r>
          </w:p>
        </w:tc>
        <w:tc>
          <w:tcPr>
            <w:tcW w:w="534"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sz w:val="22"/>
                <w:szCs w:val="22"/>
              </w:rPr>
            </w:pPr>
            <w:r>
              <w:rPr>
                <w:rFonts w:cs="Times New Roman" w:ascii="Times New Roman" w:hAnsi="Times New Roman"/>
                <w:sz w:val="22"/>
                <w:szCs w:val="22"/>
                <w:lang w:val="en-US"/>
              </w:rPr>
              <w:t>/SGN</w:t>
            </w:r>
          </w:p>
        </w:tc>
        <w:tc>
          <w:tcPr>
            <w:tcW w:w="5546" w:type="dxa"/>
            <w:gridSpan w:val="3"/>
            <w:tcBorders>
              <w:left w:val="single" w:sz="4" w:space="0" w:color="000000"/>
            </w:tcBorders>
          </w:tcPr>
          <w:p>
            <w:pPr>
              <w:pStyle w:val="Normal"/>
              <w:snapToGrid w:val="false"/>
              <w:rPr>
                <w:sz w:val="22"/>
                <w:szCs w:val="22"/>
              </w:rPr>
            </w:pPr>
            <w:r>
              <w:rPr>
                <w:sz w:val="22"/>
                <w:szCs w:val="22"/>
              </w:rPr>
            </w:r>
          </w:p>
        </w:tc>
      </w:tr>
    </w:tbl>
    <w:p>
      <w:pPr>
        <w:pStyle w:val="Normal"/>
        <w:spacing w:lineRule="auto" w:line="312" w:before="120" w:after="0"/>
        <w:jc w:val="center"/>
        <w:rPr>
          <w:b/>
        </w:rPr>
      </w:pPr>
      <w:r>
        <w:rPr>
          <w:b/>
        </w:rPr>
      </w:r>
    </w:p>
    <w:p>
      <w:pPr>
        <w:pStyle w:val="Normal"/>
        <w:spacing w:lineRule="auto" w:line="312" w:before="120" w:after="0"/>
        <w:ind w:right="-353"/>
        <w:jc w:val="center"/>
        <w:rPr>
          <w:i/>
          <w:i/>
        </w:rPr>
      </w:pPr>
      <w:r>
        <w:rPr>
          <w:b/>
          <w:sz w:val="30"/>
        </w:rPr>
        <w:t>HỢP ĐỒNG MUA BÁN THIẾT BỊ</w:t>
      </w:r>
    </w:p>
    <w:p>
      <w:pPr>
        <w:pStyle w:val="ListParagraph"/>
        <w:numPr>
          <w:ilvl w:val="0"/>
          <w:numId w:val="16"/>
        </w:numPr>
        <w:spacing w:lineRule="auto" w:line="360" w:before="120" w:after="0"/>
        <w:contextualSpacing/>
        <w:jc w:val="both"/>
        <w:rPr>
          <w:i/>
          <w:i/>
        </w:rPr>
      </w:pPr>
      <w:r>
        <w:rPr>
          <w:i/>
        </w:rPr>
        <w:t>Căn cứ Luật Thương mại số 36/2005/QH11 do Quốc hội ban hành ngày 14/06/2005;</w:t>
      </w:r>
    </w:p>
    <w:p>
      <w:pPr>
        <w:pStyle w:val="ListParagraph"/>
        <w:numPr>
          <w:ilvl w:val="0"/>
          <w:numId w:val="16"/>
        </w:numPr>
        <w:spacing w:lineRule="auto" w:line="360" w:before="120" w:after="0"/>
        <w:contextualSpacing/>
        <w:jc w:val="both"/>
        <w:rPr>
          <w:i/>
          <w:i/>
        </w:rPr>
      </w:pPr>
      <w:r>
        <w:rPr>
          <w:i/>
        </w:rPr>
        <w:t>Căn cứ Luật Dân sự số 91/2015/QH13 ký ngày 24/11/2015 có hiệu lực 1/1/2017;</w:t>
      </w:r>
    </w:p>
    <w:p>
      <w:pPr>
        <w:pStyle w:val="Normal"/>
        <w:numPr>
          <w:ilvl w:val="0"/>
          <w:numId w:val="16"/>
        </w:numPr>
        <w:spacing w:lineRule="auto" w:line="360" w:before="120" w:after="0"/>
        <w:jc w:val="both"/>
        <w:rPr>
          <w:i/>
          <w:i/>
          <w:lang w:val="vi-VN"/>
        </w:rPr>
      </w:pPr>
      <w:r>
        <w:rPr>
          <w:i/>
          <w:lang w:val="vi-VN"/>
        </w:rPr>
        <w:t xml:space="preserve">Căn cứ &lt;Quyết định ủy quyền số </w:t>
      </w:r>
      <w:r>
        <w:rPr>
          <w:i/>
        </w:rPr>
        <w:t>3.24</w:t>
      </w:r>
      <w:r>
        <w:rPr>
          <w:i/>
          <w:lang w:val="vi-VN"/>
        </w:rPr>
        <w:t>/24/</w:t>
      </w:r>
      <w:r>
        <w:rPr>
          <w:i/>
        </w:rPr>
        <w:t>QĐ</w:t>
      </w:r>
      <w:r>
        <w:rPr>
          <w:i/>
          <w:lang w:val="vi-VN"/>
        </w:rPr>
        <w:t>-NTC của Giám Đốc Công ty TNHH Tin</w:t>
      </w:r>
      <w:r>
        <w:rPr>
          <w:i/>
        </w:rPr>
        <w:t xml:space="preserve"> </w:t>
      </w:r>
      <w:r>
        <w:rPr>
          <w:i/>
          <w:lang w:val="vi-VN"/>
        </w:rPr>
        <w:t>học Viễn thông Nhất Tiến Chung ngày 01/01/2024&gt;</w:t>
      </w:r>
    </w:p>
    <w:p>
      <w:pPr>
        <w:pStyle w:val="Normal"/>
        <w:numPr>
          <w:ilvl w:val="0"/>
          <w:numId w:val="16"/>
        </w:numPr>
        <w:spacing w:lineRule="auto" w:line="360" w:before="120" w:after="0"/>
        <w:jc w:val="both"/>
        <w:rPr>
          <w:lang w:val="vi-VN"/>
        </w:rPr>
      </w:pPr>
      <w:r>
        <w:rPr>
          <w:i/>
          <w:lang w:val="vi-VN"/>
        </w:rPr>
        <w:t>Căn cứ nhu cầu và khả năng của hai bên;</w:t>
      </w:r>
    </w:p>
    <w:p>
      <w:pPr>
        <w:pStyle w:val="Normal"/>
        <w:spacing w:lineRule="auto" w:line="312" w:before="120" w:after="0"/>
        <w:jc w:val="both"/>
        <w:rPr>
          <w:i/>
          <w:i/>
        </w:rPr>
      </w:pPr>
      <w:r>
        <w:rPr>
          <w:i/>
        </w:rPr>
      </w:r>
    </w:p>
    <w:p>
      <w:pPr>
        <w:pStyle w:val="Normal"/>
        <w:spacing w:lineRule="auto" w:line="312" w:before="120" w:after="0"/>
        <w:jc w:val="both"/>
        <w:rPr>
          <w:b/>
        </w:rPr>
      </w:pPr>
      <w:r>
        <w:rPr>
          <w:b/>
        </w:rPr>
        <w:t>Hôm nay, ngày 15 tháng 12 năm 2025 , tại Tp. Hồ Chí Minh, chúng tôi gồm:</w:t>
      </w:r>
    </w:p>
    <w:p>
      <w:pPr>
        <w:pStyle w:val="Normal"/>
        <w:tabs>
          <w:tab w:val="clear" w:pos="720"/>
          <w:tab w:val="left" w:pos="1440" w:leader="none"/>
          <w:tab w:val="left" w:pos="2625" w:leader="none"/>
          <w:tab w:val="left" w:pos="4275" w:leader="none"/>
          <w:tab w:val="left" w:pos="7185" w:leader="none"/>
          <w:tab w:val="right" w:pos="9450" w:leader="dot"/>
        </w:tabs>
        <w:spacing w:lineRule="auto" w:line="312" w:before="120" w:after="0"/>
        <w:rPr/>
      </w:pPr>
      <w:r>
        <w:rPr>
          <w:b/>
          <w:u w:val="single"/>
        </w:rPr>
        <w:t>Bên Mua</w:t>
      </w:r>
      <w:r>
        <w:rPr>
          <w:b/>
        </w:rPr>
        <w:tab/>
        <w:t>:</w:t>
      </w:r>
      <w:r>
        <w:rPr/>
        <w:t xml:space="preserve"> </w:t>
      </w:r>
      <w:r>
        <w:rPr>
          <w:b/>
          <w:color w:val="000000"/>
          <w:shd w:fill="FFFFFF" w:val="clear"/>
        </w:rPr>
        <w:t>{{ten_ben_mua}}</w:t>
      </w:r>
    </w:p>
    <w:p>
      <w:pPr>
        <w:pStyle w:val="Normal"/>
        <w:tabs>
          <w:tab w:val="clear" w:pos="720"/>
          <w:tab w:val="left" w:pos="1440" w:leader="none"/>
          <w:tab w:val="left" w:pos="3450" w:leader="none"/>
          <w:tab w:val="left" w:pos="5040" w:leader="none"/>
          <w:tab w:val="left" w:pos="5760" w:leader="dot"/>
          <w:tab w:val="right" w:pos="9450" w:leader="dot"/>
        </w:tabs>
        <w:spacing w:lineRule="auto" w:line="312" w:before="120" w:after="0"/>
        <w:jc w:val="both"/>
        <w:rPr/>
      </w:pPr>
      <w:r>
        <w:rPr/>
        <w:t>Đại diện</w:t>
        <w:tab/>
        <w:t>: {{ten_dai_dien_ben_mua}}</w:t>
      </w:r>
      <w:r>
        <w:rPr>
          <w:b/>
        </w:rPr>
        <w:t xml:space="preserve">   </w:t>
        <w:tab/>
        <w:t xml:space="preserve"> </w:t>
      </w:r>
      <w:r>
        <w:rPr/>
        <w:t>Chức vụ: {{chuc_vu_dai_dien_ben_mua}}</w:t>
      </w:r>
    </w:p>
    <w:p>
      <w:pPr>
        <w:pStyle w:val="Normal"/>
        <w:tabs>
          <w:tab w:val="clear" w:pos="720"/>
          <w:tab w:val="left" w:pos="1440" w:leader="none"/>
          <w:tab w:val="left" w:pos="2985" w:leader="none"/>
          <w:tab w:val="left" w:pos="7170" w:leader="none"/>
          <w:tab w:val="right" w:pos="9450" w:leader="dot"/>
        </w:tabs>
        <w:spacing w:lineRule="auto" w:line="312" w:before="120" w:after="0"/>
        <w:ind w:hanging="1440" w:left="1440"/>
        <w:jc w:val="both"/>
        <w:rPr>
          <w:bCs/>
          <w:i/>
          <w:i/>
          <w:iCs/>
          <w:lang w:val="en-GB"/>
        </w:rPr>
      </w:pPr>
      <w:r>
        <w:rPr/>
        <w:t>Địa chỉ</w:t>
        <w:tab/>
        <w:t xml:space="preserve">: </w:t>
      </w:r>
      <w:r>
        <w:rPr>
          <w:shd w:fill="FFFFFF" w:val="clear"/>
        </w:rPr>
        <w:t>{{dia_chi_ben_mua}}</w:t>
      </w:r>
    </w:p>
    <w:p>
      <w:pPr>
        <w:pStyle w:val="Normal"/>
        <w:tabs>
          <w:tab w:val="clear" w:pos="720"/>
          <w:tab w:val="left" w:pos="1440" w:leader="none"/>
          <w:tab w:val="left" w:pos="2970" w:leader="none"/>
          <w:tab w:val="left" w:pos="5265" w:leader="none"/>
          <w:tab w:val="right" w:pos="9450" w:leader="dot"/>
        </w:tabs>
        <w:spacing w:lineRule="auto" w:line="312" w:before="120" w:after="0"/>
        <w:jc w:val="both"/>
        <w:rPr/>
      </w:pPr>
      <w:r>
        <w:rPr/>
        <w:t>Mã số thuế</w:t>
        <w:tab/>
        <w:t>: {{ma_so_thue_ben_mua}}</w:t>
      </w:r>
    </w:p>
    <w:p>
      <w:pPr>
        <w:pStyle w:val="Normal"/>
        <w:tabs>
          <w:tab w:val="clear" w:pos="720"/>
          <w:tab w:val="left" w:pos="1440" w:leader="none"/>
          <w:tab w:val="left" w:pos="2970" w:leader="none"/>
          <w:tab w:val="left" w:pos="5265" w:leader="none"/>
          <w:tab w:val="right" w:pos="9450" w:leader="dot"/>
        </w:tabs>
        <w:spacing w:lineRule="auto" w:line="312" w:before="120" w:after="0"/>
        <w:jc w:val="both"/>
        <w:rPr/>
      </w:pPr>
      <w:r>
        <w:rPr/>
        <w:t xml:space="preserve">Emai        </w:t>
        <w:tab/>
        <w:t>:  {{email_ben_mua}}</w:t>
      </w:r>
    </w:p>
    <w:p>
      <w:pPr>
        <w:pStyle w:val="Normal"/>
        <w:tabs>
          <w:tab w:val="clear" w:pos="720"/>
          <w:tab w:val="left" w:pos="1440" w:leader="none"/>
          <w:tab w:val="left" w:pos="2970" w:leader="none"/>
          <w:tab w:val="left" w:pos="5265" w:leader="none"/>
          <w:tab w:val="right" w:pos="9450" w:leader="dot"/>
        </w:tabs>
        <w:spacing w:lineRule="auto" w:line="312" w:before="120" w:after="0"/>
        <w:jc w:val="both"/>
        <w:rPr>
          <w:b/>
          <w:u w:val="single"/>
        </w:rPr>
      </w:pPr>
      <w:r>
        <w:rPr>
          <w:b/>
          <w:u w:val="single"/>
        </w:rPr>
      </w:r>
    </w:p>
    <w:p>
      <w:pPr>
        <w:pStyle w:val="Normal"/>
        <w:spacing w:lineRule="auto" w:line="312" w:before="120" w:after="0"/>
        <w:jc w:val="both"/>
        <w:rPr>
          <w:b/>
          <w:bCs/>
          <w:i/>
          <w:i/>
          <w:iCs/>
          <w:sz w:val="22"/>
          <w:szCs w:val="22"/>
        </w:rPr>
      </w:pPr>
      <w:r>
        <w:rPr>
          <w:b/>
          <w:u w:val="single"/>
        </w:rPr>
        <w:t>Bên Bán</w:t>
      </w:r>
      <w:r>
        <w:rPr>
          <w:b/>
        </w:rPr>
        <w:tab/>
        <w:t xml:space="preserve">: </w:t>
      </w:r>
      <w:r>
        <w:rPr>
          <w:b/>
          <w:bCs/>
          <w:iCs/>
        </w:rPr>
        <w:t>CÔNG TY TNHH TIN HỌC VIỄN THÔNG NHẤT TIẾN CHUNG</w:t>
      </w:r>
    </w:p>
    <w:p>
      <w:pPr>
        <w:pStyle w:val="Normal"/>
        <w:spacing w:lineRule="auto" w:line="312" w:before="120" w:after="0"/>
        <w:jc w:val="both"/>
        <w:rPr/>
      </w:pPr>
      <w:r>
        <w:rPr/>
        <w:t>Đại diện</w:t>
        <w:tab/>
        <w:t xml:space="preserve">: Ông </w:t>
      </w:r>
      <w:r>
        <w:rPr>
          <w:b/>
        </w:rPr>
        <w:t>HOÀNG MẠNH TIẾN</w:t>
        <w:tab/>
      </w:r>
      <w:r>
        <w:rPr/>
        <w:t>Chức vụ: Giám Đốc Khu Vực Miền Nam</w:t>
      </w:r>
    </w:p>
    <w:p>
      <w:pPr>
        <w:pStyle w:val="Normal"/>
        <w:spacing w:lineRule="auto" w:line="360" w:before="120" w:after="0"/>
        <w:ind w:hanging="1418" w:left="1418"/>
        <w:jc w:val="both"/>
        <w:rPr/>
      </w:pPr>
      <w:r>
        <w:rPr/>
        <w:t>Địa chỉ</w:t>
        <w:tab/>
        <w:t>: Phòng 1505, Tầng 15, Tòa nhà Vincom Center</w:t>
      </w:r>
    </w:p>
    <w:p>
      <w:pPr>
        <w:pStyle w:val="Normal"/>
        <w:spacing w:lineRule="auto" w:line="312" w:before="120" w:after="0"/>
        <w:ind w:left="1418"/>
        <w:jc w:val="both"/>
        <w:rPr>
          <w:bCs/>
          <w:i/>
          <w:i/>
          <w:lang w:val="en-GB"/>
        </w:rPr>
      </w:pPr>
      <w:r>
        <w:rPr/>
        <w:t xml:space="preserve">  </w:t>
      </w:r>
      <w:r>
        <w:rPr/>
        <w:t>72 Lê Thánh Tôn, Phường Sài Gòn, TP.HCM, Việt Nam.</w:t>
      </w:r>
    </w:p>
    <w:p>
      <w:pPr>
        <w:pStyle w:val="Normal"/>
        <w:spacing w:lineRule="auto" w:line="312" w:before="120" w:after="0"/>
        <w:jc w:val="both"/>
        <w:rPr>
          <w:bCs/>
          <w:i/>
          <w:i/>
          <w:iCs/>
          <w:lang w:val="en-GB"/>
        </w:rPr>
      </w:pPr>
      <w:r>
        <w:rPr/>
        <w:t>Điện thoại</w:t>
        <w:tab/>
        <w:t>: 028 7300 0099</w:t>
        <w:tab/>
        <w:tab/>
        <w:tab/>
      </w:r>
    </w:p>
    <w:p>
      <w:pPr>
        <w:pStyle w:val="Normal"/>
        <w:spacing w:lineRule="auto" w:line="312" w:before="120" w:after="0"/>
        <w:jc w:val="both"/>
        <w:rPr>
          <w:i/>
          <w:i/>
          <w:iCs/>
        </w:rPr>
      </w:pPr>
      <w:r>
        <w:rPr/>
        <w:t>Mã số thuế</w:t>
        <w:tab/>
        <w:t>: 0303781634</w:t>
      </w:r>
      <w:r>
        <w:br w:type="page"/>
      </w:r>
    </w:p>
    <w:p>
      <w:pPr>
        <w:pStyle w:val="Normal"/>
        <w:spacing w:lineRule="auto" w:line="312" w:before="0" w:after="0"/>
        <w:ind w:hanging="0"/>
        <w:jc w:val="both"/>
        <w:rPr>
          <w:i/>
          <w:i/>
          <w:iCs/>
        </w:rPr>
      </w:pPr>
      <w:r>
        <w:rPr>
          <w:i/>
          <w:iCs/>
        </w:rPr>
      </w:r>
    </w:p>
    <w:p>
      <w:pPr>
        <w:pStyle w:val="Normal"/>
        <w:spacing w:lineRule="auto" w:line="312" w:before="0" w:after="120"/>
        <w:jc w:val="both"/>
        <w:rPr>
          <w:b/>
          <w:i/>
          <w:i/>
          <w:iCs/>
        </w:rPr>
      </w:pPr>
      <w:r>
        <w:rPr>
          <w:b/>
        </w:rPr>
        <w:t xml:space="preserve">Điều 1: Hàng hóa và Giá trị Hợp đồng </w:t>
      </w:r>
    </w:p>
    <w:p>
      <w:pPr>
        <w:pStyle w:val="BodyText2"/>
        <w:spacing w:lineRule="auto" w:line="312" w:before="120" w:after="120"/>
        <w:jc w:val="both"/>
        <w:rPr>
          <w:rFonts w:ascii="Times New Roman" w:hAnsi="Times New Roman" w:cs="Times New Roman"/>
          <w:sz w:val="24"/>
          <w:szCs w:val="24"/>
          <w:lang w:val="vi-VN"/>
        </w:rPr>
      </w:pPr>
      <w:r>
        <w:rPr>
          <w:rFonts w:cs="Times New Roman" w:ascii="Times New Roman" w:hAnsi="Times New Roman"/>
          <w:sz w:val="24"/>
          <w:szCs w:val="24"/>
        </w:rPr>
        <w:t>Bên Bán đồng ý bán cho bên Mua các các thiết bị</w:t>
      </w:r>
      <w:r>
        <w:rPr>
          <w:rFonts w:cs="Times New Roman" w:ascii="Times New Roman" w:hAnsi="Times New Roman"/>
          <w:sz w:val="24"/>
          <w:szCs w:val="24"/>
          <w:lang w:val="en-GB"/>
        </w:rPr>
        <w:t xml:space="preserve"> </w:t>
      </w:r>
      <w:r>
        <w:rPr>
          <w:rFonts w:cs="Times New Roman" w:ascii="Times New Roman" w:hAnsi="Times New Roman"/>
          <w:sz w:val="24"/>
          <w:szCs w:val="24"/>
        </w:rPr>
        <w:t>(gọi tắt là Hàng hóa) có chi tiết, qui cách,</w:t>
      </w:r>
      <w:r>
        <w:rPr>
          <w:rFonts w:cs="Times New Roman" w:ascii="Times New Roman" w:hAnsi="Times New Roman"/>
          <w:sz w:val="24"/>
          <w:szCs w:val="24"/>
          <w:lang w:val="vi-VN"/>
        </w:rPr>
        <w:t xml:space="preserve"> theo </w:t>
      </w:r>
      <w:r>
        <w:rPr>
          <w:rFonts w:cs="Times New Roman" w:ascii="Times New Roman" w:hAnsi="Times New Roman"/>
          <w:sz w:val="24"/>
          <w:szCs w:val="24"/>
        </w:rPr>
        <w:t>ch</w:t>
      </w:r>
      <w:r>
        <w:rPr>
          <w:rFonts w:cs="Times New Roman" w:ascii="Times New Roman" w:hAnsi="Times New Roman"/>
          <w:sz w:val="24"/>
          <w:szCs w:val="24"/>
          <w:lang w:val="vi-VN"/>
        </w:rPr>
        <w:t>ủng loại, số lượng</w:t>
      </w:r>
      <w:r>
        <w:rPr>
          <w:rFonts w:eastAsia="MS Mincho" w:cs="Times New Roman" w:ascii="Times New Roman" w:hAnsi="Times New Roman"/>
          <w:sz w:val="24"/>
          <w:szCs w:val="24"/>
          <w:lang w:val="vi-VN"/>
        </w:rPr>
        <w:t xml:space="preserve"> </w:t>
      </w:r>
      <w:r>
        <w:rPr>
          <w:rFonts w:eastAsia="MS Mincho" w:cs="Times New Roman" w:ascii="Times New Roman" w:hAnsi="Times New Roman"/>
          <w:sz w:val="24"/>
          <w:szCs w:val="24"/>
        </w:rPr>
        <w:t xml:space="preserve">như </w:t>
      </w:r>
      <w:r>
        <w:rPr>
          <w:rFonts w:cs="Times New Roman" w:ascii="Times New Roman" w:hAnsi="Times New Roman"/>
          <w:sz w:val="24"/>
          <w:szCs w:val="24"/>
          <w:lang w:val="vi-VN"/>
        </w:rPr>
        <w:t>sau: {% set __summary = namespace(__tong=0) %}</w:t>
      </w:r>
    </w:p>
    <w:tbl>
      <w:tblPr>
        <w:tblW w:w="9510"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1882"/>
        <w:gridCol w:w="1901"/>
        <w:gridCol w:w="1884"/>
        <w:gridCol w:w="1899"/>
        <w:gridCol w:w="1944"/>
      </w:tblGrid>
      <w:tr>
        <w:trPr/>
        <w:tc>
          <w:tcPr>
            <w:tcW w:w="1882" w:type="dxa"/>
            <w:tcBorders>
              <w:top w:val="single" w:sz="4" w:space="0" w:color="000000"/>
              <w:left w:val="single" w:sz="4" w:space="0" w:color="000000"/>
              <w:bottom w:val="single" w:sz="4" w:space="0" w:color="000000"/>
            </w:tcBorders>
          </w:tcPr>
          <w:p>
            <w:pPr>
              <w:pStyle w:val="Normal"/>
              <w:suppressAutoHyphens w:val="false"/>
              <w:jc w:val="center"/>
              <w:rPr>
                <w:b/>
                <w:bCs/>
                <w:lang w:eastAsia="en-US"/>
              </w:rPr>
            </w:pPr>
            <w:r>
              <w:rPr>
                <w:b/>
                <w:bCs/>
                <w:lang w:eastAsia="en-US"/>
              </w:rPr>
              <w:t>PRODUCTS</w:t>
            </w:r>
          </w:p>
        </w:tc>
        <w:tc>
          <w:tcPr>
            <w:tcW w:w="1901"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UNIT</w:t>
            </w:r>
          </w:p>
        </w:tc>
        <w:tc>
          <w:tcPr>
            <w:tcW w:w="1884"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PRICES (VND)</w:t>
            </w:r>
          </w:p>
        </w:tc>
        <w:tc>
          <w:tcPr>
            <w:tcW w:w="1899"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QTY</w:t>
            </w:r>
          </w:p>
        </w:tc>
        <w:tc>
          <w:tcPr>
            <w:tcW w:w="1944" w:type="dxa"/>
            <w:tcBorders>
              <w:top w:val="single" w:sz="4" w:space="0" w:color="000000"/>
              <w:left w:val="single" w:sz="4" w:space="0" w:color="000000"/>
              <w:bottom w:val="single" w:sz="4" w:space="0" w:color="000000"/>
              <w:right w:val="single" w:sz="4" w:space="0" w:color="000000"/>
            </w:tcBorders>
          </w:tcPr>
          <w:p>
            <w:pPr>
              <w:pStyle w:val="Normal"/>
              <w:suppressAutoHyphens w:val="false"/>
              <w:jc w:val="center"/>
              <w:rPr>
                <w:b/>
                <w:bCs/>
                <w:sz w:val="20"/>
                <w:szCs w:val="20"/>
                <w:lang w:eastAsia="en-US"/>
              </w:rPr>
            </w:pPr>
            <w:r>
              <w:rPr>
                <w:b/>
                <w:bCs/>
                <w:sz w:val="20"/>
                <w:szCs w:val="20"/>
                <w:lang w:eastAsia="en-US"/>
              </w:rPr>
              <w:t>TOTAL (VND)</w:t>
            </w:r>
          </w:p>
        </w:tc>
      </w:tr>
      <w:tr>
        <w:trPr/>
        <w:tc>
          <w:tcPr>
            <w:tcW w:w="9510" w:type="dxa"/>
            <w:gridSpan w:val="5"/>
            <w:tcBorders>
              <w:left w:val="single" w:sz="4" w:space="0" w:color="000000"/>
              <w:bottom w:val="single" w:sz="4" w:space="0" w:color="000000"/>
              <w:right w:val="single" w:sz="4" w:space="0" w:color="000000"/>
            </w:tcBorders>
            <w:shd w:fill="FFFF00" w:val="clear"/>
          </w:tcPr>
          <w:p>
            <w:pPr>
              <w:pStyle w:val="Normal"/>
              <w:suppressAutoHyphens w:val="false"/>
              <w:spacing w:lineRule="auto" w:line="240"/>
              <w:jc w:val="center"/>
              <w:rPr>
                <w:sz w:val="24"/>
                <w:szCs w:val="24"/>
              </w:rPr>
            </w:pPr>
            <w:r>
              <w:rPr>
                <w:sz w:val="24"/>
                <w:szCs w:val="24"/>
              </w:rPr>
              <w:t>{% for p in danh_sach_sp %}</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p.ten_sp }}</w:t>
            </w:r>
          </w:p>
        </w:tc>
        <w:tc>
          <w:tcPr>
            <w:tcW w:w="1901"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{{p.don_vi_tinh}}</w:t>
            </w:r>
          </w:p>
        </w:tc>
        <w:tc>
          <w:tcPr>
            <w:tcW w:w="1884"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{{p.gia_tien}}</w:t>
            </w:r>
          </w:p>
        </w:tc>
        <w:tc>
          <w:tcPr>
            <w:tcW w:w="1899"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{{p.so_luong}}</w:t>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pPr>
            <w:r>
              <w:rPr>
                <w:b w:val="false"/>
                <w:bCs w:val="false"/>
                <w:color w:val="000000"/>
                <w:sz w:val="22"/>
                <w:szCs w:val="22"/>
                <w:lang w:eastAsia="en-US"/>
              </w:rPr>
              <w:t>{{ p.gia_tien * p.so_luong }} VND {% set __summary.__tong = __summary.__tong + (p.gia_tien * p.so_luong) %}</w:t>
            </w:r>
          </w:p>
        </w:tc>
      </w:tr>
      <w:tr>
        <w:trPr/>
        <w:tc>
          <w:tcPr>
            <w:tcW w:w="9510" w:type="dxa"/>
            <w:gridSpan w:val="5"/>
            <w:tcBorders>
              <w:left w:val="single" w:sz="4" w:space="0" w:color="000000"/>
              <w:bottom w:val="single" w:sz="4" w:space="0" w:color="000000"/>
              <w:right w:val="single" w:sz="4" w:space="0" w:color="000000"/>
            </w:tcBorders>
            <w:shd w:fill="FFFF00" w:val="clear"/>
          </w:tcPr>
          <w:p>
            <w:pPr>
              <w:pStyle w:val="Normal"/>
              <w:suppressAutoHyphens w:val="false"/>
              <w:spacing w:lineRule="auto" w:line="240"/>
              <w:jc w:val="center"/>
              <w:rPr>
                <w:sz w:val="24"/>
                <w:szCs w:val="24"/>
              </w:rPr>
            </w:pPr>
            <w:r>
              <w:rPr>
                <w:b w:val="false"/>
                <w:bCs w:val="false"/>
                <w:sz w:val="24"/>
                <w:szCs w:val="24"/>
              </w:rPr>
              <w:t>{% endfor %}</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Total</w:t>
            </w:r>
          </w:p>
        </w:tc>
        <w:tc>
          <w:tcPr>
            <w:tcW w:w="1901"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84"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99"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pPr>
            <w:r>
              <w:rPr>
                <w:b w:val="false"/>
                <w:bCs w:val="false"/>
                <w:color w:val="000000"/>
                <w:sz w:val="22"/>
                <w:szCs w:val="22"/>
                <w:lang w:eastAsia="en-US"/>
              </w:rPr>
              <w:t xml:space="preserve">{{ __summary.__tong </w:t>
            </w:r>
            <w:r>
              <w:rPr>
                <w:color w:val="000000"/>
                <w:sz w:val="22"/>
                <w:szCs w:val="22"/>
                <w:lang w:eastAsia="en-US"/>
              </w:rPr>
              <w:t>| currency</w:t>
            </w:r>
            <w:r>
              <w:rPr>
                <w:b w:val="false"/>
                <w:bCs w:val="false"/>
                <w:color w:val="000000"/>
                <w:sz w:val="22"/>
                <w:szCs w:val="22"/>
                <w:lang w:eastAsia="en-US"/>
              </w:rPr>
              <w:t>}} VND</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VAT {{phan_tram_thue}} %</w:t>
            </w:r>
          </w:p>
        </w:tc>
        <w:tc>
          <w:tcPr>
            <w:tcW w:w="1901"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84"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99"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val="false"/>
                <w:bCs w:val="false"/>
              </w:rPr>
            </w:pPr>
            <w:r>
              <w:rPr>
                <w:b w:val="false"/>
                <w:bCs w:val="false"/>
                <w:color w:val="000000"/>
                <w:sz w:val="22"/>
                <w:szCs w:val="22"/>
                <w:lang w:eastAsia="en-US"/>
              </w:rPr>
              <w:t>{{(__summary.__tong * phan_tram_thue / 100) | currency }} VND</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Total with VAT</w:t>
            </w:r>
          </w:p>
        </w:tc>
        <w:tc>
          <w:tcPr>
            <w:tcW w:w="1901"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84"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99"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val="false"/>
                <w:bCs w:val="false"/>
              </w:rPr>
            </w:pPr>
            <w:r>
              <w:rPr>
                <w:b w:val="false"/>
                <w:bCs w:val="false"/>
                <w:color w:val="000000"/>
                <w:sz w:val="22"/>
                <w:szCs w:val="22"/>
                <w:lang w:val="en-GB" w:eastAsia="en-US"/>
              </w:rPr>
              <w:t>{{(__summary.__tong - (__summary.__tong * phan_tram_thue / 100)) | currency}}</w:t>
            </w:r>
            <w:r>
              <w:rPr>
                <w:b w:val="false"/>
                <w:bCs w:val="false"/>
                <w:color w:val="000000"/>
                <w:sz w:val="22"/>
                <w:szCs w:val="22"/>
                <w:lang w:eastAsia="en-US"/>
              </w:rPr>
              <w:t xml:space="preserve"> VND</w:t>
            </w:r>
          </w:p>
        </w:tc>
      </w:tr>
    </w:tbl>
    <w:p>
      <w:pPr>
        <w:pStyle w:val="BodyText2"/>
        <w:spacing w:lineRule="auto" w:line="312" w:before="120" w:after="120"/>
        <w:jc w:val="both"/>
        <w:rPr>
          <w:rFonts w:ascii="Times New Roman" w:hAnsi="Times New Roman" w:cs="Times New Roman"/>
          <w:sz w:val="24"/>
          <w:szCs w:val="24"/>
          <w:lang w:val="vi-VN"/>
        </w:rPr>
      </w:pPr>
      <w:r>
        <w:rPr>
          <w:rFonts w:cs="Times New Roman" w:ascii="Times New Roman" w:hAnsi="Times New Roman"/>
          <w:sz w:val="24"/>
          <w:szCs w:val="24"/>
          <w:lang w:val="vi-VN"/>
        </w:rPr>
      </w:r>
    </w:p>
    <w:p>
      <w:pPr>
        <w:pStyle w:val="BodyText2"/>
        <w:spacing w:lineRule="auto" w:line="312" w:before="120" w:after="120"/>
        <w:jc w:val="both"/>
        <w:rPr>
          <w:i/>
          <w:i/>
          <w:iCs/>
          <w:lang w:val="vi-VN"/>
        </w:rPr>
      </w:pPr>
      <w:r>
        <w:rPr>
          <w:rFonts w:cs="Times New Roman" w:ascii="Times New Roman" w:hAnsi="Times New Roman"/>
          <w:sz w:val="24"/>
          <w:szCs w:val="24"/>
          <w:lang w:val="en-GB"/>
        </w:rPr>
        <w:t xml:space="preserve">Giá trị hợp đồng </w:t>
      </w:r>
      <w:r>
        <w:rPr>
          <w:sz w:val="24"/>
          <w:szCs w:val="24"/>
          <w:lang w:val="en-GB"/>
        </w:rPr>
        <w:t xml:space="preserve">: </w:t>
      </w:r>
      <w:r>
        <w:rPr>
          <w:b/>
          <w:bCs/>
          <w:color w:val="000000"/>
          <w:sz w:val="22"/>
          <w:szCs w:val="22"/>
          <w:lang w:val="en-GB" w:eastAsia="en-US"/>
        </w:rPr>
        <w:t xml:space="preserve">{{(__summary.__tong - (__summary.__tong * phan_tram_thue / 100)) </w:t>
      </w:r>
      <w:r>
        <w:rPr>
          <w:b w:val="false"/>
          <w:bCs w:val="false"/>
          <w:color w:val="000000"/>
          <w:sz w:val="22"/>
          <w:szCs w:val="22"/>
          <w:lang w:val="en-GB" w:eastAsia="en-US"/>
        </w:rPr>
        <w:t>| currency</w:t>
      </w:r>
      <w:r>
        <w:rPr>
          <w:b/>
          <w:bCs/>
          <w:color w:val="000000"/>
          <w:sz w:val="22"/>
          <w:szCs w:val="22"/>
          <w:lang w:val="en-GB" w:eastAsia="en-US"/>
        </w:rPr>
        <w:t>}}</w:t>
      </w:r>
      <w:r>
        <w:rPr>
          <w:rFonts w:cs="Times New Roman" w:ascii="Times New Roman" w:hAnsi="Times New Roman"/>
          <w:b/>
          <w:bCs/>
          <w:color w:val="000000"/>
          <w:sz w:val="24"/>
          <w:szCs w:val="24"/>
          <w:lang w:eastAsia="en-US"/>
        </w:rPr>
        <w:t xml:space="preserve"> VND</w:t>
      </w:r>
      <w:r>
        <w:rPr>
          <w:rFonts w:cs="Times New Roman" w:ascii="Times New Roman" w:hAnsi="Times New Roman"/>
          <w:b/>
          <w:sz w:val="24"/>
          <w:szCs w:val="24"/>
          <w:lang w:val="en-GB"/>
        </w:rPr>
        <w:t xml:space="preserve"> – đã bao gồm VAT </w:t>
      </w:r>
      <w:r>
        <w:rPr>
          <w:rFonts w:cs="Times New Roman" w:ascii="Times New Roman" w:hAnsi="Times New Roman"/>
          <w:b/>
          <w:bCs/>
          <w:sz w:val="24"/>
          <w:szCs w:val="24"/>
          <w:lang w:val="en-GB"/>
        </w:rPr>
        <w:t>{{</w:t>
      </w:r>
      <w:r>
        <w:rPr>
          <w:rFonts w:cs="Times New Roman" w:ascii="Times New Roman" w:hAnsi="Times New Roman"/>
          <w:b/>
          <w:bCs/>
          <w:color w:val="000000"/>
          <w:sz w:val="22"/>
          <w:szCs w:val="22"/>
          <w:lang w:val="en-GB" w:eastAsia="en-US"/>
        </w:rPr>
        <w:t>phan_tram_thue</w:t>
      </w:r>
      <w:r>
        <w:rPr>
          <w:rFonts w:cs="Times New Roman" w:ascii="Times New Roman" w:hAnsi="Times New Roman"/>
          <w:b/>
          <w:bCs/>
          <w:sz w:val="24"/>
          <w:szCs w:val="24"/>
          <w:lang w:val="en-GB"/>
        </w:rPr>
        <w:t>}}%</w:t>
      </w:r>
    </w:p>
    <w:p>
      <w:pPr>
        <w:pStyle w:val="Normal"/>
        <w:spacing w:lineRule="auto" w:line="312" w:before="120" w:after="120"/>
        <w:jc w:val="both"/>
        <w:rPr>
          <w:i/>
          <w:i/>
          <w:lang w:val="vi-VN"/>
        </w:rPr>
      </w:pPr>
      <w:r>
        <w:rPr>
          <w:b/>
          <w:i/>
          <w:lang w:val="vi-VN"/>
        </w:rPr>
        <w:t xml:space="preserve"> </w:t>
      </w:r>
      <w:r>
        <w:rPr>
          <w:b/>
          <w:i/>
          <w:lang w:val="vi-VN"/>
        </w:rPr>
        <w:t>(</w:t>
      </w:r>
      <w:r>
        <w:rPr>
          <w:i/>
          <w:lang w:val="vi-VN"/>
        </w:rPr>
        <w:t xml:space="preserve">Bằng chữ: </w:t>
      </w:r>
      <w:r>
        <w:rPr>
          <w:b/>
          <w:bCs/>
          <w:i/>
          <w:color w:val="000000"/>
          <w:sz w:val="22"/>
          <w:szCs w:val="22"/>
          <w:lang w:val="en-GB" w:eastAsia="en-US"/>
        </w:rPr>
        <w:t xml:space="preserve">{{(__summary.__tong - (__summary.__tong * phan_tram_thue / 100)) | to_vietnamese_words}} VIỆT NAM ĐỒNG </w:t>
      </w:r>
      <w:r>
        <w:rPr>
          <w:i/>
        </w:rPr>
        <w:t>./</w:t>
      </w:r>
      <w:r>
        <w:rPr>
          <w:i/>
          <w:lang w:val="vi-VN"/>
        </w:rPr>
        <w:t>.)</w:t>
      </w:r>
    </w:p>
    <w:p>
      <w:pPr>
        <w:pStyle w:val="Normal"/>
        <w:spacing w:lineRule="auto" w:line="312" w:before="120" w:after="120"/>
        <w:jc w:val="both"/>
        <w:rPr>
          <w:b/>
          <w:i/>
          <w:i/>
          <w:iCs/>
          <w:lang w:val="vi-VN"/>
        </w:rPr>
      </w:pPr>
      <w:r>
        <w:rPr>
          <w:b/>
          <w:lang w:val="vi-VN"/>
        </w:rPr>
        <w:t>Điều 2: Thanh toán</w:t>
      </w:r>
    </w:p>
    <w:p>
      <w:pPr>
        <w:pStyle w:val="Normal"/>
        <w:numPr>
          <w:ilvl w:val="0"/>
          <w:numId w:val="5"/>
        </w:numPr>
        <w:spacing w:lineRule="auto" w:line="312" w:before="120" w:after="120"/>
        <w:ind w:hanging="709" w:left="709"/>
        <w:jc w:val="both"/>
        <w:rPr>
          <w:rFonts w:eastAsia="MS Mincho"/>
          <w:i/>
          <w:i/>
          <w:iCs/>
          <w:lang w:val="vi-VN"/>
        </w:rPr>
      </w:pPr>
      <w:r>
        <w:rPr>
          <w:lang w:val="vi-VN"/>
        </w:rPr>
        <w:t xml:space="preserve">Bên Mua có nghĩa vụ thanh toán cho Bên Bán theo quy định sau: </w:t>
      </w:r>
    </w:p>
    <w:p>
      <w:pPr>
        <w:pStyle w:val="Normal"/>
        <w:spacing w:lineRule="auto" w:line="312" w:before="120" w:after="120"/>
        <w:ind w:left="720"/>
        <w:rPr>
          <w:rFonts w:eastAsia="Symbol"/>
          <w:lang w:val="vi-VN"/>
        </w:rPr>
      </w:pPr>
      <w:r>
        <w:rPr>
          <w:rFonts w:eastAsia="Symbol"/>
          <w:lang w:val="vi-VN"/>
        </w:rPr>
        <w:t>Lần 1: Thanh toán cho Bên Bán [</w:t>
      </w:r>
      <w:r>
        <w:rPr>
          <w:rFonts w:eastAsia="Symbol"/>
        </w:rPr>
        <w:t>5</w:t>
      </w:r>
      <w:r>
        <w:rPr>
          <w:rFonts w:eastAsia="Symbol"/>
          <w:lang w:val="vi-VN"/>
        </w:rPr>
        <w:t>0]% giá trị Hợp đồng sau thuế VAT (</w:t>
      </w:r>
      <w:r>
        <w:rPr>
          <w:rFonts w:eastAsia="Symbol"/>
          <w:b w:val="false"/>
          <w:bCs w:val="false"/>
          <w:color w:val="000000"/>
          <w:sz w:val="22"/>
          <w:szCs w:val="22"/>
          <w:lang w:val="en-GB" w:eastAsia="en-US"/>
        </w:rPr>
        <w:t>{{((__summary.__tong - (__summary.__tong * phan_tram_thue / 100)) / 2) | currency}}</w:t>
      </w:r>
      <w:r>
        <w:rPr>
          <w:rFonts w:eastAsia="Symbol"/>
          <w:lang w:val="vi-VN"/>
        </w:rPr>
        <w:t xml:space="preserve"> VND) trong vòng [03] ngày làm việc kể từ ngày ký hợp đồng.</w:t>
      </w:r>
    </w:p>
    <w:p>
      <w:pPr>
        <w:pStyle w:val="Normal"/>
        <w:spacing w:lineRule="auto" w:line="312" w:before="120" w:after="120"/>
        <w:ind w:left="720"/>
        <w:rPr>
          <w:rFonts w:eastAsia="Symbol"/>
          <w:lang w:val="vi-VN"/>
        </w:rPr>
      </w:pPr>
      <w:r>
        <w:rPr>
          <w:rFonts w:eastAsia="Symbol"/>
          <w:lang w:val="vi-VN"/>
        </w:rPr>
        <w:t>Lần 2: Thanh toán [50]% giá trị Hợp đồng (</w:t>
      </w:r>
      <w:r>
        <w:rPr>
          <w:rFonts w:eastAsia="Symbol"/>
          <w:b w:val="false"/>
          <w:bCs w:val="false"/>
          <w:color w:val="000000"/>
          <w:sz w:val="22"/>
          <w:szCs w:val="22"/>
          <w:lang w:val="en-GB" w:eastAsia="en-US"/>
        </w:rPr>
        <w:t>{{((__summary.__tong - (__summary.__tong * phan_tram_thue / 100)) / 2) | currency}}</w:t>
      </w:r>
      <w:r>
        <w:rPr>
          <w:b/>
          <w:bCs/>
          <w:color w:val="000000"/>
          <w:lang w:eastAsia="en-US"/>
        </w:rPr>
        <w:t xml:space="preserve"> </w:t>
      </w:r>
      <w:r>
        <w:rPr>
          <w:rFonts w:eastAsia="Symbol"/>
          <w:lang w:val="vi-VN"/>
        </w:rPr>
        <w:t>VND) trong vòng [14] ngày kể từ ngày Bên Mua nhận đầy đủ hàng hóa và Hóa đơn tài chính</w:t>
      </w:r>
    </w:p>
    <w:p>
      <w:pPr>
        <w:pStyle w:val="Normal"/>
        <w:spacing w:lineRule="auto" w:line="312" w:before="120" w:after="120"/>
        <w:ind w:hanging="709" w:left="709"/>
        <w:jc w:val="both"/>
        <w:rPr>
          <w:lang w:val="vi-VN"/>
        </w:rPr>
      </w:pPr>
      <w:r>
        <w:rPr/>
        <w:t>2.2</w:t>
        <w:tab/>
      </w:r>
      <w:r>
        <w:rPr>
          <w:lang w:val="vi-VN"/>
        </w:rPr>
        <w:t>Hình thức thanh toán: chuyển khoản tài khoản của Bên bán được nêu dưới đây:</w:t>
      </w:r>
    </w:p>
    <w:p>
      <w:pPr>
        <w:pStyle w:val="Normal"/>
        <w:spacing w:lineRule="auto" w:line="276" w:before="120" w:after="120"/>
        <w:ind w:left="720"/>
        <w:rPr>
          <w:b/>
          <w:lang w:val="vi-VN"/>
        </w:rPr>
      </w:pPr>
      <w:r>
        <w:rPr>
          <w:b/>
          <w:lang w:val="vi-VN"/>
        </w:rPr>
        <w:t>BIDV</w:t>
      </w:r>
    </w:p>
    <w:p>
      <w:pPr>
        <w:pStyle w:val="Normal"/>
        <w:spacing w:lineRule="auto" w:line="276" w:before="120" w:after="120"/>
        <w:ind w:left="720"/>
        <w:rPr>
          <w:lang w:val="vi-VN"/>
        </w:rPr>
      </w:pPr>
      <w:r>
        <w:rPr>
          <w:lang w:val="vi-VN"/>
        </w:rPr>
        <w:t>Tên TK: CÔNG TY TNHH TIN HỌC VIỄN THÔNG NHẤT TIẾN CHUNG</w:t>
      </w:r>
    </w:p>
    <w:p>
      <w:pPr>
        <w:pStyle w:val="Normal"/>
        <w:spacing w:lineRule="auto" w:line="276" w:before="120" w:after="120"/>
        <w:ind w:left="720"/>
        <w:rPr>
          <w:sz w:val="22"/>
          <w:szCs w:val="22"/>
        </w:rPr>
      </w:pPr>
      <w:r>
        <w:rPr>
          <w:lang w:val="vi-VN"/>
        </w:rPr>
        <w:t>STK: 1410333332 tại Ngân hàng TMCP Đầu tư và Phát triển Việt Nam - CN Chợ Lớn.</w:t>
      </w:r>
    </w:p>
    <w:p>
      <w:pPr>
        <w:pStyle w:val="Normal"/>
        <w:spacing w:lineRule="auto" w:line="312" w:before="120" w:after="120"/>
        <w:jc w:val="both"/>
        <w:rPr>
          <w:i/>
          <w:i/>
          <w:iCs/>
          <w:lang w:val="vi-VN"/>
        </w:rPr>
      </w:pPr>
      <w:r>
        <w:rPr/>
        <w:t>2.3</w:t>
        <w:tab/>
      </w:r>
      <w:r>
        <w:rPr>
          <w:lang w:val="vi-VN"/>
        </w:rPr>
        <w:t>Đồng tiền thanh toán: tiền đồng Việt Nam.</w:t>
      </w:r>
    </w:p>
    <w:p>
      <w:pPr>
        <w:pStyle w:val="Normal"/>
        <w:spacing w:lineRule="auto" w:line="312" w:before="120" w:after="120"/>
        <w:jc w:val="both"/>
        <w:rPr>
          <w:b/>
          <w:i/>
          <w:i/>
          <w:iCs/>
          <w:lang w:val="vi-VN"/>
        </w:rPr>
      </w:pPr>
      <w:r>
        <w:rPr>
          <w:b/>
          <w:lang w:val="vi-VN"/>
        </w:rPr>
        <w:t xml:space="preserve">Điều 3:  Địa điểm, thời hạn giao nhận hàng hóa, lắp đặt và hướng dẫn sử dụng </w:t>
      </w:r>
    </w:p>
    <w:p>
      <w:pPr>
        <w:pStyle w:val="ListParagraph"/>
        <w:numPr>
          <w:ilvl w:val="0"/>
          <w:numId w:val="4"/>
        </w:numPr>
        <w:spacing w:lineRule="auto" w:line="312" w:before="120" w:after="120"/>
        <w:ind w:hanging="720" w:left="720"/>
        <w:jc w:val="both"/>
        <w:rPr>
          <w:i/>
          <w:i/>
          <w:iCs/>
          <w:lang w:val="vi-VN"/>
        </w:rPr>
      </w:pPr>
      <w:r>
        <w:rPr>
          <w:lang w:val="vi-VN"/>
        </w:rPr>
        <w:t>Địa điểm giao, nhận Hàng hóa: tại kho của Bên Mua hoặc theo địa chỉ hai Bên đã thỏa thuận</w:t>
      </w:r>
      <w:r>
        <w:rPr>
          <w:b/>
          <w:lang w:val="vi-VN"/>
        </w:rPr>
        <w:t>.</w:t>
      </w:r>
    </w:p>
    <w:p>
      <w:pPr>
        <w:pStyle w:val="ListParagraph"/>
        <w:numPr>
          <w:ilvl w:val="0"/>
          <w:numId w:val="4"/>
        </w:numPr>
        <w:spacing w:lineRule="auto" w:line="312" w:before="120" w:after="120"/>
        <w:ind w:hanging="720" w:left="720"/>
        <w:jc w:val="both"/>
        <w:rPr>
          <w:rFonts w:eastAsia="MS Mincho"/>
          <w:i/>
          <w:i/>
          <w:iCs/>
          <w:lang w:val="vi-VN"/>
        </w:rPr>
      </w:pPr>
      <w:r>
        <w:rPr>
          <w:lang w:val="vi-VN"/>
        </w:rPr>
        <w:t xml:space="preserve">Thời hạn giao hàng: Hàng hóa được giao trong vòng </w:t>
      </w:r>
      <w:r>
        <w:rPr/>
        <w:t>01 - 03 ngày làm việc k</w:t>
      </w:r>
      <w:r>
        <w:rPr>
          <w:lang w:val="vi-VN"/>
        </w:rPr>
        <w:t>ể từ ngày hợp đồng có hiệu lực</w:t>
      </w:r>
      <w:r>
        <w:rPr/>
        <w:t xml:space="preserve"> và Bên Bán nhận được thanh toán lần 1</w:t>
      </w:r>
      <w:r>
        <w:rPr>
          <w:lang w:val="vi-VN"/>
        </w:rPr>
        <w:t>. Trước khi giao hàng, Bên Bán có nghĩa vụ thông báo trước cho Bên Mua ít nhất 01 ngày để Bên Mua chuẩn bị cho việc nhận hàng.</w:t>
      </w:r>
    </w:p>
    <w:p>
      <w:pPr>
        <w:pStyle w:val="ListParagraph"/>
        <w:numPr>
          <w:ilvl w:val="0"/>
          <w:numId w:val="4"/>
        </w:numPr>
        <w:spacing w:lineRule="auto" w:line="312" w:before="120" w:after="120"/>
        <w:ind w:hanging="720" w:left="720"/>
        <w:jc w:val="both"/>
        <w:rPr>
          <w:rFonts w:eastAsia="MS Mincho"/>
          <w:i/>
          <w:i/>
          <w:iCs/>
          <w:lang w:val="vi-VN"/>
        </w:rPr>
      </w:pPr>
      <w:r>
        <w:rPr>
          <w:rFonts w:eastAsia="MS Mincho"/>
          <w:lang w:val="vi-VN"/>
        </w:rPr>
        <w:t>Trường hợp giao Hàng hóa nhiều lần: Mỗi đợt giao Hàng hóa hai bên làm Biên bản giao nhận  tương ứng. Biên bản giao nhận Hàng hóa và hóa đơn tài chính của mỗi lô Hàng hóa là căn cứ để tính giá trị hợp đồng trên thực tế.</w:t>
      </w:r>
    </w:p>
    <w:p>
      <w:pPr>
        <w:pStyle w:val="ListParagraph"/>
        <w:numPr>
          <w:ilvl w:val="0"/>
          <w:numId w:val="4"/>
        </w:numPr>
        <w:spacing w:lineRule="auto" w:line="312" w:before="120" w:after="120"/>
        <w:ind w:hanging="720" w:left="720"/>
        <w:jc w:val="both"/>
        <w:rPr>
          <w:i/>
          <w:i/>
          <w:iCs/>
          <w:lang w:val="vi-VN"/>
        </w:rPr>
      </w:pPr>
      <w:r>
        <w:rPr>
          <w:lang w:val="vi-VN"/>
        </w:rPr>
        <w:t>Hàng hoá được giao cùng các tài liệu sau:</w:t>
      </w:r>
    </w:p>
    <w:p>
      <w:pPr>
        <w:pStyle w:val="ListParagraph"/>
        <w:numPr>
          <w:ilvl w:val="0"/>
          <w:numId w:val="13"/>
        </w:numPr>
        <w:spacing w:lineRule="auto" w:line="312" w:before="120" w:after="120"/>
        <w:ind w:hanging="720" w:left="720"/>
        <w:jc w:val="both"/>
        <w:rPr>
          <w:i/>
          <w:i/>
          <w:iCs/>
          <w:lang w:val="vi-VN"/>
        </w:rPr>
      </w:pPr>
      <w:r>
        <w:rPr>
          <w:lang w:val="vi-VN"/>
        </w:rPr>
        <w:t>Biên bản bàn giao hàng hoá có chữ ký đại diện của hai bên;</w:t>
      </w:r>
    </w:p>
    <w:p>
      <w:pPr>
        <w:pStyle w:val="ListParagraph"/>
        <w:numPr>
          <w:ilvl w:val="0"/>
          <w:numId w:val="13"/>
        </w:numPr>
        <w:spacing w:lineRule="auto" w:line="312" w:before="120" w:after="120"/>
        <w:ind w:hanging="720" w:left="720"/>
        <w:jc w:val="both"/>
        <w:rPr>
          <w:rFonts w:eastAsia="MS Mincho"/>
          <w:i/>
          <w:i/>
          <w:iCs/>
          <w:lang w:val="vi-VN"/>
        </w:rPr>
      </w:pPr>
      <w:r>
        <w:rPr>
          <w:lang w:val="vi-VN"/>
        </w:rPr>
        <w:t>Hoá đơn tài chính hợp lệ;</w:t>
      </w:r>
    </w:p>
    <w:p>
      <w:pPr>
        <w:pStyle w:val="ListParagraph"/>
        <w:numPr>
          <w:ilvl w:val="0"/>
          <w:numId w:val="13"/>
        </w:numPr>
        <w:spacing w:lineRule="auto" w:line="312" w:before="120" w:after="120"/>
        <w:ind w:hanging="720" w:left="720"/>
        <w:jc w:val="both"/>
        <w:rPr>
          <w:rFonts w:eastAsia="MS Mincho"/>
          <w:i/>
          <w:i/>
          <w:iCs/>
          <w:lang w:val="vi-VN"/>
        </w:rPr>
      </w:pPr>
      <w:r>
        <w:rPr>
          <w:lang w:val="vi-VN"/>
        </w:rPr>
        <w:t>Phiếu bảo hành của sản phẩm theo tiêu chuẩn của nhà sản xuất</w:t>
      </w:r>
    </w:p>
    <w:p>
      <w:pPr>
        <w:pStyle w:val="ListParagraph"/>
        <w:numPr>
          <w:ilvl w:val="0"/>
          <w:numId w:val="4"/>
        </w:numPr>
        <w:spacing w:lineRule="auto" w:line="312" w:before="120" w:after="120"/>
        <w:ind w:hanging="720" w:left="720"/>
        <w:jc w:val="both"/>
        <w:rPr>
          <w:i/>
          <w:i/>
          <w:iCs/>
          <w:lang w:val="vi-VN"/>
        </w:rPr>
      </w:pPr>
      <w:r>
        <w:rPr>
          <w:lang w:val="vi-VN"/>
        </w:rPr>
        <w:t xml:space="preserve">Thông tin người được chỉ định nhận hàng: </w:t>
      </w:r>
    </w:p>
    <w:tbl>
      <w:tblPr>
        <w:tblW w:w="8751" w:type="dxa"/>
        <w:jc w:val="left"/>
        <w:tblInd w:w="829" w:type="dxa"/>
        <w:tblLayout w:type="fixed"/>
        <w:tblCellMar>
          <w:top w:w="0" w:type="dxa"/>
          <w:left w:w="108" w:type="dxa"/>
          <w:bottom w:w="0" w:type="dxa"/>
          <w:right w:w="108" w:type="dxa"/>
        </w:tblCellMar>
        <w:tblLook w:val="0000" w:noHBand="0" w:noVBand="0" w:firstColumn="0" w:lastRow="0" w:lastColumn="0" w:firstRow="0"/>
      </w:tblPr>
      <w:tblGrid>
        <w:gridCol w:w="2699"/>
        <w:gridCol w:w="6051"/>
      </w:tblGrid>
      <w:tr>
        <w:trPr>
          <w:trHeight w:val="629" w:hRule="atLeast"/>
        </w:trPr>
        <w:tc>
          <w:tcPr>
            <w:tcW w:w="2699" w:type="dxa"/>
            <w:tcBorders>
              <w:top w:val="single" w:sz="4" w:space="0" w:color="000000"/>
              <w:left w:val="single" w:sz="4" w:space="0" w:color="000000"/>
              <w:bottom w:val="single" w:sz="4" w:space="0" w:color="000000"/>
            </w:tcBorders>
            <w:vAlign w:val="center"/>
          </w:tcPr>
          <w:p>
            <w:pPr>
              <w:pStyle w:val="Normal"/>
              <w:spacing w:lineRule="exact" w:line="280" w:before="120" w:after="0"/>
              <w:rPr/>
            </w:pPr>
            <w:r>
              <w:rPr>
                <w:b/>
              </w:rPr>
              <w:t>Thông tin người liên hệ:</w:t>
            </w:r>
          </w:p>
        </w:tc>
        <w:tc>
          <w:tcPr>
            <w:tcW w:w="605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120" w:after="0"/>
              <w:jc w:val="center"/>
              <w:rPr/>
            </w:pPr>
            <w:r>
              <w:rPr/>
              <w:t>{{ten_nguoi_nhan_hang}}</w:t>
            </w:r>
          </w:p>
        </w:tc>
      </w:tr>
      <w:tr>
        <w:trPr>
          <w:trHeight w:val="800" w:hRule="atLeast"/>
        </w:trPr>
        <w:tc>
          <w:tcPr>
            <w:tcW w:w="2699" w:type="dxa"/>
            <w:tcBorders>
              <w:top w:val="single" w:sz="4" w:space="0" w:color="000000"/>
              <w:left w:val="single" w:sz="4" w:space="0" w:color="000000"/>
              <w:bottom w:val="single" w:sz="4" w:space="0" w:color="000000"/>
            </w:tcBorders>
            <w:vAlign w:val="center"/>
          </w:tcPr>
          <w:p>
            <w:pPr>
              <w:pStyle w:val="Normal"/>
              <w:snapToGrid w:val="false"/>
              <w:spacing w:lineRule="exact" w:line="280" w:before="120" w:after="0"/>
              <w:rPr>
                <w:color w:val="222222"/>
                <w:shd w:fill="FFFFFF" w:val="clear"/>
              </w:rPr>
            </w:pPr>
            <w:r>
              <w:rPr>
                <w:b/>
              </w:rPr>
              <w:t>Địa chỉ:</w:t>
            </w:r>
          </w:p>
        </w:tc>
        <w:tc>
          <w:tcPr>
            <w:tcW w:w="60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222222"/>
                <w:shd w:fill="FFFFFF" w:val="clear"/>
              </w:rPr>
            </w:pPr>
            <w:r>
              <w:rPr>
                <w:color w:val="222222"/>
                <w:shd w:fill="FFFFFF" w:val="clear"/>
              </w:rPr>
              <w:t>{{dia_chi_nhan_hang}}</w:t>
            </w:r>
          </w:p>
        </w:tc>
      </w:tr>
      <w:tr>
        <w:trPr>
          <w:trHeight w:val="620" w:hRule="atLeast"/>
        </w:trPr>
        <w:tc>
          <w:tcPr>
            <w:tcW w:w="2699" w:type="dxa"/>
            <w:tcBorders>
              <w:top w:val="single" w:sz="4" w:space="0" w:color="000000"/>
              <w:left w:val="single" w:sz="4" w:space="0" w:color="000000"/>
              <w:bottom w:val="single" w:sz="4" w:space="0" w:color="000000"/>
            </w:tcBorders>
            <w:vAlign w:val="center"/>
          </w:tcPr>
          <w:p>
            <w:pPr>
              <w:pStyle w:val="Normal"/>
              <w:snapToGrid w:val="false"/>
              <w:spacing w:lineRule="exact" w:line="280" w:before="120" w:after="0"/>
              <w:rPr>
                <w:color w:val="222222"/>
                <w:shd w:fill="FFFFFF" w:val="clear"/>
              </w:rPr>
            </w:pPr>
            <w:r>
              <w:rPr>
                <w:b/>
                <w:color w:val="222222"/>
                <w:shd w:fill="FFFFFF" w:val="clear"/>
              </w:rPr>
              <w:t>Email nhận hóa đơn:</w:t>
            </w:r>
          </w:p>
        </w:tc>
        <w:tc>
          <w:tcPr>
            <w:tcW w:w="6051" w:type="dxa"/>
            <w:tcBorders>
              <w:top w:val="single" w:sz="4" w:space="0" w:color="000000"/>
              <w:left w:val="single" w:sz="4" w:space="0" w:color="000000"/>
              <w:bottom w:val="single" w:sz="4" w:space="0" w:color="000000"/>
              <w:right w:val="single" w:sz="4" w:space="0" w:color="000000"/>
            </w:tcBorders>
            <w:vAlign w:val="center"/>
          </w:tcPr>
          <w:p>
            <w:pPr>
              <w:pStyle w:val="Normal"/>
              <w:ind w:hanging="720" w:left="720"/>
              <w:jc w:val="center"/>
              <w:rPr>
                <w:color w:val="222222"/>
                <w:shd w:fill="FFFFFF" w:val="clear"/>
              </w:rPr>
            </w:pPr>
            <w:r>
              <w:rPr>
                <w:color w:val="222222"/>
                <w:shd w:fill="FFFFFF" w:val="clear"/>
              </w:rPr>
              <w:t>{{email_nhan_hang}}</w:t>
            </w:r>
          </w:p>
        </w:tc>
      </w:tr>
    </w:tbl>
    <w:p>
      <w:pPr>
        <w:pStyle w:val="ListParagraph"/>
        <w:numPr>
          <w:ilvl w:val="0"/>
          <w:numId w:val="11"/>
        </w:numPr>
        <w:spacing w:lineRule="auto" w:line="312" w:before="120" w:after="120"/>
        <w:ind w:hanging="720" w:left="720"/>
        <w:jc w:val="both"/>
        <w:rPr>
          <w:i/>
          <w:i/>
          <w:iCs/>
        </w:rPr>
      </w:pPr>
      <w:r>
        <w:rPr/>
        <w:t>Bên Mua thừa nhận và cam kết chịu hoàn toàn mọi trách nhiệm pháp lý liên quan đến việc giao nhận hàng và giấy tờ liên quan do người được chỉ định nhận hàng bên Mua thực hiện.</w:t>
      </w:r>
    </w:p>
    <w:p>
      <w:pPr>
        <w:pStyle w:val="ListParagraph"/>
        <w:numPr>
          <w:ilvl w:val="0"/>
          <w:numId w:val="11"/>
        </w:numPr>
        <w:spacing w:lineRule="auto" w:line="312" w:before="120" w:after="120"/>
        <w:ind w:hanging="720" w:left="720"/>
        <w:jc w:val="both"/>
        <w:rPr>
          <w:bCs/>
          <w:i/>
          <w:i/>
          <w:iCs/>
          <w:lang w:val="vi-VN"/>
        </w:rPr>
      </w:pPr>
      <w:r>
        <w:rPr>
          <w:lang w:val="vi-VN"/>
        </w:rPr>
        <w:t>Người được chỉ định có trách nhiệm thực hiện đúng theo nội dung giao nhận hàng hóa.</w:t>
      </w:r>
    </w:p>
    <w:p>
      <w:pPr>
        <w:pStyle w:val="ListParagraph"/>
        <w:numPr>
          <w:ilvl w:val="0"/>
          <w:numId w:val="11"/>
        </w:numPr>
        <w:spacing w:lineRule="auto" w:line="312" w:before="120" w:after="120"/>
        <w:ind w:hanging="720" w:left="720"/>
        <w:jc w:val="both"/>
        <w:rPr>
          <w:bCs/>
          <w:i/>
          <w:i/>
          <w:iCs/>
          <w:lang w:val="vi-VN"/>
        </w:rPr>
      </w:pPr>
      <w:r>
        <w:rPr>
          <w:lang w:val="vi-VN"/>
        </w:rPr>
        <w:t>Trường hợp người được chỉ định nhận Hàng hóa với Công ty TNHH Tin học Viễn thông Nhất Tiến Chung đều vắng mặt thì người đại diện giao dịch với Công ty TNHH Tin học Viễn thông Nhất Tiến Chung được quy định trong Hợp đồng này đương nhiên có trách nhiệm thay thế trong việc giao nhận hàng.</w:t>
      </w:r>
    </w:p>
    <w:p>
      <w:pPr>
        <w:pStyle w:val="ListParagraph"/>
        <w:numPr>
          <w:ilvl w:val="0"/>
          <w:numId w:val="11"/>
        </w:numPr>
        <w:spacing w:lineRule="auto" w:line="312" w:before="120" w:after="120"/>
        <w:ind w:hanging="720" w:left="720"/>
        <w:jc w:val="both"/>
        <w:rPr>
          <w:bCs/>
          <w:i/>
          <w:i/>
          <w:iCs/>
          <w:lang w:val="vi-VN"/>
        </w:rPr>
      </w:pPr>
      <w:r>
        <w:rPr>
          <w:lang w:val="vi-VN"/>
        </w:rPr>
        <w:t>Trường hợp tất cả người được chỉ định nhận Hàng hóa, người đại diện giao dịch bên Mua đều vắng mặt thì người đại diện Bên mua nhận bàn giao hàng phải ghi rõ họ tên, số CMND, chức vụ và đóng dấu xác nhận của Công ty vào Biên bản bàn giao Hàng hóa.</w:t>
      </w:r>
    </w:p>
    <w:p>
      <w:pPr>
        <w:pStyle w:val="ListParagraph"/>
        <w:numPr>
          <w:ilvl w:val="0"/>
          <w:numId w:val="11"/>
        </w:numPr>
        <w:spacing w:lineRule="auto" w:line="312" w:before="120" w:after="120"/>
        <w:ind w:hanging="720" w:left="720"/>
        <w:jc w:val="both"/>
        <w:rPr>
          <w:i/>
          <w:i/>
          <w:iCs/>
          <w:lang w:val="vi-VN"/>
        </w:rPr>
      </w:pPr>
      <w:r>
        <w:rPr>
          <w:lang w:val="vi-VN"/>
        </w:rPr>
        <w:t>Trường hợp có bất kỳ thay đổi nào liên quan đến thông tin người được chỉ định nhận Hàng hóa, Bên Mua có trách nhiệm thông báo cụ thể đến cho người đại diện hợp pháp của Công ty TNHH Tin học Viễn thông Nhất Tiến Chung.</w:t>
      </w:r>
    </w:p>
    <w:p>
      <w:pPr>
        <w:pStyle w:val="Normal"/>
        <w:spacing w:lineRule="auto" w:line="312" w:before="120" w:after="120"/>
        <w:jc w:val="both"/>
        <w:rPr>
          <w:b/>
          <w:i/>
          <w:i/>
          <w:iCs/>
          <w:lang w:val="vi-VN"/>
        </w:rPr>
      </w:pPr>
      <w:r>
        <w:rPr>
          <w:b/>
          <w:lang w:val="vi-VN"/>
        </w:rPr>
        <w:t>Điều 4: Bảo hành sản phẩm</w:t>
      </w:r>
      <w:r>
        <w:rPr>
          <w:lang w:val="vi-VN"/>
        </w:rPr>
        <w:t xml:space="preserve"> </w:t>
      </w:r>
    </w:p>
    <w:p>
      <w:pPr>
        <w:pStyle w:val="Normal"/>
        <w:spacing w:lineRule="auto" w:line="312" w:before="120" w:after="120"/>
        <w:jc w:val="both"/>
        <w:rPr>
          <w:lang w:val="vi-VN"/>
        </w:rPr>
      </w:pPr>
      <w:r>
        <w:rPr/>
        <w:t xml:space="preserve">4.1. </w:t>
        <w:tab/>
      </w:r>
      <w:r>
        <w:rPr>
          <w:lang w:val="vi-VN"/>
        </w:rPr>
        <w:t xml:space="preserve">Thời gian bảo hành cho thiết </w:t>
      </w:r>
      <w:r>
        <w:rPr/>
        <w:t xml:space="preserve">bị </w:t>
      </w:r>
      <w:r>
        <w:rPr>
          <w:lang w:val="vi-VN"/>
        </w:rPr>
        <w:t>tính từ ngày ký biên bản bàn giao sản phẩm.</w:t>
      </w:r>
    </w:p>
    <w:p>
      <w:pPr>
        <w:pStyle w:val="Normal"/>
        <w:spacing w:lineRule="auto" w:line="312" w:before="120" w:after="120"/>
        <w:ind w:hanging="720" w:left="720"/>
        <w:jc w:val="both"/>
        <w:rPr>
          <w:lang w:val="vi-VN"/>
        </w:rPr>
      </w:pPr>
      <w:r>
        <w:rPr/>
        <w:t>4.2.</w:t>
        <w:tab/>
      </w:r>
      <w:r>
        <w:rPr>
          <w:lang w:val="vi-VN"/>
        </w:rPr>
        <w:t>Thời gian phản hồi thông tin và hỗ trợ xử lý qua điện thoại, email, remote từ xa không quá 08 giờ làm việc từ khi nhận thông báo.</w:t>
      </w:r>
    </w:p>
    <w:p>
      <w:pPr>
        <w:pStyle w:val="Normal"/>
        <w:spacing w:lineRule="auto" w:line="312" w:before="120" w:after="120"/>
        <w:ind w:left="720"/>
        <w:jc w:val="both"/>
        <w:rPr>
          <w:lang w:val="vi-VN"/>
        </w:rPr>
      </w:pPr>
      <w:r>
        <w:rPr>
          <w:lang w:val="vi-VN"/>
        </w:rPr>
        <w:t>Địa điểm bảo hành:</w:t>
      </w:r>
    </w:p>
    <w:p>
      <w:pPr>
        <w:pStyle w:val="Normal"/>
        <w:spacing w:lineRule="auto" w:line="312" w:before="120" w:after="120"/>
        <w:ind w:left="720"/>
        <w:jc w:val="both"/>
        <w:rPr>
          <w:lang w:val="vi-VN"/>
        </w:rPr>
      </w:pPr>
      <w:r>
        <w:rPr>
          <w:lang w:val="vi-VN"/>
        </w:rPr>
        <w:t>TRUNG TÂM DỊCH VỤ KHÁCH HÀNG</w:t>
      </w:r>
    </w:p>
    <w:p>
      <w:pPr>
        <w:pStyle w:val="Normal"/>
        <w:spacing w:lineRule="auto" w:line="312" w:before="120" w:after="120"/>
        <w:ind w:left="720"/>
        <w:jc w:val="both"/>
        <w:rPr>
          <w:lang w:val="vi-VN"/>
        </w:rPr>
      </w:pPr>
      <w:r>
        <w:rPr>
          <w:b/>
          <w:bCs/>
          <w:iCs/>
          <w:sz w:val="22"/>
          <w:szCs w:val="22"/>
        </w:rPr>
        <w:t>CÔNG TY TNHH TIN HỌC VIỄN THÔNG NHẤT TIẾN CHUNG</w:t>
      </w:r>
      <w:r>
        <w:rPr>
          <w:lang w:val="vi-VN"/>
        </w:rPr>
        <w:t xml:space="preserve"> </w:t>
      </w:r>
    </w:p>
    <w:p>
      <w:pPr>
        <w:pStyle w:val="Normal"/>
        <w:spacing w:lineRule="auto" w:line="312" w:before="120" w:after="120"/>
        <w:ind w:left="720"/>
        <w:jc w:val="both"/>
        <w:rPr>
          <w:lang w:val="vi-VN"/>
        </w:rPr>
      </w:pPr>
      <w:r>
        <w:rPr>
          <w:lang w:val="vi-VN"/>
        </w:rPr>
        <w:t>Địa chỉ: 20/69 Hồ Đắc Di, Phường Tây Thạnh, TP.HCM</w:t>
      </w:r>
    </w:p>
    <w:p>
      <w:pPr>
        <w:pStyle w:val="Normal"/>
        <w:spacing w:lineRule="auto" w:line="312" w:before="120" w:after="120"/>
        <w:ind w:left="720"/>
        <w:jc w:val="both"/>
        <w:rPr/>
      </w:pPr>
      <w:r>
        <w:rPr>
          <w:lang w:val="vi-VN"/>
        </w:rPr>
        <w:t>Điện thoại:</w:t>
      </w:r>
      <w:r>
        <w:rPr/>
        <w:t xml:space="preserve"> 0986999998</w:t>
      </w:r>
    </w:p>
    <w:p>
      <w:pPr>
        <w:pStyle w:val="Normal"/>
        <w:spacing w:lineRule="auto" w:line="312" w:before="120" w:after="120"/>
        <w:ind w:left="720"/>
        <w:jc w:val="both"/>
        <w:rPr>
          <w:rFonts w:ascii="Helvetica" w:hAnsi="Helvetica"/>
          <w:color w:val="202124"/>
          <w:sz w:val="19"/>
          <w:szCs w:val="19"/>
          <w:shd w:fill="FFFFFF" w:val="clear"/>
        </w:rPr>
      </w:pPr>
      <w:r>
        <w:rPr>
          <w:lang w:val="vi-VN"/>
        </w:rPr>
        <w:t xml:space="preserve">Email: </w:t>
      </w:r>
      <w:hyperlink r:id="rId2">
        <w:r>
          <w:rPr>
            <w:rStyle w:val="Hyperlink"/>
            <w:shd w:fill="FFFFFF" w:val="clear"/>
          </w:rPr>
          <w:t>support@nhattienchung.vn</w:t>
        </w:r>
      </w:hyperlink>
      <w:r>
        <w:rPr>
          <w:color w:val="202124"/>
          <w:shd w:fill="FFFFFF" w:val="clear"/>
        </w:rPr>
        <w:t>.</w:t>
      </w:r>
    </w:p>
    <w:p>
      <w:pPr>
        <w:pStyle w:val="Normal"/>
        <w:spacing w:lineRule="auto" w:line="312" w:before="120" w:after="120"/>
        <w:jc w:val="both"/>
        <w:rPr>
          <w:lang w:val="vi-VN"/>
        </w:rPr>
      </w:pPr>
      <w:r>
        <w:rPr/>
        <w:t>4.3.</w:t>
        <w:tab/>
      </w:r>
      <w:r>
        <w:rPr>
          <w:lang w:val="vi-VN"/>
        </w:rPr>
        <w:t>Thời gian giao dịch</w:t>
      </w:r>
    </w:p>
    <w:p>
      <w:pPr>
        <w:pStyle w:val="Normal"/>
        <w:spacing w:lineRule="auto" w:line="312" w:before="120" w:after="120"/>
        <w:ind w:left="720"/>
        <w:jc w:val="both"/>
        <w:rPr>
          <w:lang w:val="vi-VN"/>
        </w:rPr>
      </w:pPr>
      <w:r>
        <w:rPr>
          <w:lang w:val="vi-VN"/>
        </w:rPr>
        <w:t>- Tất cả các cuộc gọi dịch vụ trong giờ làm việc sẽ được trả lời chậm nhất là ngày hôm sau</w:t>
      </w:r>
    </w:p>
    <w:p>
      <w:pPr>
        <w:pStyle w:val="Normal"/>
        <w:spacing w:lineRule="auto" w:line="312" w:before="120" w:after="120"/>
        <w:ind w:left="720"/>
        <w:jc w:val="both"/>
        <w:rPr>
          <w:lang w:val="vi-VN"/>
        </w:rPr>
      </w:pPr>
      <w:r>
        <w:rPr>
          <w:lang w:val="vi-VN"/>
        </w:rPr>
        <w:t>- Thời gian làm việc: Sáng từ 8h30 – 12h00, chiều từ 13h30 – 17h30 hàng ngày, trừ thứ bảy, chủ nhật và ngày lễ.</w:t>
      </w:r>
    </w:p>
    <w:p>
      <w:pPr>
        <w:pStyle w:val="Normal"/>
        <w:spacing w:lineRule="auto" w:line="312" w:before="120" w:after="120"/>
        <w:jc w:val="both"/>
        <w:rPr>
          <w:b/>
          <w:lang w:val="vi-VN"/>
        </w:rPr>
      </w:pPr>
      <w:r>
        <w:rPr>
          <w:b/>
          <w:lang w:val="vi-VN"/>
        </w:rPr>
        <w:t>Điều 5: Trách nhiệm và quyền hạn của hai bên trong hợp đồng</w:t>
      </w:r>
    </w:p>
    <w:p>
      <w:pPr>
        <w:pStyle w:val="ListParagraph"/>
        <w:numPr>
          <w:ilvl w:val="0"/>
          <w:numId w:val="8"/>
        </w:numPr>
        <w:spacing w:lineRule="auto" w:line="312" w:before="120" w:after="120"/>
        <w:ind w:hanging="709" w:left="709"/>
        <w:jc w:val="both"/>
        <w:rPr>
          <w:lang w:val="vi-VN"/>
        </w:rPr>
      </w:pPr>
      <w:r>
        <w:rPr>
          <w:lang w:val="vi-VN"/>
        </w:rPr>
        <w:t>Quyền và trách nhiệm của Bên Mua:</w:t>
      </w:r>
    </w:p>
    <w:p>
      <w:pPr>
        <w:pStyle w:val="ListParagraph"/>
        <w:numPr>
          <w:ilvl w:val="2"/>
          <w:numId w:val="3"/>
        </w:numPr>
        <w:spacing w:lineRule="auto" w:line="312" w:before="120" w:after="120"/>
        <w:ind w:hanging="720" w:left="720"/>
        <w:jc w:val="both"/>
        <w:rPr>
          <w:rFonts w:eastAsia="MS Mincho"/>
          <w:bCs/>
          <w:i/>
          <w:i/>
          <w:iCs/>
          <w:lang w:val="vi-VN"/>
        </w:rPr>
      </w:pPr>
      <w:r>
        <w:rPr>
          <w:rFonts w:eastAsia="MS Mincho"/>
          <w:lang w:val="vi-VN"/>
        </w:rPr>
        <w:t>Nhận hàng đúng thời hạn, địa điểm, chủng loại, số lượng và các giấy tờ kèm theo được quy định tại các điều khoản trong Hợp đồng này.</w:t>
      </w:r>
    </w:p>
    <w:p>
      <w:pPr>
        <w:pStyle w:val="ListParagraph"/>
        <w:numPr>
          <w:ilvl w:val="2"/>
          <w:numId w:val="3"/>
        </w:numPr>
        <w:spacing w:lineRule="auto" w:line="312" w:before="120" w:after="120"/>
        <w:ind w:hanging="720" w:left="720"/>
        <w:jc w:val="both"/>
        <w:rPr>
          <w:rFonts w:eastAsia="MS Mincho"/>
          <w:bCs/>
          <w:i/>
          <w:i/>
          <w:iCs/>
          <w:lang w:val="vi-VN"/>
        </w:rPr>
      </w:pPr>
      <w:r>
        <w:rPr>
          <w:rFonts w:eastAsia="MS Mincho"/>
          <w:lang w:val="vi-VN"/>
        </w:rPr>
        <w:t>Thanh toán đầy đủ và đúng thời hạn theo quy định tại Điều 2 nêu trên.</w:t>
      </w:r>
    </w:p>
    <w:p>
      <w:pPr>
        <w:pStyle w:val="ListParagraph"/>
        <w:numPr>
          <w:ilvl w:val="2"/>
          <w:numId w:val="3"/>
        </w:numPr>
        <w:spacing w:lineRule="auto" w:line="312" w:before="120" w:after="120"/>
        <w:ind w:hanging="720" w:left="720"/>
        <w:jc w:val="both"/>
        <w:rPr>
          <w:i/>
          <w:i/>
          <w:iCs/>
          <w:lang w:val="vi-VN"/>
        </w:rPr>
      </w:pPr>
      <w:r>
        <w:rPr>
          <w:rFonts w:eastAsia="MS Mincho"/>
          <w:lang w:val="vi-VN"/>
        </w:rPr>
        <w:t>Các quyền</w:t>
      </w:r>
      <w:r>
        <w:rPr>
          <w:lang w:val="vi-VN"/>
        </w:rPr>
        <w:t xml:space="preserve"> và nghĩa vụ khác theo quy định tại Hợp đồng này.</w:t>
      </w:r>
    </w:p>
    <w:p>
      <w:pPr>
        <w:pStyle w:val="ListParagraph"/>
        <w:numPr>
          <w:ilvl w:val="0"/>
          <w:numId w:val="8"/>
        </w:numPr>
        <w:spacing w:lineRule="auto" w:line="312" w:before="120" w:after="120"/>
        <w:ind w:hanging="709" w:left="709"/>
        <w:jc w:val="both"/>
        <w:rPr>
          <w:b/>
          <w:i/>
          <w:i/>
          <w:iCs/>
          <w:lang w:val="vi-VN"/>
        </w:rPr>
      </w:pPr>
      <w:r>
        <w:rPr>
          <w:b/>
          <w:lang w:val="vi-VN"/>
        </w:rPr>
        <w:t>Quyền và trách nhiệm của Bên Bán:</w:t>
      </w:r>
    </w:p>
    <w:p>
      <w:pPr>
        <w:pStyle w:val="ListParagraph"/>
        <w:numPr>
          <w:ilvl w:val="0"/>
          <w:numId w:val="7"/>
        </w:numPr>
        <w:spacing w:lineRule="auto" w:line="312" w:before="120" w:after="120"/>
        <w:ind w:hanging="720" w:left="720"/>
        <w:jc w:val="both"/>
        <w:rPr>
          <w:rFonts w:eastAsia="MS Mincho"/>
          <w:bCs/>
          <w:i/>
          <w:i/>
          <w:iCs/>
          <w:lang w:val="vi-VN"/>
        </w:rPr>
      </w:pPr>
      <w:r>
        <w:rPr>
          <w:lang w:val="vi-VN"/>
        </w:rPr>
        <w:t xml:space="preserve">Giao </w:t>
      </w:r>
      <w:r>
        <w:rPr>
          <w:rFonts w:eastAsia="MS Mincho"/>
          <w:lang w:val="vi-VN"/>
        </w:rPr>
        <w:t xml:space="preserve">hàng đúng thời hạn, địa điểm, chủng loại, số lượng và các giấy tờ kèm theo được quy định tại các điều khoản trong hợp đồng này. </w:t>
      </w:r>
    </w:p>
    <w:p>
      <w:pPr>
        <w:pStyle w:val="ListParagraph"/>
        <w:numPr>
          <w:ilvl w:val="0"/>
          <w:numId w:val="7"/>
        </w:numPr>
        <w:spacing w:lineRule="auto" w:line="312" w:before="120" w:after="120"/>
        <w:ind w:hanging="720" w:left="720"/>
        <w:jc w:val="both"/>
        <w:rPr>
          <w:rFonts w:eastAsia="MS Mincho"/>
          <w:bCs/>
          <w:i/>
          <w:i/>
          <w:iCs/>
          <w:lang w:val="vi-VN"/>
        </w:rPr>
      </w:pPr>
      <w:r>
        <w:rPr>
          <w:rFonts w:eastAsia="MS Mincho"/>
          <w:lang w:val="vi-VN"/>
        </w:rPr>
        <w:t>Nhận tiền thanh toán từ Bên Mua theo thời hạn được quy định tại Điều 2 nêu trên.</w:t>
      </w:r>
    </w:p>
    <w:p>
      <w:pPr>
        <w:pStyle w:val="ListParagraph"/>
        <w:numPr>
          <w:ilvl w:val="0"/>
          <w:numId w:val="7"/>
        </w:numPr>
        <w:spacing w:lineRule="auto" w:line="312" w:before="120" w:after="120"/>
        <w:ind w:hanging="720" w:left="720"/>
        <w:jc w:val="both"/>
        <w:rPr>
          <w:i/>
          <w:i/>
          <w:iCs/>
          <w:lang w:val="vi-VN"/>
        </w:rPr>
      </w:pPr>
      <w:r>
        <w:rPr>
          <w:rFonts w:eastAsia="MS Mincho"/>
          <w:lang w:val="vi-VN"/>
        </w:rPr>
        <w:t>Các quyền</w:t>
      </w:r>
      <w:r>
        <w:rPr>
          <w:lang w:val="vi-VN"/>
        </w:rPr>
        <w:t xml:space="preserve"> và nghĩa vụ khác theo quy định tại Hợp đồng này.</w:t>
      </w:r>
    </w:p>
    <w:p>
      <w:pPr>
        <w:pStyle w:val="Normal"/>
        <w:spacing w:lineRule="auto" w:line="312" w:before="120" w:after="120"/>
        <w:ind w:hanging="720" w:left="720"/>
        <w:jc w:val="both"/>
        <w:rPr>
          <w:b/>
          <w:i/>
          <w:i/>
          <w:iCs/>
          <w:lang w:val="vi-VN"/>
        </w:rPr>
      </w:pPr>
      <w:r>
        <w:rPr>
          <w:b/>
          <w:lang w:val="vi-VN"/>
        </w:rPr>
        <w:t>Điều 6: Phạt vi phạm và bồi thường thiệt hại</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 xml:space="preserve">Nếu Bên Mua thanh toán trễ hơn theo quy định tại điều 2 thì Bên Mua sẽ phải chịu phạt chậm trả một khoản tiền tương ứng với 0,1% giá trị phần Hợp đồng cho 01 (một) ngày thanh toán trễ nhưng tổng giá trị phạt không quá 8% giá trị Hợp đồng. </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 xml:space="preserve">Nếu Bên Bán giao hàng chậm hơn theo thỏa thuận của hai bên thì Bên Bán sẽ phải chịu phạt 0,1% tổng giá trị hàng giao chậm cho 01 ngày giao hàng chậm nhưng tổng mức phạt không quá 8% giá trị Hợp đồng. </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Trong trường hợp Bên Mua nhận hàng chậm so với thời hạn quy định thì Bên Mua sẽ chịu phạt 0,1% tổng giá  trị hàng nhận chậm cho 01 ngày nhận hàng chậm. Bên Mua có nghĩa vụ thanh toán cho Bên Bán toàn bộ các chi phí lưu kho, bãi; chi phí trông giữ hàng hóa và các chi phí hợp lý khác (nếu có) với điều kiện Bên Mua tuân thủ thời hạn báo trước tại Điều 3.2 Hợp đồng.</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Nếu Bên nào đơn phương chấm dứt Hợp đồng không thuộc trường hợp tại Điều 7 thì sẽ phải chịu phạt số tiền tương đương 8% Giá trị hợp đồng.</w:t>
      </w:r>
    </w:p>
    <w:p>
      <w:pPr>
        <w:pStyle w:val="Normal"/>
        <w:numPr>
          <w:ilvl w:val="0"/>
          <w:numId w:val="10"/>
        </w:numPr>
        <w:tabs>
          <w:tab w:val="clear" w:pos="720"/>
          <w:tab w:val="left" w:pos="709" w:leader="none"/>
        </w:tabs>
        <w:spacing w:lineRule="auto" w:line="312" w:before="120" w:after="120"/>
        <w:ind w:hanging="709" w:left="709"/>
        <w:jc w:val="both"/>
        <w:rPr>
          <w:i/>
          <w:i/>
          <w:iCs/>
          <w:lang w:val="vi-VN"/>
        </w:rPr>
      </w:pPr>
      <w:r>
        <w:rPr>
          <w:lang w:val="vi-VN"/>
        </w:rPr>
        <w:t>Nếu một trong hai Bên không thực hiện hoặc thực hiện không đầy đủ các điều khoản quy định trong hợp đồng mà gây thiệt hại cho bên kia, bên bị thiệt hại có quyền yêu cầu phía bên kia bồi thường các khoản thiệt hại theo quy định của pháp luật hoặc bồi thường một khoản tiền do các Bên thỏa thuận</w:t>
      </w:r>
      <w:r>
        <w:rPr>
          <w:i/>
          <w:iCs/>
          <w:lang w:val="vi-VN"/>
        </w:rPr>
        <w:t>.</w:t>
      </w:r>
    </w:p>
    <w:p>
      <w:pPr>
        <w:pStyle w:val="Normal"/>
        <w:spacing w:lineRule="auto" w:line="312" w:before="120" w:after="120"/>
        <w:jc w:val="both"/>
        <w:rPr>
          <w:b/>
          <w:i/>
          <w:i/>
          <w:iCs/>
          <w:lang w:val="vi-VN"/>
        </w:rPr>
      </w:pPr>
      <w:r>
        <w:rPr>
          <w:b/>
          <w:lang w:val="vi-VN"/>
        </w:rPr>
        <w:t>Điều 7: Hiệu lực, chấm dứt hợp đồng.</w:t>
      </w:r>
    </w:p>
    <w:p>
      <w:pPr>
        <w:pStyle w:val="Normal"/>
        <w:numPr>
          <w:ilvl w:val="0"/>
          <w:numId w:val="12"/>
        </w:numPr>
        <w:spacing w:lineRule="auto" w:line="312" w:before="120" w:after="120"/>
        <w:ind w:hanging="720" w:left="720"/>
        <w:jc w:val="both"/>
        <w:rPr>
          <w:i/>
          <w:i/>
          <w:iCs/>
          <w:lang w:val="vi-VN"/>
        </w:rPr>
      </w:pPr>
      <w:r>
        <w:rPr>
          <w:lang w:val="vi-VN"/>
        </w:rPr>
        <w:t xml:space="preserve">Hợp đồng có hiệu lực kể từ ngày ký. </w:t>
      </w:r>
    </w:p>
    <w:p>
      <w:pPr>
        <w:pStyle w:val="Normal"/>
        <w:numPr>
          <w:ilvl w:val="0"/>
          <w:numId w:val="12"/>
        </w:numPr>
        <w:spacing w:lineRule="auto" w:line="312" w:before="120" w:after="120"/>
        <w:ind w:hanging="720" w:left="720"/>
        <w:jc w:val="both"/>
        <w:rPr>
          <w:rFonts w:eastAsia="MS Mincho"/>
          <w:i/>
          <w:i/>
          <w:iCs/>
          <w:lang w:val="vi-VN"/>
        </w:rPr>
      </w:pPr>
      <w:r>
        <w:rPr>
          <w:lang w:val="vi-VN"/>
        </w:rPr>
        <w:t>Hợp đồng được chấm dứt trong các trường hợp sau:</w:t>
      </w:r>
    </w:p>
    <w:p>
      <w:pPr>
        <w:pStyle w:val="ListParagraph"/>
        <w:numPr>
          <w:ilvl w:val="2"/>
          <w:numId w:val="6"/>
        </w:numPr>
        <w:spacing w:lineRule="auto" w:line="312" w:before="120" w:after="120"/>
        <w:ind w:hanging="720" w:left="720"/>
        <w:jc w:val="both"/>
        <w:rPr>
          <w:rFonts w:eastAsia="MS Mincho"/>
          <w:i/>
          <w:i/>
          <w:iCs/>
          <w:lang w:val="vi-VN"/>
        </w:rPr>
      </w:pPr>
      <w:r>
        <w:rPr>
          <w:rFonts w:eastAsia="MS Mincho"/>
          <w:lang w:val="vi-VN"/>
        </w:rPr>
        <w:t>Quyền và nghĩa vụ của các Bên trong Hợp đồng này đã hoàn thành;</w:t>
      </w:r>
    </w:p>
    <w:p>
      <w:pPr>
        <w:pStyle w:val="ListParagraph"/>
        <w:numPr>
          <w:ilvl w:val="2"/>
          <w:numId w:val="6"/>
        </w:numPr>
        <w:spacing w:lineRule="auto" w:line="312" w:before="120" w:after="120"/>
        <w:ind w:hanging="720" w:left="720"/>
        <w:jc w:val="both"/>
        <w:rPr>
          <w:rFonts w:eastAsia="MS Mincho"/>
          <w:i/>
          <w:i/>
          <w:iCs/>
          <w:lang w:val="vi-VN"/>
        </w:rPr>
      </w:pPr>
      <w:r>
        <w:rPr>
          <w:rFonts w:eastAsia="MS Mincho"/>
          <w:lang w:val="vi-VN"/>
        </w:rPr>
        <w:t>Do hai Bên thỏa thuận chấm dứt Hợp đồng bằng văn bản;</w:t>
      </w:r>
    </w:p>
    <w:p>
      <w:pPr>
        <w:pStyle w:val="ListParagraph"/>
        <w:numPr>
          <w:ilvl w:val="2"/>
          <w:numId w:val="6"/>
        </w:numPr>
        <w:spacing w:lineRule="auto" w:line="312" w:before="120" w:after="120"/>
        <w:ind w:hanging="720" w:left="720"/>
        <w:jc w:val="both"/>
        <w:rPr>
          <w:rFonts w:eastAsia="MS Mincho"/>
          <w:i/>
          <w:i/>
          <w:iCs/>
          <w:lang w:val="vi-VN"/>
        </w:rPr>
      </w:pPr>
      <w:r>
        <w:rPr>
          <w:rFonts w:eastAsia="MS Mincho"/>
          <w:lang w:val="vi-VN"/>
        </w:rPr>
        <w:t>Các trường hợp bất khả kháng theo quy định tại Hợp đồng này</w:t>
      </w:r>
    </w:p>
    <w:p>
      <w:pPr>
        <w:pStyle w:val="ListParagraph"/>
        <w:numPr>
          <w:ilvl w:val="2"/>
          <w:numId w:val="6"/>
        </w:numPr>
        <w:spacing w:lineRule="auto" w:line="312" w:before="120" w:after="120"/>
        <w:ind w:hanging="720" w:left="720"/>
        <w:jc w:val="both"/>
        <w:rPr>
          <w:i/>
          <w:i/>
          <w:iCs/>
          <w:lang w:val="vi-VN"/>
        </w:rPr>
      </w:pPr>
      <w:r>
        <w:rPr>
          <w:lang w:val="vi-VN"/>
        </w:rPr>
        <w:t xml:space="preserve">Nếu một trong hai bên vi phạm các quy định trong hợp đồng, Bên vi phạm phải khắc phục các thiệt hại (nếu có), sửa chữa các vi phạm trong vòng 30 (ba mươi) ngày kể từ ngày nhận thông báo yêu cầu của phía bên bị vi phạm. Nếu quá thời gian khắc phục nêu trên mà các vi phạm vẫn chưa được khắc phục, bên bị vi phạm có quyền đơn phương chấm dứt hợp đồng. </w:t>
      </w:r>
    </w:p>
    <w:p>
      <w:pPr>
        <w:pStyle w:val="ListParagraph"/>
        <w:numPr>
          <w:ilvl w:val="2"/>
          <w:numId w:val="6"/>
        </w:numPr>
        <w:spacing w:lineRule="auto" w:line="312" w:before="120" w:after="120"/>
        <w:ind w:hanging="720" w:left="720"/>
        <w:jc w:val="both"/>
        <w:rPr>
          <w:i/>
          <w:i/>
          <w:iCs/>
          <w:lang w:val="vi-VN"/>
        </w:rPr>
      </w:pPr>
      <w:r>
        <w:rPr>
          <w:lang w:val="vi-VN"/>
        </w:rPr>
        <w:t>Các trường hợp khác theo quy định của pháp luật</w:t>
      </w:r>
    </w:p>
    <w:p>
      <w:pPr>
        <w:pStyle w:val="Normal"/>
        <w:tabs>
          <w:tab w:val="clear" w:pos="720"/>
          <w:tab w:val="left" w:pos="810" w:leader="none"/>
        </w:tabs>
        <w:spacing w:before="240" w:after="0"/>
        <w:jc w:val="both"/>
        <w:rPr>
          <w:b/>
          <w:bCs/>
          <w:i/>
          <w:i/>
          <w:iCs/>
          <w:lang w:val="vi-VN"/>
        </w:rPr>
      </w:pPr>
      <w:r>
        <w:rPr>
          <w:b/>
          <w:bCs/>
          <w:u w:val="single"/>
          <w:lang w:val="fr-FR"/>
        </w:rPr>
        <w:t>Điều 8</w:t>
      </w:r>
      <w:r>
        <w:rPr>
          <w:b/>
          <w:bCs/>
          <w:lang w:val="fr-FR"/>
        </w:rPr>
        <w:t>: Bất khả kháng</w:t>
      </w:r>
    </w:p>
    <w:p>
      <w:pPr>
        <w:pStyle w:val="Normal"/>
        <w:numPr>
          <w:ilvl w:val="1"/>
          <w:numId w:val="9"/>
        </w:numPr>
        <w:suppressAutoHyphens w:val="false"/>
        <w:spacing w:lineRule="auto" w:line="360" w:before="120" w:after="120"/>
        <w:jc w:val="both"/>
        <w:rPr>
          <w:bCs/>
          <w:i/>
          <w:i/>
          <w:iCs/>
          <w:lang w:val="vi-VN"/>
        </w:rPr>
      </w:pPr>
      <w:r>
        <w:rPr>
          <w:bCs/>
          <w:lang w:val="vi-VN"/>
        </w:rPr>
        <w:t xml:space="preserve">Bất khả kháng là bất kỳ hoàn cảnh, tình huống nào phát sinh vượt ngoài tầm kiểm soát của mỗi Bên mà các Bên không thực hiện được nghĩa vụ của mình theo Hợp đồng. Bất khả kháng bao gồm nhưng không giới hạn bởi: </w:t>
      </w:r>
      <w:r>
        <w:rPr>
          <w:lang w:val="vi-VN"/>
        </w:rPr>
        <w:t>(a) Dịch bệnh, (b) Chiến tranh (dù có tuyên chiến hay không), hành vi phong tỏa hoặc thái độ thù địch, hoạt động khủng bố, phản loạn, bạo động hoặc hành vi nguy hiểm công cộng, (c) Bãi công hoặc tranh chấp lao động, (d) Phát nổ, hỏa hoạn, động đất, bão lụt hoặc thiên tai khác, (e) Pháp luật, quy định, pháp lệnh hoặc tuyên bố của các cơ quan chính quyền, phán quyết hoặc mệnh lệnh của tòa án, (f) Nhà sản xuất ngưng sản xuất hàng hóa trong danh mục tại điều 1.</w:t>
      </w:r>
    </w:p>
    <w:p>
      <w:pPr>
        <w:pStyle w:val="Normal"/>
        <w:numPr>
          <w:ilvl w:val="1"/>
          <w:numId w:val="9"/>
        </w:numPr>
        <w:suppressAutoHyphens w:val="false"/>
        <w:spacing w:lineRule="auto" w:line="360" w:before="120" w:after="120"/>
        <w:jc w:val="both"/>
        <w:rPr>
          <w:bCs/>
          <w:i/>
          <w:i/>
          <w:iCs/>
          <w:lang w:val="vi-VN"/>
        </w:rPr>
      </w:pPr>
      <w:r>
        <w:rPr>
          <w:lang w:val="vi-VN"/>
        </w:rPr>
        <w:t>Một bên vì trường hợp bất khả kháng mà phải tạm ngưng thực hiện nghĩa vụ ghi trong Hợp đồng này, thì phải ngay lập tức thông báo bằng văn bản cho bên kia về nguyên nhân của việc tạm ngưng, dự kiến thời gian và biện pháp khắc phục ảnh hưởng của trường Hợp bất khả kháng. Bên đó phải áp dụng mọi hành động hợp lý cần thiết để khắc phục hoặc giảm bớt ảnh hưởng của trường hợp bất khả kháng và phải nhanh chóng khôi phục việc thực hiện nghĩa vụ Hợp đồng này trong thời gian hợp lý nhất.</w:t>
      </w:r>
    </w:p>
    <w:p>
      <w:pPr>
        <w:pStyle w:val="Normal"/>
        <w:numPr>
          <w:ilvl w:val="1"/>
          <w:numId w:val="9"/>
        </w:numPr>
        <w:suppressAutoHyphens w:val="false"/>
        <w:spacing w:lineRule="auto" w:line="360" w:before="120" w:after="120"/>
        <w:jc w:val="both"/>
        <w:rPr>
          <w:i/>
          <w:i/>
          <w:iCs/>
          <w:lang w:val="vi-VN"/>
        </w:rPr>
      </w:pPr>
      <w:r>
        <w:rPr>
          <w:lang w:val="vi-VN"/>
        </w:rPr>
        <w:t xml:space="preserve">Nếu trường Hợp bất khả kháng không thể khắc phục trong </w:t>
      </w:r>
      <w:r>
        <w:rPr>
          <w:bCs/>
          <w:lang w:val="vi-VN"/>
        </w:rPr>
        <w:t>45 (bốn mươi lăm) ngày</w:t>
      </w:r>
      <w:r>
        <w:rPr>
          <w:lang w:val="vi-VN"/>
        </w:rPr>
        <w:t xml:space="preserve">, thì một bên bất kỳ có thể thông báo trước </w:t>
      </w:r>
      <w:r>
        <w:rPr>
          <w:bCs/>
          <w:lang w:val="vi-VN"/>
        </w:rPr>
        <w:t xml:space="preserve">15 (mười lăm) ngày </w:t>
      </w:r>
      <w:r>
        <w:rPr>
          <w:lang w:val="vi-VN"/>
        </w:rPr>
        <w:t>cho bên kia để chấm dứt Hợp đồng này.</w:t>
      </w:r>
    </w:p>
    <w:p>
      <w:pPr>
        <w:pStyle w:val="Normal"/>
        <w:spacing w:lineRule="auto" w:line="360" w:before="120" w:after="120"/>
        <w:jc w:val="both"/>
        <w:rPr>
          <w:b/>
          <w:bCs/>
          <w:i/>
          <w:i/>
          <w:iCs/>
          <w:lang w:val="vi-VN"/>
        </w:rPr>
      </w:pPr>
      <w:r>
        <w:rPr>
          <w:b/>
          <w:bCs/>
          <w:u w:val="single"/>
          <w:lang w:val="vi-VN"/>
        </w:rPr>
        <w:t>Điều 9:</w:t>
      </w:r>
      <w:r>
        <w:rPr>
          <w:b/>
          <w:bCs/>
          <w:lang w:val="vi-VN"/>
        </w:rPr>
        <w:t xml:space="preserve"> Luật áp dụng và giải quyết tranh chấp</w:t>
      </w:r>
    </w:p>
    <w:p>
      <w:pPr>
        <w:pStyle w:val="Heading2"/>
        <w:keepNext w:val="false"/>
        <w:keepLines w:val="false"/>
        <w:widowControl w:val="false"/>
        <w:numPr>
          <w:ilvl w:val="1"/>
          <w:numId w:val="1"/>
        </w:numPr>
        <w:suppressAutoHyphens w:val="false"/>
        <w:spacing w:lineRule="auto" w:line="360" w:before="120" w:after="120"/>
        <w:ind w:hanging="709" w:left="709"/>
        <w:jc w:val="both"/>
        <w:rPr>
          <w:lang w:val="vi-VN"/>
        </w:rPr>
      </w:pPr>
      <w:r>
        <w:rPr>
          <w:rFonts w:cs="Times New Roman" w:ascii="Times New Roman" w:hAnsi="Times New Roman"/>
          <w:b w:val="false"/>
          <w:bCs w:val="false"/>
          <w:color w:val="auto"/>
          <w:sz w:val="24"/>
          <w:szCs w:val="24"/>
          <w:lang w:val="en-GB"/>
        </w:rPr>
        <w:t>9.1</w:t>
      </w:r>
      <w:r>
        <w:rPr>
          <w:rFonts w:cs="Times New Roman" w:ascii="Times New Roman" w:hAnsi="Times New Roman"/>
          <w:b w:val="false"/>
          <w:bCs w:val="false"/>
          <w:i/>
          <w:iCs/>
          <w:color w:val="auto"/>
          <w:sz w:val="24"/>
          <w:szCs w:val="24"/>
          <w:lang w:val="en-GB"/>
        </w:rPr>
        <w:tab/>
      </w:r>
      <w:r>
        <w:rPr>
          <w:rFonts w:cs="Times New Roman" w:ascii="Times New Roman" w:hAnsi="Times New Roman"/>
          <w:b w:val="false"/>
          <w:color w:val="auto"/>
          <w:sz w:val="24"/>
          <w:szCs w:val="24"/>
          <w:lang w:val="vi-VN"/>
        </w:rPr>
        <w:t xml:space="preserve"> Hợp đồng này được điều chỉnh và diễn giải theo pháp luật của nước Cộng hòa xã hội chủ nghĩa Việt Nam.</w:t>
      </w:r>
    </w:p>
    <w:p>
      <w:pPr>
        <w:pStyle w:val="Heading2"/>
        <w:keepNext w:val="false"/>
        <w:keepLines w:val="false"/>
        <w:widowControl w:val="false"/>
        <w:numPr>
          <w:ilvl w:val="1"/>
          <w:numId w:val="1"/>
        </w:numPr>
        <w:suppressAutoHyphens w:val="false"/>
        <w:spacing w:lineRule="auto" w:line="360" w:before="120" w:after="120"/>
        <w:ind w:hanging="720" w:left="720"/>
        <w:jc w:val="both"/>
        <w:rPr>
          <w:rFonts w:ascii="Times New Roman" w:hAnsi="Times New Roman" w:cs="Times New Roman"/>
          <w:b w:val="false"/>
          <w:color w:val="auto"/>
          <w:sz w:val="24"/>
          <w:szCs w:val="24"/>
          <w:lang w:val="vi-VN"/>
        </w:rPr>
      </w:pPr>
      <w:r>
        <w:rPr>
          <w:rFonts w:cs="Times New Roman" w:ascii="Times New Roman" w:hAnsi="Times New Roman"/>
          <w:b w:val="false"/>
          <w:bCs w:val="false"/>
          <w:color w:val="auto"/>
          <w:sz w:val="24"/>
          <w:szCs w:val="24"/>
          <w:lang w:val="en-GB"/>
        </w:rPr>
        <w:t>9.2</w:t>
        <w:tab/>
      </w:r>
      <w:r>
        <w:rPr>
          <w:rFonts w:cs="Times New Roman" w:ascii="Times New Roman" w:hAnsi="Times New Roman"/>
          <w:b w:val="false"/>
          <w:color w:val="auto"/>
          <w:sz w:val="24"/>
          <w:szCs w:val="24"/>
          <w:lang w:val="vi-VN"/>
        </w:rPr>
        <w:t xml:space="preserve">Bất cứ tranh chấp nào phát sinh từ hoặc liên quan đến Hợp Đồng này </w:t>
      </w:r>
      <w:r>
        <w:rPr>
          <w:rFonts w:cs="Times New Roman" w:ascii="Times New Roman" w:hAnsi="Times New Roman"/>
          <w:color w:val="auto"/>
          <w:sz w:val="24"/>
          <w:szCs w:val="24"/>
          <w:lang w:val="vi-VN"/>
        </w:rPr>
        <w:t>(“Tranh chấp”)</w:t>
      </w:r>
      <w:r>
        <w:rPr>
          <w:rFonts w:cs="Times New Roman" w:ascii="Times New Roman" w:hAnsi="Times New Roman"/>
          <w:b w:val="false"/>
          <w:color w:val="auto"/>
          <w:sz w:val="24"/>
          <w:szCs w:val="24"/>
          <w:lang w:val="vi-VN"/>
        </w:rPr>
        <w:t xml:space="preserve"> trước tiên sẽ được Các Bên giải quyết bằng thương lượng, hòa giải. Trong trường hợp tranh chấp không được giải quyết bằng thương lượng, hòa giải thì Mỗi Bên đều có thể đưa tranh chấp ra giải quyết tại Tòa án nhân dân có thẩm quyền tại Tp.Hồ Chí Minh. Phán quyết của Tòa án là cuối cùng và buộc Các Bên phải thi hành. </w:t>
      </w:r>
    </w:p>
    <w:p>
      <w:pPr>
        <w:pStyle w:val="Normal"/>
        <w:spacing w:lineRule="auto" w:line="360" w:before="120" w:after="120"/>
        <w:jc w:val="both"/>
        <w:rPr>
          <w:b/>
          <w:bCs/>
          <w:i/>
          <w:i/>
          <w:iCs/>
        </w:rPr>
      </w:pPr>
      <w:r>
        <w:rPr>
          <w:b/>
          <w:bCs/>
          <w:u w:val="single"/>
        </w:rPr>
        <w:t>Điều 10:</w:t>
      </w:r>
      <w:r>
        <w:rPr>
          <w:b/>
          <w:bCs/>
        </w:rPr>
        <w:t xml:space="preserve"> Các điều khoản khác</w:t>
      </w:r>
    </w:p>
    <w:p>
      <w:pPr>
        <w:pStyle w:val="Normal"/>
        <w:widowControl w:val="false"/>
        <w:numPr>
          <w:ilvl w:val="1"/>
          <w:numId w:val="14"/>
        </w:numPr>
        <w:tabs>
          <w:tab w:val="left" w:pos="720" w:leader="none"/>
        </w:tabs>
        <w:suppressAutoHyphens w:val="false"/>
        <w:spacing w:lineRule="auto" w:line="360" w:before="120" w:after="120"/>
        <w:ind w:hanging="709" w:left="709"/>
        <w:jc w:val="both"/>
        <w:rPr>
          <w:bCs/>
          <w:i/>
          <w:i/>
          <w:iCs/>
        </w:rPr>
      </w:pPr>
      <w:r>
        <w:rPr>
          <w:bCs/>
        </w:rPr>
        <w:t>Các vấn đề phát sinh hoặc chưa quy định cụ thể tại Hợp đồng này được thể hiện bằng phụ lục hợp đồng có xác nhận của Hai Bên.</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Các đề mục trong Hợp đồng này là chỉ để tiện tham khảo chứ không quy định, thay đổi hoặc ảnh hưởng đến bất kỳ điều khoản chi tiết nào của Hợp đồng này.</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Nếu có bất kỳ phần, khoản mục hoặc điều khoản nào của Hợp đồng này bị tuyên bố là bất hợp pháp, vô hiệu, không có hiệu lực thi hành thì các điều khoản còn lại của Hợp đồng này vẫn có giá trị pháp lý và hiệu lực thi hành.</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Việc sửa đổi, bổ sung, gia hạn Hợp đồng này phải thực hiện bằng văn bản và được Các bên chính thức ký kết. Các Phụ lục kèm theo Hợp đồng này hoặc bất kỳ các bản bổ sung và sửa đổi nào được ký kết hợp lệ là một bộ phận của Hợp đồng này và có giá trị pháp lý và hiệu lực thi hành như Hợp đồng này.</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 xml:space="preserve">Hợp đồng này được hai Bên thống nhất lập thành 04 (bốn) bản bằng Tiếng Việt, mỗi bên giữ 02 (hai) bản và có hiệu lực kể từ ngày ký.  </w:t>
      </w:r>
    </w:p>
    <w:p>
      <w:pPr>
        <w:pStyle w:val="Normal"/>
        <w:widowControl w:val="false"/>
        <w:suppressAutoHyphens w:val="false"/>
        <w:spacing w:lineRule="auto" w:line="360" w:before="120" w:after="120"/>
        <w:ind w:left="709"/>
        <w:jc w:val="both"/>
        <w:rPr>
          <w:i/>
          <w:i/>
          <w:iCs/>
        </w:rPr>
      </w:pPr>
      <w:r>
        <w:rPr>
          <w:i/>
          <w:iCs/>
        </w:rPr>
      </w:r>
    </w:p>
    <w:p>
      <w:pPr>
        <w:pStyle w:val="Normal"/>
        <w:tabs>
          <w:tab w:val="clear" w:pos="720"/>
          <w:tab w:val="center" w:pos="1800" w:leader="none"/>
          <w:tab w:val="center" w:pos="7200" w:leader="none"/>
        </w:tabs>
        <w:spacing w:before="120" w:after="0"/>
        <w:jc w:val="both"/>
        <w:rPr>
          <w:b/>
          <w:i/>
          <w:i/>
          <w:iCs/>
        </w:rPr>
      </w:pPr>
      <w:r>
        <w:rPr>
          <w:b/>
        </w:rPr>
        <w:tab/>
        <w:t>ĐẠI DIỆN BÊN MUA</w:t>
        <w:tab/>
        <w:t>ĐẠI DIỆN BÊN BÁN</w:t>
      </w:r>
    </w:p>
    <w:p>
      <w:pPr>
        <w:pStyle w:val="Normal"/>
        <w:tabs>
          <w:tab w:val="clear" w:pos="720"/>
          <w:tab w:val="center" w:pos="7200" w:leader="none"/>
        </w:tabs>
        <w:spacing w:lineRule="auto" w:line="312" w:before="120" w:after="0"/>
        <w:jc w:val="both"/>
        <w:rPr>
          <w:b/>
        </w:rPr>
      </w:pPr>
      <w:r>
        <w:rPr>
          <w:b/>
        </w:rPr>
      </w:r>
    </w:p>
    <w:p>
      <w:pPr>
        <w:pStyle w:val="Normal"/>
        <w:tabs>
          <w:tab w:val="clear" w:pos="720"/>
          <w:tab w:val="center" w:pos="7200" w:leader="none"/>
        </w:tabs>
        <w:spacing w:lineRule="auto" w:line="312" w:before="120" w:after="0"/>
        <w:jc w:val="both"/>
        <w:rPr>
          <w:b/>
        </w:rPr>
      </w:pPr>
      <w:r>
        <w:rPr>
          <w:b/>
        </w:rPr>
      </w:r>
    </w:p>
    <w:p>
      <w:pPr>
        <w:pStyle w:val="Normal"/>
        <w:tabs>
          <w:tab w:val="clear" w:pos="720"/>
          <w:tab w:val="center" w:pos="7200" w:leader="none"/>
        </w:tabs>
        <w:spacing w:lineRule="auto" w:line="312" w:before="120" w:after="0"/>
        <w:jc w:val="both"/>
        <w:rPr>
          <w:b/>
        </w:rPr>
      </w:pPr>
      <w:r>
        <w:rPr>
          <w:b/>
        </w:rPr>
      </w:r>
    </w:p>
    <w:p>
      <w:pPr>
        <w:pStyle w:val="Normal"/>
        <w:tabs>
          <w:tab w:val="clear" w:pos="720"/>
          <w:tab w:val="center" w:pos="7200" w:leader="none"/>
        </w:tabs>
        <w:spacing w:lineRule="auto" w:line="312" w:before="120" w:after="0"/>
        <w:jc w:val="both"/>
        <w:rPr>
          <w:b/>
        </w:rPr>
      </w:pPr>
      <w:r>
        <w:rPr>
          <w:b/>
        </w:rPr>
        <w:t xml:space="preserve">               </w:t>
      </w:r>
      <w:r>
        <w:rPr>
          <w:b/>
        </w:rPr>
        <w:t>BÙI VĂN DŨNG</w:t>
        <w:tab/>
        <w:t xml:space="preserve">  HOÀNG MẠNH TIẾN</w:t>
      </w:r>
    </w:p>
    <w:p>
      <w:pPr>
        <w:pStyle w:val="Normal"/>
        <w:tabs>
          <w:tab w:val="clear" w:pos="720"/>
          <w:tab w:val="center" w:pos="7200" w:leader="none"/>
        </w:tabs>
        <w:spacing w:lineRule="auto" w:line="312" w:before="120" w:after="0"/>
        <w:jc w:val="both"/>
        <w:rPr/>
      </w:pPr>
      <w:r>
        <w:rPr>
          <w:b/>
        </w:rPr>
        <w:t xml:space="preserve">                     </w:t>
      </w:r>
      <w:r>
        <w:rPr>
          <w:b/>
        </w:rPr>
        <w:t>Giám Đốc</w:t>
        <w:tab/>
        <w:t xml:space="preserve">  Giám Đốc Khu Vực Miền Nam</w:t>
      </w:r>
      <w:r>
        <w:rPr/>
        <w:tab/>
      </w:r>
      <w:r>
        <w:br w:type="page"/>
      </w:r>
    </w:p>
    <w:p>
      <w:pPr>
        <w:pStyle w:val="Normal"/>
        <w:tabs>
          <w:tab w:val="clear" w:pos="720"/>
          <w:tab w:val="center" w:pos="7200" w:leader="none"/>
        </w:tabs>
        <w:spacing w:lineRule="auto" w:line="312" w:before="0" w:after="0"/>
        <w:ind w:hanging="0"/>
        <w:jc w:val="both"/>
        <w:rPr/>
      </w:pPr>
      <w:r>
        <w:rPr/>
      </w:r>
    </w:p>
    <w:p>
      <w:pPr>
        <w:pStyle w:val="Normal"/>
        <w:tabs>
          <w:tab w:val="clear" w:pos="720"/>
          <w:tab w:val="center" w:pos="7200" w:leader="none"/>
        </w:tabs>
        <w:jc w:val="center"/>
        <w:rPr>
          <w:b/>
          <w:sz w:val="30"/>
          <w:szCs w:val="30"/>
        </w:rPr>
      </w:pPr>
      <w:r>
        <w:rPr>
          <w:b/>
          <w:sz w:val="30"/>
          <w:szCs w:val="30"/>
        </w:rPr>
        <w:t>PHỤ LỤC MÔ TẢ HÀNG HÓA</w:t>
      </w:r>
    </w:p>
    <w:p>
      <w:pPr>
        <w:pStyle w:val="Normal"/>
        <w:tabs>
          <w:tab w:val="clear" w:pos="720"/>
          <w:tab w:val="center" w:pos="7200" w:leader="none"/>
        </w:tabs>
        <w:spacing w:before="120" w:after="0"/>
        <w:jc w:val="center"/>
        <w:rPr/>
      </w:pPr>
      <w:r>
        <w:rPr/>
        <w:t>(Kèm hợp đồng số HWR250070/SGN ký ngày 15/12/2025)</w:t>
      </w:r>
    </w:p>
    <w:p>
      <w:pPr>
        <w:pStyle w:val="Normal"/>
        <w:tabs>
          <w:tab w:val="clear" w:pos="720"/>
          <w:tab w:val="center" w:pos="7200" w:leader="none"/>
        </w:tabs>
        <w:spacing w:before="120" w:after="0"/>
        <w:jc w:val="center"/>
        <w:rPr/>
      </w:pPr>
      <w:r>
        <w:rPr/>
      </w:r>
    </w:p>
    <w:tbl>
      <w:tblPr>
        <w:tblW w:w="9510"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1882"/>
        <w:gridCol w:w="1901"/>
        <w:gridCol w:w="1884"/>
        <w:gridCol w:w="1899"/>
        <w:gridCol w:w="1944"/>
      </w:tblGrid>
      <w:tr>
        <w:trPr/>
        <w:tc>
          <w:tcPr>
            <w:tcW w:w="1882" w:type="dxa"/>
            <w:tcBorders>
              <w:top w:val="single" w:sz="4" w:space="0" w:color="000000"/>
              <w:left w:val="single" w:sz="4" w:space="0" w:color="000000"/>
              <w:bottom w:val="single" w:sz="4" w:space="0" w:color="000000"/>
            </w:tcBorders>
          </w:tcPr>
          <w:p>
            <w:pPr>
              <w:pStyle w:val="Normal"/>
              <w:suppressAutoHyphens w:val="false"/>
              <w:jc w:val="center"/>
              <w:rPr>
                <w:b/>
                <w:bCs/>
                <w:lang w:eastAsia="en-US"/>
              </w:rPr>
            </w:pPr>
            <w:r>
              <w:rPr>
                <w:b/>
                <w:bCs/>
                <w:lang w:eastAsia="en-US"/>
              </w:rPr>
              <w:t>PRODUCTS</w:t>
            </w:r>
          </w:p>
        </w:tc>
        <w:tc>
          <w:tcPr>
            <w:tcW w:w="1901"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UNIT</w:t>
            </w:r>
          </w:p>
        </w:tc>
        <w:tc>
          <w:tcPr>
            <w:tcW w:w="1884"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PRICES (VND)</w:t>
            </w:r>
          </w:p>
        </w:tc>
        <w:tc>
          <w:tcPr>
            <w:tcW w:w="1899"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QTY</w:t>
            </w:r>
          </w:p>
        </w:tc>
        <w:tc>
          <w:tcPr>
            <w:tcW w:w="1944" w:type="dxa"/>
            <w:tcBorders>
              <w:top w:val="single" w:sz="4" w:space="0" w:color="000000"/>
              <w:left w:val="single" w:sz="4" w:space="0" w:color="000000"/>
              <w:bottom w:val="single" w:sz="4" w:space="0" w:color="000000"/>
              <w:right w:val="single" w:sz="4" w:space="0" w:color="000000"/>
            </w:tcBorders>
          </w:tcPr>
          <w:p>
            <w:pPr>
              <w:pStyle w:val="Normal"/>
              <w:suppressAutoHyphens w:val="false"/>
              <w:jc w:val="center"/>
              <w:rPr>
                <w:b/>
                <w:bCs/>
                <w:sz w:val="20"/>
                <w:szCs w:val="20"/>
                <w:lang w:eastAsia="en-US"/>
              </w:rPr>
            </w:pPr>
            <w:r>
              <w:rPr>
                <w:b/>
                <w:bCs/>
                <w:sz w:val="20"/>
                <w:szCs w:val="20"/>
                <w:lang w:eastAsia="en-US"/>
              </w:rPr>
              <w:t>TOTAL (VND)</w:t>
            </w:r>
          </w:p>
        </w:tc>
      </w:tr>
      <w:tr>
        <w:trPr/>
        <w:tc>
          <w:tcPr>
            <w:tcW w:w="9510" w:type="dxa"/>
            <w:gridSpan w:val="5"/>
            <w:tcBorders>
              <w:left w:val="single" w:sz="4" w:space="0" w:color="000000"/>
              <w:bottom w:val="single" w:sz="4" w:space="0" w:color="000000"/>
              <w:right w:val="single" w:sz="4" w:space="0" w:color="000000"/>
            </w:tcBorders>
          </w:tcPr>
          <w:p>
            <w:pPr>
              <w:pStyle w:val="Normal"/>
              <w:suppressAutoHyphens w:val="false"/>
              <w:spacing w:lineRule="exact" w:line="14"/>
              <w:jc w:val="center"/>
              <w:rPr>
                <w:sz w:val="2"/>
                <w:szCs w:val="2"/>
              </w:rPr>
            </w:pPr>
            <w:r>
              <w:rPr>
                <w:sz w:val="2"/>
                <w:szCs w:val="2"/>
              </w:rPr>
              <w:t>{% for p in danh_sach_sp %}</w:t>
            </w:r>
          </w:p>
        </w:tc>
      </w:tr>
      <w:tr>
        <w:trPr/>
        <w:tc>
          <w:tcPr>
            <w:tcW w:w="1882" w:type="dxa"/>
            <w:tcBorders>
              <w:left w:val="single" w:sz="4" w:space="0" w:color="000000"/>
              <w:bottom w:val="single" w:sz="4" w:space="0" w:color="000000"/>
            </w:tcBorders>
          </w:tcPr>
          <w:p>
            <w:pPr>
              <w:pStyle w:val="Normal"/>
              <w:suppressAutoHyphens w:val="false"/>
              <w:jc w:val="center"/>
              <w:rPr>
                <w:b/>
                <w:bCs/>
              </w:rPr>
            </w:pPr>
            <w:r>
              <w:rPr>
                <w:b/>
                <w:bCs/>
                <w:color w:val="000000"/>
                <w:sz w:val="22"/>
                <w:szCs w:val="22"/>
                <w:lang w:eastAsia="en-US"/>
              </w:rPr>
              <w:t>{{ p.ten_sp }}</w:t>
            </w:r>
          </w:p>
        </w:tc>
        <w:tc>
          <w:tcPr>
            <w:tcW w:w="1901"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{{p.don_vi_tinh}}</w:t>
            </w:r>
          </w:p>
        </w:tc>
        <w:tc>
          <w:tcPr>
            <w:tcW w:w="1884"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{{p.gia_tien}}</w:t>
            </w:r>
          </w:p>
        </w:tc>
        <w:tc>
          <w:tcPr>
            <w:tcW w:w="1899"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{{p.so_luong}}</w:t>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p.gia_tien * p.so_luong }} VND</w:t>
            </w:r>
          </w:p>
        </w:tc>
      </w:tr>
      <w:tr>
        <w:trPr/>
        <w:tc>
          <w:tcPr>
            <w:tcW w:w="9510" w:type="dxa"/>
            <w:gridSpan w:val="5"/>
            <w:tcBorders>
              <w:left w:val="single" w:sz="4" w:space="0" w:color="000000"/>
              <w:bottom w:val="single" w:sz="4" w:space="0" w:color="000000"/>
              <w:right w:val="single" w:sz="4" w:space="0" w:color="000000"/>
            </w:tcBorders>
          </w:tcPr>
          <w:p>
            <w:pPr>
              <w:pStyle w:val="Normal"/>
              <w:suppressAutoHyphens w:val="false"/>
              <w:spacing w:lineRule="exact" w:line="14"/>
              <w:jc w:val="center"/>
              <w:rPr>
                <w:sz w:val="2"/>
                <w:szCs w:val="2"/>
              </w:rPr>
            </w:pPr>
            <w:r>
              <w:rPr>
                <w:sz w:val="2"/>
                <w:szCs w:val="2"/>
              </w:rPr>
              <w:t>{% endfor %}</w:t>
            </w:r>
          </w:p>
        </w:tc>
      </w:tr>
    </w:tbl>
    <w:p>
      <w:pPr>
        <w:pStyle w:val="Normal"/>
        <w:tabs>
          <w:tab w:val="clear" w:pos="720"/>
          <w:tab w:val="center" w:pos="7200" w:leader="none"/>
        </w:tabs>
        <w:spacing w:before="120" w:after="0"/>
        <w:rPr/>
      </w:pPr>
      <w:r>
        <w:rPr/>
      </w:r>
    </w:p>
    <w:sectPr>
      <w:footerReference w:type="even" r:id="rId3"/>
      <w:footerReference w:type="default" r:id="rId4"/>
      <w:footerReference w:type="first" r:id="rId5"/>
      <w:type w:val="nextPage"/>
      <w:pgSz w:w="11906" w:h="16838"/>
      <w:pgMar w:left="1440" w:right="1008" w:gutter="0" w:header="0" w:top="1170" w:footer="547" w:bottom="851"/>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VNI-Times">
    <w:charset w:val="01"/>
    <w:family w:val="roman"/>
    <w:pitch w:val="variable"/>
  </w:font>
  <w:font w:name=".VnTime">
    <w:charset w:val="01"/>
    <w:family w:val="roman"/>
    <w:pitch w:val="variable"/>
  </w:font>
  <w:font w:name="Tahoma">
    <w:charset w:val="01"/>
    <w:family w:val="roman"/>
    <w:pitch w:val="variable"/>
  </w:font>
  <w:font w:name="Liberation Mono">
    <w:altName w:val="Courier New"/>
    <w:charset w:val="01"/>
    <w:family w:val="roman"/>
    <w:pitch w:val="variable"/>
  </w:font>
  <w:font w:name="Helvetica">
    <w:altName w:val="Arial"/>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8640"/>
        <w:tab w:val="center" w:pos="4320" w:leader="none"/>
        <w:tab w:val="right" w:pos="9498" w:leader="none"/>
      </w:tabs>
      <w:rPr>
        <w:rFonts w:ascii="Arial" w:hAnsi="Arial" w:cs="Arial"/>
        <w:sz w:val="16"/>
        <w:szCs w:val="16"/>
        <w:lang w:val="en-GB"/>
      </w:rPr>
    </w:pPr>
    <w:r>
      <w:rPr>
        <w:rFonts w:cs="Arial" w:ascii="Arial" w:hAnsi="Arial"/>
        <w:sz w:val="16"/>
        <w:szCs w:val="16"/>
        <w:lang w:val="en-GB"/>
      </w:rPr>
      <w:t>15.12.2025 NGUYEN THI PHUONG NGOC</w:t>
    </w:r>
    <w:r>
      <w:rPr>
        <w:rFonts w:cs="Arial" w:ascii="Arial" w:hAnsi="Arial"/>
        <w:sz w:val="16"/>
        <w:szCs w:val="16"/>
      </w:rPr>
      <w:tab/>
      <w:tab/>
    </w:r>
    <w:r>
      <w:rPr>
        <w:rFonts w:cs="Arial" w:ascii="Arial" w:hAnsi="Arial"/>
        <w:sz w:val="20"/>
        <w:szCs w:val="20"/>
      </w:rPr>
      <w:t xml:space="preserve">  </w:t>
    </w:r>
    <w:r>
      <w:rPr>
        <w:rStyle w:val="PageNumber"/>
        <w:rFonts w:cs="Arial"/>
        <w:sz w:val="20"/>
        <w:szCs w:val="20"/>
      </w:rPr>
      <w:fldChar w:fldCharType="begin"/>
    </w:r>
    <w:r>
      <w:rPr>
        <w:rStyle w:val="PageNumber"/>
        <w:sz w:val="20"/>
        <w:szCs w:val="20"/>
        <w:rFonts w:cs="Arial"/>
      </w:rPr>
      <w:instrText xml:space="preserve"> PAGE </w:instrText>
    </w:r>
    <w:r>
      <w:rPr>
        <w:rStyle w:val="PageNumber"/>
        <w:sz w:val="20"/>
        <w:szCs w:val="20"/>
        <w:rFonts w:cs="Arial"/>
      </w:rPr>
      <w:fldChar w:fldCharType="separate"/>
    </w:r>
    <w:r>
      <w:rPr>
        <w:rStyle w:val="PageNumber"/>
        <w:sz w:val="20"/>
        <w:szCs w:val="20"/>
        <w:rFonts w:cs="Arial"/>
      </w:rPr>
      <w:t>8</w:t>
    </w:r>
    <w:r>
      <w:rPr>
        <w:rStyle w:val="PageNumber"/>
        <w:sz w:val="20"/>
        <w:szCs w:val="20"/>
        <w:rFonts w:cs="Arial"/>
      </w:rPr>
      <w:fldChar w:fldCharType="end"/>
    </w:r>
    <w:r>
      <w:rPr>
        <w:rStyle w:val="PageNumber"/>
        <w:rFonts w:cs="Arial" w:ascii="Arial" w:hAnsi="Arial"/>
        <w:sz w:val="20"/>
        <w:szCs w:val="20"/>
      </w:rPr>
      <w:t>/</w:t>
    </w:r>
    <w:r>
      <w:rPr>
        <w:rStyle w:val="PageNumber"/>
        <w:rFonts w:cs="Arial" w:ascii="Arial" w:hAnsi="Arial"/>
        <w:sz w:val="20"/>
        <w:szCs w:val="20"/>
        <w:lang w:val="en-US"/>
      </w:rPr>
      <w:t>7</w:t>
    </w:r>
  </w:p>
  <w:p>
    <w:pPr>
      <w:pStyle w:val="Footer"/>
      <w:pBdr>
        <w:top w:val="single" w:sz="4" w:space="1" w:color="000000"/>
      </w:pBdr>
      <w:tabs>
        <w:tab w:val="clear" w:pos="8640"/>
        <w:tab w:val="center" w:pos="4320" w:leader="none"/>
        <w:tab w:val="right" w:pos="9498" w:leader="none"/>
      </w:tabs>
      <w:rPr>
        <w:sz w:val="20"/>
        <w:szCs w:val="20"/>
      </w:rPr>
    </w:pPr>
    <w:r>
      <w:rPr>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8640"/>
        <w:tab w:val="center" w:pos="4320" w:leader="none"/>
        <w:tab w:val="right" w:pos="9498" w:leader="none"/>
      </w:tabs>
      <w:rPr>
        <w:rFonts w:ascii="Arial" w:hAnsi="Arial" w:cs="Arial"/>
        <w:sz w:val="16"/>
        <w:szCs w:val="16"/>
        <w:lang w:val="en-GB"/>
      </w:rPr>
    </w:pPr>
    <w:r>
      <w:rPr>
        <w:rFonts w:cs="Arial" w:ascii="Arial" w:hAnsi="Arial"/>
        <w:sz w:val="16"/>
        <w:szCs w:val="16"/>
        <w:lang w:val="en-GB"/>
      </w:rPr>
      <w:t>15.12.2025 NGUYEN THI PHUONG NGOC</w:t>
    </w:r>
    <w:r>
      <w:rPr>
        <w:rFonts w:cs="Arial" w:ascii="Arial" w:hAnsi="Arial"/>
        <w:sz w:val="16"/>
        <w:szCs w:val="16"/>
      </w:rPr>
      <w:tab/>
      <w:tab/>
    </w:r>
    <w:r>
      <w:rPr>
        <w:rFonts w:cs="Arial" w:ascii="Arial" w:hAnsi="Arial"/>
        <w:sz w:val="20"/>
        <w:szCs w:val="20"/>
      </w:rPr>
      <w:t xml:space="preserve">  </w:t>
    </w:r>
    <w:r>
      <w:rPr>
        <w:rStyle w:val="PageNumber"/>
        <w:rFonts w:cs="Arial"/>
        <w:sz w:val="20"/>
        <w:szCs w:val="20"/>
      </w:rPr>
      <w:fldChar w:fldCharType="begin"/>
    </w:r>
    <w:r>
      <w:rPr>
        <w:rStyle w:val="PageNumber"/>
        <w:sz w:val="20"/>
        <w:szCs w:val="20"/>
        <w:rFonts w:cs="Arial"/>
      </w:rPr>
      <w:instrText xml:space="preserve"> PAGE </w:instrText>
    </w:r>
    <w:r>
      <w:rPr>
        <w:rStyle w:val="PageNumber"/>
        <w:sz w:val="20"/>
        <w:szCs w:val="20"/>
        <w:rFonts w:cs="Arial"/>
      </w:rPr>
      <w:fldChar w:fldCharType="separate"/>
    </w:r>
    <w:r>
      <w:rPr>
        <w:rStyle w:val="PageNumber"/>
        <w:sz w:val="20"/>
        <w:szCs w:val="20"/>
        <w:rFonts w:cs="Arial"/>
      </w:rPr>
      <w:t>8</w:t>
    </w:r>
    <w:r>
      <w:rPr>
        <w:rStyle w:val="PageNumber"/>
        <w:sz w:val="20"/>
        <w:szCs w:val="20"/>
        <w:rFonts w:cs="Arial"/>
      </w:rPr>
      <w:fldChar w:fldCharType="end"/>
    </w:r>
    <w:r>
      <w:rPr>
        <w:rStyle w:val="PageNumber"/>
        <w:rFonts w:cs="Arial" w:ascii="Arial" w:hAnsi="Arial"/>
        <w:sz w:val="20"/>
        <w:szCs w:val="20"/>
      </w:rPr>
      <w:t>/</w:t>
    </w:r>
    <w:r>
      <w:rPr>
        <w:rStyle w:val="PageNumber"/>
        <w:rFonts w:cs="Arial" w:ascii="Arial" w:hAnsi="Arial"/>
        <w:sz w:val="20"/>
        <w:szCs w:val="20"/>
        <w:lang w:val="en-US"/>
      </w:rPr>
      <w:t>7</w:t>
    </w:r>
  </w:p>
  <w:p>
    <w:pPr>
      <w:pStyle w:val="Footer"/>
      <w:pBdr>
        <w:top w:val="single" w:sz="4" w:space="1" w:color="000000"/>
      </w:pBdr>
      <w:tabs>
        <w:tab w:val="clear" w:pos="8640"/>
        <w:tab w:val="center" w:pos="4320" w:leader="none"/>
        <w:tab w:val="right" w:pos="9498" w:leader="none"/>
      </w:tabs>
      <w:rPr>
        <w:sz w:val="20"/>
        <w:szCs w:val="20"/>
      </w:rPr>
    </w:pPr>
    <w:r>
      <w:rPr>
        <w:sz w:val="20"/>
        <w:szCs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sz w:val="26"/>
        <w:i w:val="false"/>
        <w:b w:val="false"/>
        <w:szCs w:val="20"/>
        <w:color w:val="auto"/>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none"/>
      <w:suff w:val="nothing"/>
      <w:lvlText w:val=""/>
      <w:lvlJc w:val="left"/>
      <w:pPr>
        <w:tabs>
          <w:tab w:val="num" w:pos="0"/>
        </w:tabs>
        <w:ind w:left="432" w:hanging="432"/>
      </w:pPr>
      <w:rPr>
        <w:i/>
        <w:iCs/>
        <w:bCs/>
        <w:lang w:val="vi-VN"/>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3">
    <w:lvl w:ilvl="0">
      <w:start w:val="5"/>
      <w:numFmt w:val="decimal"/>
      <w:lvlText w:val="%1"/>
      <w:lvlJc w:val="left"/>
      <w:pPr>
        <w:tabs>
          <w:tab w:val="num" w:pos="0"/>
        </w:tabs>
        <w:ind w:left="480" w:hanging="480"/>
      </w:pPr>
      <w:rPr>
        <w:sz w:val="24"/>
        <w:i w:val="false"/>
        <w:u w:val="none"/>
        <w:b w:val="false"/>
        <w:szCs w:val="24"/>
        <w:iCs/>
        <w:bCs/>
        <w:rFonts w:ascii="Times New Roman" w:hAnsi="Times New Roman" w:cs="Times New Roman"/>
        <w:color w:val="000000"/>
        <w:lang w:val="vi-VN"/>
      </w:rPr>
    </w:lvl>
    <w:lvl w:ilvl="1">
      <w:start w:val="1"/>
      <w:numFmt w:val="decimal"/>
      <w:lvlText w:val="%1.%2"/>
      <w:lvlJc w:val="left"/>
      <w:pPr>
        <w:tabs>
          <w:tab w:val="num" w:pos="0"/>
        </w:tabs>
        <w:ind w:left="2100" w:hanging="480"/>
      </w:pPr>
      <w:rPr>
        <w:sz w:val="24"/>
        <w:i w:val="false"/>
        <w:u w:val="none"/>
        <w:b w:val="false"/>
        <w:szCs w:val="24"/>
        <w:iCs/>
        <w:bCs/>
        <w:rFonts w:ascii="Times New Roman" w:hAnsi="Times New Roman" w:cs="Times New Roman"/>
        <w:color w:val="000000"/>
        <w:lang w:val="vi-VN"/>
      </w:rPr>
    </w:lvl>
    <w:lvl w:ilvl="2">
      <w:start w:val="1"/>
      <w:numFmt w:val="decimal"/>
      <w:lvlText w:val="%1.%2.%3"/>
      <w:lvlJc w:val="left"/>
      <w:pPr>
        <w:tabs>
          <w:tab w:val="num" w:pos="0"/>
        </w:tabs>
        <w:ind w:left="3960" w:hanging="720"/>
      </w:pPr>
      <w:rPr>
        <w:sz w:val="24"/>
        <w:i w:val="false"/>
        <w:u w:val="none"/>
        <w:b w:val="false"/>
        <w:szCs w:val="24"/>
        <w:iCs/>
        <w:bCs/>
        <w:rFonts w:ascii="Times New Roman" w:hAnsi="Times New Roman" w:cs="Times New Roman"/>
        <w:color w:val="000000"/>
        <w:lang w:val="vi-VN"/>
      </w:rPr>
    </w:lvl>
    <w:lvl w:ilvl="3">
      <w:start w:val="1"/>
      <w:numFmt w:val="decimal"/>
      <w:lvlText w:val="%1.%2.%3.%4"/>
      <w:lvlJc w:val="left"/>
      <w:pPr>
        <w:tabs>
          <w:tab w:val="num" w:pos="0"/>
        </w:tabs>
        <w:ind w:left="5580" w:hanging="720"/>
      </w:pPr>
      <w:rPr>
        <w:sz w:val="24"/>
        <w:i w:val="false"/>
        <w:u w:val="none"/>
        <w:b w:val="false"/>
        <w:szCs w:val="24"/>
        <w:iCs/>
        <w:bCs/>
        <w:rFonts w:ascii="Times New Roman" w:hAnsi="Times New Roman" w:cs="Times New Roman"/>
        <w:color w:val="000000"/>
        <w:lang w:val="vi-VN"/>
      </w:rPr>
    </w:lvl>
    <w:lvl w:ilvl="4">
      <w:start w:val="1"/>
      <w:numFmt w:val="decimal"/>
      <w:lvlText w:val="%1.%2.%3.%4.%5"/>
      <w:lvlJc w:val="left"/>
      <w:pPr>
        <w:tabs>
          <w:tab w:val="num" w:pos="0"/>
        </w:tabs>
        <w:ind w:left="7560" w:hanging="1080"/>
      </w:pPr>
      <w:rPr>
        <w:sz w:val="24"/>
        <w:i w:val="false"/>
        <w:u w:val="none"/>
        <w:b w:val="false"/>
        <w:szCs w:val="24"/>
        <w:iCs/>
        <w:bCs/>
        <w:rFonts w:ascii="Times New Roman" w:hAnsi="Times New Roman" w:cs="Times New Roman"/>
        <w:color w:val="000000"/>
        <w:lang w:val="vi-VN"/>
      </w:rPr>
    </w:lvl>
    <w:lvl w:ilvl="5">
      <w:start w:val="1"/>
      <w:numFmt w:val="decimal"/>
      <w:lvlText w:val="%1.%2.%3.%4.%5.%6"/>
      <w:lvlJc w:val="left"/>
      <w:pPr>
        <w:tabs>
          <w:tab w:val="num" w:pos="0"/>
        </w:tabs>
        <w:ind w:left="9180" w:hanging="1080"/>
      </w:pPr>
      <w:rPr>
        <w:sz w:val="24"/>
        <w:i w:val="false"/>
        <w:u w:val="none"/>
        <w:b w:val="false"/>
        <w:szCs w:val="24"/>
        <w:iCs/>
        <w:bCs/>
        <w:rFonts w:ascii="Times New Roman" w:hAnsi="Times New Roman" w:cs="Times New Roman"/>
        <w:color w:val="000000"/>
        <w:lang w:val="vi-VN"/>
      </w:rPr>
    </w:lvl>
    <w:lvl w:ilvl="6">
      <w:start w:val="1"/>
      <w:numFmt w:val="decimal"/>
      <w:lvlText w:val="%1.%2.%3.%4.%5.%6.%7"/>
      <w:lvlJc w:val="left"/>
      <w:pPr>
        <w:tabs>
          <w:tab w:val="num" w:pos="0"/>
        </w:tabs>
        <w:ind w:left="11160" w:hanging="1440"/>
      </w:pPr>
      <w:rPr>
        <w:sz w:val="24"/>
        <w:i w:val="false"/>
        <w:u w:val="none"/>
        <w:b w:val="false"/>
        <w:szCs w:val="24"/>
        <w:iCs/>
        <w:bCs/>
        <w:rFonts w:ascii="Times New Roman" w:hAnsi="Times New Roman" w:cs="Times New Roman"/>
        <w:color w:val="000000"/>
        <w:lang w:val="vi-VN"/>
      </w:rPr>
    </w:lvl>
    <w:lvl w:ilvl="7">
      <w:start w:val="1"/>
      <w:numFmt w:val="decimal"/>
      <w:lvlText w:val="%1.%2.%3.%4.%5.%6.%7.%8"/>
      <w:lvlJc w:val="left"/>
      <w:pPr>
        <w:tabs>
          <w:tab w:val="num" w:pos="0"/>
        </w:tabs>
        <w:ind w:left="12780" w:hanging="1440"/>
      </w:pPr>
      <w:rPr>
        <w:sz w:val="24"/>
        <w:i w:val="false"/>
        <w:u w:val="none"/>
        <w:b w:val="false"/>
        <w:szCs w:val="24"/>
        <w:iCs/>
        <w:bCs/>
        <w:rFonts w:ascii="Times New Roman" w:hAnsi="Times New Roman" w:cs="Times New Roman"/>
        <w:color w:val="000000"/>
        <w:lang w:val="vi-VN"/>
      </w:rPr>
    </w:lvl>
    <w:lvl w:ilvl="8">
      <w:start w:val="1"/>
      <w:numFmt w:val="decimal"/>
      <w:lvlText w:val="%1.%2.%3.%4.%5.%6.%7.%8.%9"/>
      <w:lvlJc w:val="left"/>
      <w:pPr>
        <w:tabs>
          <w:tab w:val="num" w:pos="0"/>
        </w:tabs>
        <w:ind w:left="14760" w:hanging="1800"/>
      </w:pPr>
      <w:rPr>
        <w:sz w:val="24"/>
        <w:i w:val="false"/>
        <w:u w:val="none"/>
        <w:b w:val="false"/>
        <w:szCs w:val="24"/>
        <w:iCs/>
        <w:bCs/>
        <w:rFonts w:ascii="Times New Roman" w:hAnsi="Times New Roman" w:cs="Times New Roman"/>
        <w:color w:val="000000"/>
        <w:lang w:val="vi-VN"/>
      </w:rPr>
    </w:lvl>
  </w:abstractNum>
  <w:abstractNum w:abstractNumId="4">
    <w:lvl w:ilvl="0">
      <w:start w:val="1"/>
      <w:numFmt w:val="decimal"/>
      <w:lvlText w:val="3.%1."/>
      <w:lvlJc w:val="left"/>
      <w:pPr>
        <w:tabs>
          <w:tab w:val="num" w:pos="720"/>
        </w:tabs>
        <w:ind w:left="720" w:hanging="360"/>
      </w:pPr>
      <w:rPr>
        <w:sz w:val="24"/>
        <w:i w:val="false"/>
        <w:u w:val="none"/>
        <w:b w:val="false"/>
        <w:szCs w:val="22"/>
        <w:rFonts w:ascii="Times New Roman" w:hAnsi="Times New Roman" w:cs="Times New Roman"/>
        <w:color w:val="000000"/>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2.%1."/>
      <w:lvlJc w:val="left"/>
      <w:pPr>
        <w:tabs>
          <w:tab w:val="num" w:pos="0"/>
        </w:tabs>
        <w:ind w:left="720" w:hanging="360"/>
      </w:pPr>
      <w:rPr>
        <w:i w:val="false"/>
        <w:rFonts w:ascii="Times New Roman" w:hAnsi="Times New Roman" w:eastAsia="Times New Roman" w:cs="Arial"/>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7"/>
      <w:numFmt w:val="decimal"/>
      <w:lvlText w:val="%1"/>
      <w:lvlJc w:val="left"/>
      <w:pPr>
        <w:tabs>
          <w:tab w:val="num" w:pos="0"/>
        </w:tabs>
        <w:ind w:left="480" w:hanging="480"/>
      </w:pPr>
      <w:rPr>
        <w:sz w:val="24"/>
        <w:i w:val="false"/>
        <w:b w:val="false"/>
        <w:szCs w:val="24"/>
        <w:iCs/>
        <w:bCs/>
        <w:rFonts w:eastAsia="MS Mincho"/>
        <w:color w:val="auto"/>
        <w:lang w:val="en-GB"/>
      </w:rPr>
    </w:lvl>
    <w:lvl w:ilvl="1">
      <w:start w:val="2"/>
      <w:numFmt w:val="decimal"/>
      <w:lvlText w:val="%1.%2"/>
      <w:lvlJc w:val="left"/>
      <w:pPr>
        <w:tabs>
          <w:tab w:val="num" w:pos="0"/>
        </w:tabs>
        <w:ind w:left="840" w:hanging="480"/>
      </w:pPr>
      <w:rPr>
        <w:sz w:val="24"/>
        <w:i w:val="false"/>
        <w:b w:val="false"/>
        <w:szCs w:val="24"/>
        <w:iCs/>
        <w:bCs/>
        <w:rFonts w:eastAsia="MS Mincho"/>
        <w:color w:val="auto"/>
        <w:lang w:val="en-GB"/>
      </w:rPr>
    </w:lvl>
    <w:lvl w:ilvl="2">
      <w:start w:val="1"/>
      <w:numFmt w:val="decimal"/>
      <w:lvlText w:val="%1.%2.%3"/>
      <w:lvlJc w:val="left"/>
      <w:pPr>
        <w:tabs>
          <w:tab w:val="num" w:pos="0"/>
        </w:tabs>
        <w:ind w:left="1440" w:hanging="720"/>
      </w:pPr>
      <w:rPr>
        <w:sz w:val="24"/>
        <w:i w:val="false"/>
        <w:b w:val="false"/>
        <w:szCs w:val="24"/>
        <w:iCs/>
        <w:bCs/>
        <w:rFonts w:eastAsia="MS Mincho"/>
        <w:color w:val="auto"/>
        <w:lang w:val="en-GB"/>
      </w:rPr>
    </w:lvl>
    <w:lvl w:ilvl="3">
      <w:start w:val="1"/>
      <w:numFmt w:val="decimal"/>
      <w:lvlText w:val="%1.%2.%3.%4"/>
      <w:lvlJc w:val="left"/>
      <w:pPr>
        <w:tabs>
          <w:tab w:val="num" w:pos="0"/>
        </w:tabs>
        <w:ind w:left="1800" w:hanging="720"/>
      </w:pPr>
      <w:rPr>
        <w:sz w:val="24"/>
        <w:i w:val="false"/>
        <w:b w:val="false"/>
        <w:szCs w:val="24"/>
        <w:iCs/>
        <w:bCs/>
        <w:rFonts w:eastAsia="MS Mincho"/>
        <w:color w:val="auto"/>
        <w:lang w:val="en-GB"/>
      </w:rPr>
    </w:lvl>
    <w:lvl w:ilvl="4">
      <w:start w:val="1"/>
      <w:numFmt w:val="decimal"/>
      <w:lvlText w:val="%1.%2.%3.%4.%5"/>
      <w:lvlJc w:val="left"/>
      <w:pPr>
        <w:tabs>
          <w:tab w:val="num" w:pos="0"/>
        </w:tabs>
        <w:ind w:left="2520" w:hanging="1080"/>
      </w:pPr>
      <w:rPr>
        <w:sz w:val="24"/>
        <w:i w:val="false"/>
        <w:b w:val="false"/>
        <w:szCs w:val="24"/>
        <w:iCs/>
        <w:bCs/>
        <w:rFonts w:eastAsia="MS Mincho"/>
        <w:color w:val="auto"/>
        <w:lang w:val="en-GB"/>
      </w:rPr>
    </w:lvl>
    <w:lvl w:ilvl="5">
      <w:start w:val="1"/>
      <w:numFmt w:val="decimal"/>
      <w:lvlText w:val="%1.%2.%3.%4.%5.%6"/>
      <w:lvlJc w:val="left"/>
      <w:pPr>
        <w:tabs>
          <w:tab w:val="num" w:pos="0"/>
        </w:tabs>
        <w:ind w:left="2880" w:hanging="1080"/>
      </w:pPr>
      <w:rPr>
        <w:sz w:val="24"/>
        <w:i w:val="false"/>
        <w:b w:val="false"/>
        <w:szCs w:val="24"/>
        <w:iCs/>
        <w:bCs/>
        <w:rFonts w:eastAsia="MS Mincho"/>
        <w:color w:val="auto"/>
        <w:lang w:val="en-GB"/>
      </w:rPr>
    </w:lvl>
    <w:lvl w:ilvl="6">
      <w:start w:val="1"/>
      <w:numFmt w:val="decimal"/>
      <w:lvlText w:val="%1.%2.%3.%4.%5.%6.%7"/>
      <w:lvlJc w:val="left"/>
      <w:pPr>
        <w:tabs>
          <w:tab w:val="num" w:pos="0"/>
        </w:tabs>
        <w:ind w:left="3600" w:hanging="1440"/>
      </w:pPr>
      <w:rPr>
        <w:sz w:val="24"/>
        <w:i w:val="false"/>
        <w:b w:val="false"/>
        <w:szCs w:val="24"/>
        <w:iCs/>
        <w:bCs/>
        <w:rFonts w:eastAsia="MS Mincho"/>
        <w:color w:val="auto"/>
        <w:lang w:val="en-GB"/>
      </w:rPr>
    </w:lvl>
    <w:lvl w:ilvl="7">
      <w:start w:val="1"/>
      <w:numFmt w:val="decimal"/>
      <w:lvlText w:val="%1.%2.%3.%4.%5.%6.%7.%8"/>
      <w:lvlJc w:val="left"/>
      <w:pPr>
        <w:tabs>
          <w:tab w:val="num" w:pos="0"/>
        </w:tabs>
        <w:ind w:left="3960" w:hanging="1440"/>
      </w:pPr>
      <w:rPr>
        <w:sz w:val="24"/>
        <w:i w:val="false"/>
        <w:b w:val="false"/>
        <w:szCs w:val="24"/>
        <w:iCs/>
        <w:bCs/>
        <w:rFonts w:eastAsia="MS Mincho"/>
        <w:color w:val="auto"/>
        <w:lang w:val="en-GB"/>
      </w:rPr>
    </w:lvl>
    <w:lvl w:ilvl="8">
      <w:start w:val="1"/>
      <w:numFmt w:val="decimal"/>
      <w:lvlText w:val="%1.%2.%3.%4.%5.%6.%7.%8.%9"/>
      <w:lvlJc w:val="left"/>
      <w:pPr>
        <w:tabs>
          <w:tab w:val="num" w:pos="0"/>
        </w:tabs>
        <w:ind w:left="4680" w:hanging="1800"/>
      </w:pPr>
      <w:rPr>
        <w:sz w:val="24"/>
        <w:i w:val="false"/>
        <w:b w:val="false"/>
        <w:szCs w:val="24"/>
        <w:iCs/>
        <w:bCs/>
        <w:rFonts w:eastAsia="MS Mincho"/>
        <w:color w:val="auto"/>
        <w:lang w:val="en-GB"/>
      </w:rPr>
    </w:lvl>
  </w:abstractNum>
  <w:abstractNum w:abstractNumId="7">
    <w:lvl w:ilvl="0">
      <w:start w:val="1"/>
      <w:numFmt w:val="decimal"/>
      <w:lvlText w:val="5.2.%1."/>
      <w:lvlJc w:val="left"/>
      <w:pPr>
        <w:tabs>
          <w:tab w:val="num" w:pos="720"/>
        </w:tabs>
        <w:ind w:left="720" w:hanging="360"/>
      </w:pPr>
      <w:rPr>
        <w:i/>
        <w:iCs/>
        <w:bCs/>
        <w:rFonts w:eastAsia="MS Mincho"/>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5.%1."/>
      <w:lvlJc w:val="left"/>
      <w:pPr>
        <w:tabs>
          <w:tab w:val="num" w:pos="0"/>
        </w:tabs>
        <w:ind w:left="1077" w:hanging="360"/>
      </w:pPr>
      <w:rPr>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7"/>
      <w:numFmt w:val="decimal"/>
      <w:lvlText w:val="%1."/>
      <w:lvlJc w:val="left"/>
      <w:pPr>
        <w:tabs>
          <w:tab w:val="num" w:pos="0"/>
        </w:tabs>
        <w:ind w:left="390" w:hanging="390"/>
      </w:pPr>
      <w:rPr>
        <w:sz w:val="24"/>
        <w:i w:val="false"/>
        <w:b w:val="false"/>
        <w:szCs w:val="24"/>
        <w:iCs/>
        <w:rFonts w:eastAsia="MS Mincho"/>
        <w:color w:val="auto"/>
        <w:lang w:val="vi-VN"/>
      </w:rPr>
    </w:lvl>
    <w:lvl w:ilvl="1">
      <w:start w:val="1"/>
      <w:numFmt w:val="decimal"/>
      <w:lvlText w:val="8.%2."/>
      <w:lvlJc w:val="left"/>
      <w:pPr>
        <w:tabs>
          <w:tab w:val="num" w:pos="0"/>
        </w:tabs>
        <w:ind w:left="720" w:hanging="720"/>
      </w:pPr>
      <w:rPr>
        <w:i/>
        <w:iCs/>
        <w:bCs/>
        <w:lang w:val="vi-VN"/>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0">
    <w:lvl w:ilvl="0">
      <w:start w:val="1"/>
      <w:numFmt w:val="decimal"/>
      <w:lvlText w:val="6.%1."/>
      <w:lvlJc w:val="left"/>
      <w:pPr>
        <w:tabs>
          <w:tab w:val="num" w:pos="0"/>
        </w:tabs>
        <w:ind w:left="720" w:hanging="360"/>
      </w:pPr>
      <w:rPr>
        <w:sz w:val="24"/>
        <w:i w:val="false"/>
        <w:b w:val="false"/>
        <w:szCs w:val="20"/>
        <w:iCs/>
        <w:bCs w:val="false"/>
        <w:rFonts w:ascii="Times New Roman" w:hAnsi="Times New Roman" w:cs="Times New Roman"/>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3.5.%1."/>
      <w:lvlJc w:val="left"/>
      <w:pPr>
        <w:tabs>
          <w:tab w:val="num" w:pos="720"/>
        </w:tabs>
        <w:ind w:left="720" w:hanging="360"/>
      </w:pPr>
      <w:rPr>
        <w:i/>
        <w:b w:val="false"/>
        <w:iCs/>
        <w:bCs w:val="false"/>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7.%1."/>
      <w:lvlJc w:val="left"/>
      <w:pPr>
        <w:tabs>
          <w:tab w:val="num" w:pos="720"/>
        </w:tabs>
        <w:ind w:left="720" w:hanging="360"/>
      </w:pPr>
      <w:rPr>
        <w:i w:val="false"/>
        <w:iCs/>
        <w:rFonts w:eastAsia="MS Mincho"/>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3.4.%1."/>
      <w:lvlJc w:val="left"/>
      <w:pPr>
        <w:tabs>
          <w:tab w:val="num" w:pos="720"/>
        </w:tabs>
        <w:ind w:left="720" w:hanging="360"/>
      </w:pPr>
      <w:rPr>
        <w:sz w:val="24"/>
        <w:i w:val="false"/>
        <w:b w:val="false"/>
        <w:szCs w:val="24"/>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0"/>
      <w:numFmt w:val="decimal"/>
      <w:lvlText w:val="%1."/>
      <w:lvlJc w:val="left"/>
      <w:pPr>
        <w:tabs>
          <w:tab w:val="num" w:pos="720"/>
        </w:tabs>
        <w:ind w:left="720" w:hanging="360"/>
      </w:pPr>
      <w:rPr>
        <w:sz w:val="26"/>
        <w:i w:val="false"/>
        <w:b w:val="false"/>
        <w:szCs w:val="20"/>
        <w:color w:val="auto"/>
        <w:lang w:val="vi-VN"/>
      </w:rPr>
    </w:lvl>
    <w:lvl w:ilvl="1">
      <w:start w:val="1"/>
      <w:numFmt w:val="decimal"/>
      <w:lvlText w:val="%1.%2"/>
      <w:lvlJc w:val="left"/>
      <w:pPr>
        <w:tabs>
          <w:tab w:val="num" w:pos="1080"/>
        </w:tabs>
        <w:ind w:left="1080" w:hanging="360"/>
      </w:pPr>
      <w:rPr>
        <w:i w:val="false"/>
        <w:iCs/>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15">
    <w:lvl w:ilvl="0">
      <w:start w:val="10"/>
      <w:numFmt w:val="decimal"/>
      <w:lvlText w:val="%1."/>
      <w:lvlJc w:val="left"/>
      <w:pPr>
        <w:tabs>
          <w:tab w:val="num" w:pos="720"/>
        </w:tabs>
        <w:ind w:left="720" w:hanging="360"/>
      </w:pPr>
      <w:rPr>
        <w:sz w:val="24"/>
        <w:i w:val="false"/>
        <w:b w:val="false"/>
        <w:szCs w:val="24"/>
        <w:color w:val="auto"/>
        <w:lang w:val="vi-VN"/>
      </w:rPr>
    </w:lvl>
    <w:lvl w:ilvl="1">
      <w:start w:val="2"/>
      <w:numFmt w:val="decimal"/>
      <w:lvlText w:val="%1.%2"/>
      <w:lvlJc w:val="left"/>
      <w:pPr>
        <w:tabs>
          <w:tab w:val="num" w:pos="1080"/>
        </w:tabs>
        <w:ind w:left="1080" w:hanging="360"/>
      </w:pPr>
      <w:rPr>
        <w:i w:val="false"/>
        <w:iCs/>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16">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70"/>
  <w:embedSystemFonts/>
  <w:defaultTabStop w:val="720"/>
  <w:autoHyphenation w:val="true"/>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ar-SA" w:bidi="ar-SA"/>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Cambria"/>
      <w:b/>
      <w:bCs/>
      <w:color w:val="4F81BD"/>
      <w:sz w:val="26"/>
      <w:szCs w:val="26"/>
      <w:lang w:val="x-none"/>
    </w:rPr>
  </w:style>
  <w:style w:type="paragraph" w:styleId="Heading3">
    <w:name w:val="Heading 3"/>
    <w:basedOn w:val="Heading"/>
    <w:next w:val="BodyText"/>
    <w:qFormat/>
    <w:pPr>
      <w:numPr>
        <w:ilvl w:val="2"/>
        <w:numId w:val="1"/>
      </w:numPr>
      <w:outlineLvl w:val="2"/>
    </w:pPr>
    <w:rPr>
      <w:b/>
      <w:bCs/>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styleId="DefaultParagraphFont" w:default="1">
    <w:name w:val="Default Paragraph Font"/>
    <w:uiPriority w:val="1"/>
    <w:semiHidden/>
    <w:unhideWhenUsed/>
    <w:qFormat/>
    <w:rPr/>
  </w:style>
  <w:style w:type="character" w:styleId="WW8Num1z0" w:customStyle="1">
    <w:name w:val="WW8Num1z0"/>
    <w:qFormat/>
    <w:rPr>
      <w:b w:val="false"/>
      <w:i w:val="false"/>
      <w:color w:val="auto"/>
      <w:sz w:val="26"/>
      <w:szCs w:val="20"/>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bCs/>
      <w:i/>
      <w:iCs/>
      <w:lang w:val="vi-VN"/>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rFonts w:ascii="Times New Roman" w:hAnsi="Times New Roman" w:cs="Times New Roman"/>
      <w:b w:val="false"/>
      <w:bCs/>
      <w:i w:val="false"/>
      <w:iCs/>
      <w:color w:val="000000"/>
      <w:sz w:val="24"/>
      <w:szCs w:val="24"/>
      <w:u w:val="none"/>
      <w:lang w:val="vi-VN"/>
    </w:rPr>
  </w:style>
  <w:style w:type="character" w:styleId="WW8Num4z0" w:customStyle="1">
    <w:name w:val="WW8Num4z0"/>
    <w:qFormat/>
    <w:rPr>
      <w:rFonts w:ascii="Times New Roman" w:hAnsi="Times New Roman" w:cs="Times New Roman"/>
      <w:b w:val="false"/>
      <w:i w:val="false"/>
      <w:color w:val="000000"/>
      <w:sz w:val="24"/>
      <w:szCs w:val="22"/>
      <w:u w:val="none"/>
      <w:lang w:val="vi-VN"/>
    </w:rPr>
  </w:style>
  <w:style w:type="character" w:styleId="WW8Num5z0" w:customStyle="1">
    <w:name w:val="WW8Num5z0"/>
    <w:qFormat/>
    <w:rPr>
      <w:rFonts w:ascii="Arial" w:hAnsi="Arial" w:eastAsia="Times New Roman" w:cs="Arial"/>
      <w:lang w:val="vi-VN"/>
    </w:rPr>
  </w:style>
  <w:style w:type="character" w:styleId="WW8Num6z0" w:customStyle="1">
    <w:name w:val="WW8Num6z0"/>
    <w:qFormat/>
    <w:rPr>
      <w:rFonts w:eastAsia="MS Mincho"/>
      <w:lang w:val="vi-VN"/>
    </w:rPr>
  </w:style>
  <w:style w:type="character" w:styleId="WW8Num7z0" w:customStyle="1">
    <w:name w:val="WW8Num7z0"/>
    <w:qFormat/>
    <w:rPr>
      <w:i/>
      <w:iCs/>
      <w:lang w:val="vi-VN"/>
    </w:rPr>
  </w:style>
  <w:style w:type="character" w:styleId="WW8Num8z0" w:customStyle="1">
    <w:name w:val="WW8Num8z0"/>
    <w:qFormat/>
    <w:rPr>
      <w:rFonts w:eastAsia="MS Mincho"/>
      <w:b w:val="false"/>
      <w:bCs/>
      <w:i w:val="false"/>
      <w:iCs/>
      <w:color w:val="auto"/>
      <w:sz w:val="24"/>
      <w:szCs w:val="24"/>
      <w:lang w:val="en-GB"/>
    </w:rPr>
  </w:style>
  <w:style w:type="character" w:styleId="WW8Num9z0" w:customStyle="1">
    <w:name w:val="WW8Num9z0"/>
    <w:qFormat/>
    <w:rPr>
      <w:rFonts w:eastAsia="MS Mincho"/>
      <w:bCs/>
      <w:i/>
      <w:iCs/>
      <w:lang w:val="vi-VN"/>
    </w:rPr>
  </w:style>
  <w:style w:type="character" w:styleId="WW8Num10z0" w:customStyle="1">
    <w:name w:val="WW8Num10z0"/>
    <w:qFormat/>
    <w:rPr>
      <w:lang w:val="vi-VN"/>
    </w:rPr>
  </w:style>
  <w:style w:type="character" w:styleId="WW8Num11z0" w:customStyle="1">
    <w:name w:val="WW8Num11z0"/>
    <w:qFormat/>
    <w:rPr>
      <w:rFonts w:eastAsia="MS Mincho"/>
      <w:b w:val="false"/>
      <w:i w:val="false"/>
      <w:iCs/>
      <w:color w:val="auto"/>
      <w:sz w:val="24"/>
      <w:szCs w:val="24"/>
      <w:lang w:val="vi-VN"/>
    </w:rPr>
  </w:style>
  <w:style w:type="character" w:styleId="WW8Num11z1" w:customStyle="1">
    <w:name w:val="WW8Num11z1"/>
    <w:qFormat/>
    <w:rPr>
      <w:bCs/>
      <w:i/>
      <w:iCs/>
      <w:lang w:val="vi-VN"/>
    </w:rPr>
  </w:style>
  <w:style w:type="character" w:styleId="WW8Num11z2" w:customStyle="1">
    <w:name w:val="WW8Num11z2"/>
    <w:qFormat/>
    <w:rPr/>
  </w:style>
  <w:style w:type="character" w:styleId="WW8Num11z3" w:customStyle="1">
    <w:name w:val="WW8Num11z3"/>
    <w:qFormat/>
    <w:rPr/>
  </w:style>
  <w:style w:type="character" w:styleId="WW8Num11z4" w:customStyle="1">
    <w:name w:val="WW8Num11z4"/>
    <w:qFormat/>
    <w:rPr/>
  </w:style>
  <w:style w:type="character" w:styleId="WW8Num11z5" w:customStyle="1">
    <w:name w:val="WW8Num11z5"/>
    <w:qFormat/>
    <w:rPr/>
  </w:style>
  <w:style w:type="character" w:styleId="WW8Num11z6" w:customStyle="1">
    <w:name w:val="WW8Num11z6"/>
    <w:qFormat/>
    <w:rPr/>
  </w:style>
  <w:style w:type="character" w:styleId="WW8Num11z7" w:customStyle="1">
    <w:name w:val="WW8Num11z7"/>
    <w:qFormat/>
    <w:rPr/>
  </w:style>
  <w:style w:type="character" w:styleId="WW8Num11z8" w:customStyle="1">
    <w:name w:val="WW8Num11z8"/>
    <w:qFormat/>
    <w:rPr/>
  </w:style>
  <w:style w:type="character" w:styleId="WW8Num12z0" w:customStyle="1">
    <w:name w:val="WW8Num12z0"/>
    <w:qFormat/>
    <w:rPr>
      <w:rFonts w:ascii="Times New Roman" w:hAnsi="Times New Roman" w:cs="Times New Roman"/>
      <w:b w:val="false"/>
      <w:bCs w:val="false"/>
      <w:i w:val="false"/>
      <w:iCs/>
      <w:sz w:val="24"/>
      <w:szCs w:val="20"/>
      <w:lang w:val="vi-VN"/>
    </w:rPr>
  </w:style>
  <w:style w:type="character" w:styleId="WW8Num13z0" w:customStyle="1">
    <w:name w:val="WW8Num13z0"/>
    <w:qFormat/>
    <w:rPr>
      <w:b w:val="false"/>
      <w:bCs w:val="false"/>
      <w:i/>
      <w:iCs/>
      <w:lang w:val="vi-VN"/>
    </w:rPr>
  </w:style>
  <w:style w:type="character" w:styleId="WW8Num14z0" w:customStyle="1">
    <w:name w:val="WW8Num14z0"/>
    <w:qFormat/>
    <w:rPr>
      <w:b/>
      <w:i/>
      <w:iCs/>
    </w:rPr>
  </w:style>
  <w:style w:type="character" w:styleId="WW8Num15z0" w:customStyle="1">
    <w:name w:val="WW8Num15z0"/>
    <w:qFormat/>
    <w:rPr>
      <w:rFonts w:eastAsia="MS Mincho"/>
      <w:i/>
      <w:iCs/>
    </w:rPr>
  </w:style>
  <w:style w:type="character" w:styleId="WW8Num16z0" w:customStyle="1">
    <w:name w:val="WW8Num16z0"/>
    <w:qFormat/>
    <w:rPr>
      <w:b w:val="false"/>
      <w:sz w:val="24"/>
      <w:szCs w:val="24"/>
      <w:lang w:val="vi-VN"/>
    </w:rPr>
  </w:style>
  <w:style w:type="character" w:styleId="WW8Num17z0" w:customStyle="1">
    <w:name w:val="WW8Num17z0"/>
    <w:qFormat/>
    <w:rPr>
      <w:b w:val="false"/>
      <w:i w:val="false"/>
      <w:color w:val="auto"/>
      <w:sz w:val="26"/>
      <w:szCs w:val="20"/>
      <w:lang w:val="vi-VN"/>
    </w:rPr>
  </w:style>
  <w:style w:type="character" w:styleId="WW8Num17z1" w:customStyle="1">
    <w:name w:val="WW8Num17z1"/>
    <w:qFormat/>
    <w:rPr>
      <w:i/>
      <w:iCs/>
    </w:rPr>
  </w:style>
  <w:style w:type="character" w:styleId="WW8Num17z2" w:customStyle="1">
    <w:name w:val="WW8Num17z2"/>
    <w:qFormat/>
    <w:rPr/>
  </w:style>
  <w:style w:type="character" w:styleId="WW8Num17z3" w:customStyle="1">
    <w:name w:val="WW8Num17z3"/>
    <w:qFormat/>
    <w:rPr/>
  </w:style>
  <w:style w:type="character" w:styleId="WW8Num17z4" w:customStyle="1">
    <w:name w:val="WW8Num17z4"/>
    <w:qFormat/>
    <w:rPr/>
  </w:style>
  <w:style w:type="character" w:styleId="WW8Num17z5" w:customStyle="1">
    <w:name w:val="WW8Num17z5"/>
    <w:qFormat/>
    <w:rPr/>
  </w:style>
  <w:style w:type="character" w:styleId="WW8Num17z6" w:customStyle="1">
    <w:name w:val="WW8Num17z6"/>
    <w:qFormat/>
    <w:rPr/>
  </w:style>
  <w:style w:type="character" w:styleId="WW8Num17z7" w:customStyle="1">
    <w:name w:val="WW8Num17z7"/>
    <w:qFormat/>
    <w:rPr/>
  </w:style>
  <w:style w:type="character" w:styleId="WW8Num17z8" w:customStyle="1">
    <w:name w:val="WW8Num17z8"/>
    <w:qFormat/>
    <w:rPr/>
  </w:style>
  <w:style w:type="character" w:styleId="WW8Num18z0" w:customStyle="1">
    <w:name w:val="WW8Num18z0"/>
    <w:qFormat/>
    <w:rPr>
      <w:b w:val="false"/>
      <w:i w:val="false"/>
      <w:color w:val="auto"/>
      <w:sz w:val="24"/>
      <w:szCs w:val="24"/>
      <w:lang w:val="vi-VN"/>
    </w:rPr>
  </w:style>
  <w:style w:type="character" w:styleId="WW8Num18z1" w:customStyle="1">
    <w:name w:val="WW8Num18z1"/>
    <w:qFormat/>
    <w:rPr>
      <w:i/>
      <w:iCs/>
    </w:rPr>
  </w:style>
  <w:style w:type="character" w:styleId="WW8Num18z2" w:customStyle="1">
    <w:name w:val="WW8Num18z2"/>
    <w:qFormat/>
    <w:rPr/>
  </w:style>
  <w:style w:type="character" w:styleId="WW8Num18z3" w:customStyle="1">
    <w:name w:val="WW8Num18z3"/>
    <w:qFormat/>
    <w:rPr/>
  </w:style>
  <w:style w:type="character" w:styleId="WW8Num18z4" w:customStyle="1">
    <w:name w:val="WW8Num18z4"/>
    <w:qFormat/>
    <w:rPr/>
  </w:style>
  <w:style w:type="character" w:styleId="WW8Num18z5" w:customStyle="1">
    <w:name w:val="WW8Num18z5"/>
    <w:qFormat/>
    <w:rPr/>
  </w:style>
  <w:style w:type="character" w:styleId="WW8Num18z6" w:customStyle="1">
    <w:name w:val="WW8Num18z6"/>
    <w:qFormat/>
    <w:rPr/>
  </w:style>
  <w:style w:type="character" w:styleId="WW8Num18z7" w:customStyle="1">
    <w:name w:val="WW8Num18z7"/>
    <w:qFormat/>
    <w:rPr/>
  </w:style>
  <w:style w:type="character" w:styleId="WW8Num18z8" w:customStyle="1">
    <w:name w:val="WW8Num18z8"/>
    <w:qFormat/>
    <w:rPr/>
  </w:style>
  <w:style w:type="character" w:styleId="DefaultParagraphFont1" w:customStyle="1">
    <w:name w:val="Default Paragraph Font1"/>
    <w:qFormat/>
    <w:rPr/>
  </w:style>
  <w:style w:type="character" w:styleId="WW8Num10z1" w:customStyle="1">
    <w:name w:val="WW8Num10z1"/>
    <w:qFormat/>
    <w:rPr>
      <w:lang w:val="vi-VN"/>
    </w:rPr>
  </w:style>
  <w:style w:type="character" w:styleId="WW8Num10z2" w:customStyle="1">
    <w:name w:val="WW8Num10z2"/>
    <w:qFormat/>
    <w:rPr/>
  </w:style>
  <w:style w:type="character" w:styleId="WW8Num10z3" w:customStyle="1">
    <w:name w:val="WW8Num10z3"/>
    <w:qFormat/>
    <w:rPr/>
  </w:style>
  <w:style w:type="character" w:styleId="WW8Num10z4" w:customStyle="1">
    <w:name w:val="WW8Num10z4"/>
    <w:qFormat/>
    <w:rPr/>
  </w:style>
  <w:style w:type="character" w:styleId="WW8Num10z5" w:customStyle="1">
    <w:name w:val="WW8Num10z5"/>
    <w:qFormat/>
    <w:rPr/>
  </w:style>
  <w:style w:type="character" w:styleId="WW8Num10z6" w:customStyle="1">
    <w:name w:val="WW8Num10z6"/>
    <w:qFormat/>
    <w:rPr/>
  </w:style>
  <w:style w:type="character" w:styleId="WW8Num10z7" w:customStyle="1">
    <w:name w:val="WW8Num10z7"/>
    <w:qFormat/>
    <w:rPr/>
  </w:style>
  <w:style w:type="character" w:styleId="WW8Num10z8" w:customStyle="1">
    <w:name w:val="WW8Num10z8"/>
    <w:qFormat/>
    <w:rPr/>
  </w:style>
  <w:style w:type="character" w:styleId="WW-DefaultParagraphFont" w:customStyle="1">
    <w:name w:val="WW-Default Paragraph Font"/>
    <w:qFormat/>
    <w:rPr/>
  </w:style>
  <w:style w:type="character" w:styleId="WW8Num3z1" w:customStyle="1">
    <w:name w:val="WW8Num3z1"/>
    <w:qFormat/>
    <w:rPr/>
  </w:style>
  <w:style w:type="character" w:styleId="WW8Num3z2" w:customStyle="1">
    <w:name w:val="WW8Num3z2"/>
    <w:qFormat/>
    <w:rPr/>
  </w:style>
  <w:style w:type="character" w:styleId="WW8Num3z3" w:customStyle="1">
    <w:name w:val="WW8Num3z3"/>
    <w:qFormat/>
    <w:rPr/>
  </w:style>
  <w:style w:type="character" w:styleId="WW8Num3z4" w:customStyle="1">
    <w:name w:val="WW8Num3z4"/>
    <w:qFormat/>
    <w:rPr/>
  </w:style>
  <w:style w:type="character" w:styleId="WW8Num3z5" w:customStyle="1">
    <w:name w:val="WW8Num3z5"/>
    <w:qFormat/>
    <w:rPr/>
  </w:style>
  <w:style w:type="character" w:styleId="WW8Num3z6" w:customStyle="1">
    <w:name w:val="WW8Num3z6"/>
    <w:qFormat/>
    <w:rPr/>
  </w:style>
  <w:style w:type="character" w:styleId="WW8Num3z7" w:customStyle="1">
    <w:name w:val="WW8Num3z7"/>
    <w:qFormat/>
    <w:rPr/>
  </w:style>
  <w:style w:type="character" w:styleId="WW8Num3z8" w:customStyle="1">
    <w:name w:val="WW8Num3z8"/>
    <w:qFormat/>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WW8Num5z3" w:customStyle="1">
    <w:name w:val="WW8Num5z3"/>
    <w:qFormat/>
    <w:rPr>
      <w:rFonts w:ascii="Symbol" w:hAnsi="Symbol" w:cs="Symbol"/>
    </w:rPr>
  </w:style>
  <w:style w:type="character" w:styleId="WW8Num7z1" w:customStyle="1">
    <w:name w:val="WW8Num7z1"/>
    <w:qFormat/>
    <w:rPr>
      <w:b w:val="false"/>
    </w:rPr>
  </w:style>
  <w:style w:type="character" w:styleId="WW8Num8z1" w:customStyle="1">
    <w:name w:val="WW8Num8z1"/>
    <w:qFormat/>
    <w:rPr/>
  </w:style>
  <w:style w:type="character" w:styleId="WW8Num8z2" w:customStyle="1">
    <w:name w:val="WW8Num8z2"/>
    <w:qFormat/>
    <w:rPr/>
  </w:style>
  <w:style w:type="character" w:styleId="WW8Num8z3" w:customStyle="1">
    <w:name w:val="WW8Num8z3"/>
    <w:qFormat/>
    <w:rPr/>
  </w:style>
  <w:style w:type="character" w:styleId="WW8Num8z4" w:customStyle="1">
    <w:name w:val="WW8Num8z4"/>
    <w:qFormat/>
    <w:rPr/>
  </w:style>
  <w:style w:type="character" w:styleId="WW8Num8z5" w:customStyle="1">
    <w:name w:val="WW8Num8z5"/>
    <w:qFormat/>
    <w:rPr/>
  </w:style>
  <w:style w:type="character" w:styleId="WW8Num8z6" w:customStyle="1">
    <w:name w:val="WW8Num8z6"/>
    <w:qFormat/>
    <w:rPr/>
  </w:style>
  <w:style w:type="character" w:styleId="WW8Num8z7" w:customStyle="1">
    <w:name w:val="WW8Num8z7"/>
    <w:qFormat/>
    <w:rPr/>
  </w:style>
  <w:style w:type="character" w:styleId="WW8Num8z8" w:customStyle="1">
    <w:name w:val="WW8Num8z8"/>
    <w:qFormat/>
    <w:rPr/>
  </w:style>
  <w:style w:type="character" w:styleId="WW8Num12z1" w:customStyle="1">
    <w:name w:val="WW8Num12z1"/>
    <w:qFormat/>
    <w:rPr/>
  </w:style>
  <w:style w:type="character" w:styleId="WW8Num12z2" w:customStyle="1">
    <w:name w:val="WW8Num12z2"/>
    <w:qFormat/>
    <w:rPr/>
  </w:style>
  <w:style w:type="character" w:styleId="WW8Num12z3" w:customStyle="1">
    <w:name w:val="WW8Num12z3"/>
    <w:qFormat/>
    <w:rPr/>
  </w:style>
  <w:style w:type="character" w:styleId="WW8Num12z4" w:customStyle="1">
    <w:name w:val="WW8Num12z4"/>
    <w:qFormat/>
    <w:rPr/>
  </w:style>
  <w:style w:type="character" w:styleId="WW8Num12z5" w:customStyle="1">
    <w:name w:val="WW8Num12z5"/>
    <w:qFormat/>
    <w:rPr/>
  </w:style>
  <w:style w:type="character" w:styleId="WW8Num12z6" w:customStyle="1">
    <w:name w:val="WW8Num12z6"/>
    <w:qFormat/>
    <w:rPr/>
  </w:style>
  <w:style w:type="character" w:styleId="WW8Num12z7" w:customStyle="1">
    <w:name w:val="WW8Num12z7"/>
    <w:qFormat/>
    <w:rPr/>
  </w:style>
  <w:style w:type="character" w:styleId="WW8Num12z8" w:customStyle="1">
    <w:name w:val="WW8Num12z8"/>
    <w:qFormat/>
    <w:rPr/>
  </w:style>
  <w:style w:type="character" w:styleId="WW8Num14z1" w:customStyle="1">
    <w:name w:val="WW8Num14z1"/>
    <w:qFormat/>
    <w:rPr>
      <w:rFonts w:ascii="Times New Roman" w:hAnsi="Times New Roman" w:cs="Times New Roman"/>
      <w:b w:val="false"/>
      <w:color w:val="auto"/>
      <w:sz w:val="24"/>
      <w:szCs w:val="24"/>
      <w:lang w:val="vi-VN"/>
    </w:rPr>
  </w:style>
  <w:style w:type="character" w:styleId="WW8Num15z1" w:customStyle="1">
    <w:name w:val="WW8Num15z1"/>
    <w:qFormat/>
    <w:rPr>
      <w:b w:val="false"/>
      <w:bCs/>
      <w:i w:val="false"/>
      <w:color w:val="auto"/>
      <w:sz w:val="24"/>
      <w:szCs w:val="24"/>
      <w:lang w:val="vi-VN"/>
    </w:rPr>
  </w:style>
  <w:style w:type="character" w:styleId="WW8Num16z1" w:customStyle="1">
    <w:name w:val="WW8Num16z1"/>
    <w:qFormat/>
    <w:rPr/>
  </w:style>
  <w:style w:type="character" w:styleId="WW8Num16z2" w:customStyle="1">
    <w:name w:val="WW8Num16z2"/>
    <w:qFormat/>
    <w:rPr/>
  </w:style>
  <w:style w:type="character" w:styleId="WW8Num16z3" w:customStyle="1">
    <w:name w:val="WW8Num16z3"/>
    <w:qFormat/>
    <w:rPr/>
  </w:style>
  <w:style w:type="character" w:styleId="WW8Num16z4" w:customStyle="1">
    <w:name w:val="WW8Num16z4"/>
    <w:qFormat/>
    <w:rPr/>
  </w:style>
  <w:style w:type="character" w:styleId="WW8Num16z5" w:customStyle="1">
    <w:name w:val="WW8Num16z5"/>
    <w:qFormat/>
    <w:rPr/>
  </w:style>
  <w:style w:type="character" w:styleId="WW8Num16z6" w:customStyle="1">
    <w:name w:val="WW8Num16z6"/>
    <w:qFormat/>
    <w:rPr/>
  </w:style>
  <w:style w:type="character" w:styleId="WW8Num16z7" w:customStyle="1">
    <w:name w:val="WW8Num16z7"/>
    <w:qFormat/>
    <w:rPr/>
  </w:style>
  <w:style w:type="character" w:styleId="WW8Num16z8" w:customStyle="1">
    <w:name w:val="WW8Num16z8"/>
    <w:qFormat/>
    <w:rPr/>
  </w:style>
  <w:style w:type="character" w:styleId="WW8Num19z0" w:customStyle="1">
    <w:name w:val="WW8Num19z0"/>
    <w:qFormat/>
    <w:rPr/>
  </w:style>
  <w:style w:type="character" w:styleId="WW8Num20z0" w:customStyle="1">
    <w:name w:val="WW8Num20z0"/>
    <w:qFormat/>
    <w:rPr>
      <w:rFonts w:ascii="Times New Roman" w:hAnsi="Times New Roman" w:eastAsia="Times New Roman" w:cs="Times New Roman"/>
    </w:rPr>
  </w:style>
  <w:style w:type="character" w:styleId="WW8Num20z1" w:customStyle="1">
    <w:name w:val="WW8Num20z1"/>
    <w:qFormat/>
    <w:rPr>
      <w:rFonts w:ascii="Courier New" w:hAnsi="Courier New" w:cs="Courier New"/>
    </w:rPr>
  </w:style>
  <w:style w:type="character" w:styleId="WW8Num20z2" w:customStyle="1">
    <w:name w:val="WW8Num20z2"/>
    <w:qFormat/>
    <w:rPr>
      <w:rFonts w:ascii="Wingdings" w:hAnsi="Wingdings" w:cs="Wingdings"/>
    </w:rPr>
  </w:style>
  <w:style w:type="character" w:styleId="WW8Num20z3" w:customStyle="1">
    <w:name w:val="WW8Num20z3"/>
    <w:qFormat/>
    <w:rPr>
      <w:rFonts w:ascii="Symbol" w:hAnsi="Symbol" w:cs="Symbol"/>
    </w:rPr>
  </w:style>
  <w:style w:type="character" w:styleId="WW8Num21z0" w:customStyle="1">
    <w:name w:val="WW8Num21z0"/>
    <w:qFormat/>
    <w:rPr/>
  </w:style>
  <w:style w:type="character" w:styleId="WW8Num21z1" w:customStyle="1">
    <w:name w:val="WW8Num21z1"/>
    <w:qFormat/>
    <w:rPr>
      <w:b w:val="false"/>
    </w:rPr>
  </w:style>
  <w:style w:type="character" w:styleId="WW8Num22z0" w:customStyle="1">
    <w:name w:val="WW8Num22z0"/>
    <w:qFormat/>
    <w:rPr>
      <w:b w:val="false"/>
      <w:i w:val="false"/>
      <w:color w:val="auto"/>
      <w:sz w:val="24"/>
      <w:szCs w:val="24"/>
      <w:lang w:val="vi-VN"/>
    </w:rPr>
  </w:style>
  <w:style w:type="character" w:styleId="WW8Num22z1" w:customStyle="1">
    <w:name w:val="WW8Num22z1"/>
    <w:qFormat/>
    <w:rPr/>
  </w:style>
  <w:style w:type="character" w:styleId="WW8Num22z2" w:customStyle="1">
    <w:name w:val="WW8Num22z2"/>
    <w:qFormat/>
    <w:rPr/>
  </w:style>
  <w:style w:type="character" w:styleId="WW8Num22z3" w:customStyle="1">
    <w:name w:val="WW8Num22z3"/>
    <w:qFormat/>
    <w:rPr/>
  </w:style>
  <w:style w:type="character" w:styleId="WW8Num22z4" w:customStyle="1">
    <w:name w:val="WW8Num22z4"/>
    <w:qFormat/>
    <w:rPr/>
  </w:style>
  <w:style w:type="character" w:styleId="WW8Num22z5" w:customStyle="1">
    <w:name w:val="WW8Num22z5"/>
    <w:qFormat/>
    <w:rPr/>
  </w:style>
  <w:style w:type="character" w:styleId="WW8Num22z6" w:customStyle="1">
    <w:name w:val="WW8Num22z6"/>
    <w:qFormat/>
    <w:rPr/>
  </w:style>
  <w:style w:type="character" w:styleId="WW8Num22z7" w:customStyle="1">
    <w:name w:val="WW8Num22z7"/>
    <w:qFormat/>
    <w:rPr/>
  </w:style>
  <w:style w:type="character" w:styleId="WW8Num22z8" w:customStyle="1">
    <w:name w:val="WW8Num22z8"/>
    <w:qFormat/>
    <w:rPr/>
  </w:style>
  <w:style w:type="character" w:styleId="WW8Num23z0" w:customStyle="1">
    <w:name w:val="WW8Num23z0"/>
    <w:qFormat/>
    <w:rPr>
      <w:rFonts w:eastAsia="MS Mincho"/>
      <w:b w:val="false"/>
      <w:i w:val="false"/>
      <w:color w:val="auto"/>
      <w:sz w:val="24"/>
      <w:szCs w:val="24"/>
      <w:lang w:val="vi-VN"/>
    </w:rPr>
  </w:style>
  <w:style w:type="character" w:styleId="WW8Num23z1" w:customStyle="1">
    <w:name w:val="WW8Num23z1"/>
    <w:qFormat/>
    <w:rPr/>
  </w:style>
  <w:style w:type="character" w:styleId="WW8Num23z2" w:customStyle="1">
    <w:name w:val="WW8Num23z2"/>
    <w:qFormat/>
    <w:rPr/>
  </w:style>
  <w:style w:type="character" w:styleId="WW8Num23z3" w:customStyle="1">
    <w:name w:val="WW8Num23z3"/>
    <w:qFormat/>
    <w:rPr/>
  </w:style>
  <w:style w:type="character" w:styleId="WW8Num23z4" w:customStyle="1">
    <w:name w:val="WW8Num23z4"/>
    <w:qFormat/>
    <w:rPr/>
  </w:style>
  <w:style w:type="character" w:styleId="WW8Num23z5" w:customStyle="1">
    <w:name w:val="WW8Num23z5"/>
    <w:qFormat/>
    <w:rPr/>
  </w:style>
  <w:style w:type="character" w:styleId="WW8Num23z6" w:customStyle="1">
    <w:name w:val="WW8Num23z6"/>
    <w:qFormat/>
    <w:rPr/>
  </w:style>
  <w:style w:type="character" w:styleId="WW8Num23z7" w:customStyle="1">
    <w:name w:val="WW8Num23z7"/>
    <w:qFormat/>
    <w:rPr/>
  </w:style>
  <w:style w:type="character" w:styleId="WW8Num23z8" w:customStyle="1">
    <w:name w:val="WW8Num23z8"/>
    <w:qFormat/>
    <w:rPr/>
  </w:style>
  <w:style w:type="character" w:styleId="WW8Num24z0" w:customStyle="1">
    <w:name w:val="WW8Num24z0"/>
    <w:qFormat/>
    <w:rPr>
      <w:b w:val="false"/>
      <w:i w:val="false"/>
      <w:color w:val="auto"/>
      <w:sz w:val="24"/>
      <w:szCs w:val="20"/>
    </w:rPr>
  </w:style>
  <w:style w:type="character" w:styleId="WW8Num24z1" w:customStyle="1">
    <w:name w:val="WW8Num24z1"/>
    <w:qFormat/>
    <w:rPr/>
  </w:style>
  <w:style w:type="character" w:styleId="WW8Num24z2" w:customStyle="1">
    <w:name w:val="WW8Num24z2"/>
    <w:qFormat/>
    <w:rPr/>
  </w:style>
  <w:style w:type="character" w:styleId="WW8Num24z3" w:customStyle="1">
    <w:name w:val="WW8Num24z3"/>
    <w:qFormat/>
    <w:rPr/>
  </w:style>
  <w:style w:type="character" w:styleId="WW8Num24z4" w:customStyle="1">
    <w:name w:val="WW8Num24z4"/>
    <w:qFormat/>
    <w:rPr/>
  </w:style>
  <w:style w:type="character" w:styleId="WW8Num24z5" w:customStyle="1">
    <w:name w:val="WW8Num24z5"/>
    <w:qFormat/>
    <w:rPr/>
  </w:style>
  <w:style w:type="character" w:styleId="WW8Num24z6" w:customStyle="1">
    <w:name w:val="WW8Num24z6"/>
    <w:qFormat/>
    <w:rPr/>
  </w:style>
  <w:style w:type="character" w:styleId="WW8Num24z7" w:customStyle="1">
    <w:name w:val="WW8Num24z7"/>
    <w:qFormat/>
    <w:rPr/>
  </w:style>
  <w:style w:type="character" w:styleId="WW8Num24z8" w:customStyle="1">
    <w:name w:val="WW8Num24z8"/>
    <w:qFormat/>
    <w:rPr/>
  </w:style>
  <w:style w:type="character" w:styleId="WW-DefaultParagraphFont1" w:customStyle="1">
    <w:name w:val="WW-Default Paragraph Font1"/>
    <w:qFormat/>
    <w:rPr/>
  </w:style>
  <w:style w:type="character" w:styleId="Heading2Char" w:customStyle="1">
    <w:name w:val="Heading 2 Char"/>
    <w:qFormat/>
    <w:rPr>
      <w:rFonts w:ascii="Cambria" w:hAnsi="Cambria" w:eastAsia="Times New Roman" w:cs="Times New Roman"/>
      <w:b/>
      <w:bCs/>
      <w:color w:val="4F81BD"/>
      <w:sz w:val="26"/>
      <w:szCs w:val="26"/>
    </w:rPr>
  </w:style>
  <w:style w:type="character" w:styleId="PageNumber">
    <w:name w:val="Page Number"/>
    <w:basedOn w:val="WW-DefaultParagraphFont1"/>
    <w:rPr/>
  </w:style>
  <w:style w:type="character" w:styleId="FooterChar" w:customStyle="1">
    <w:name w:val="Footer Char"/>
    <w:uiPriority w:val="99"/>
    <w:qFormat/>
    <w:rPr>
      <w:rFonts w:ascii="Times New Roman" w:hAnsi="Times New Roman" w:eastAsia="Times New Roman" w:cs="Times New Roman"/>
      <w:sz w:val="24"/>
      <w:szCs w:val="24"/>
    </w:rPr>
  </w:style>
  <w:style w:type="character" w:styleId="BodyText2Char" w:customStyle="1">
    <w:name w:val="Body Text 2 Char"/>
    <w:qFormat/>
    <w:rPr>
      <w:rFonts w:ascii="VNI-Times" w:hAnsi="VNI-Times" w:eastAsia="Times New Roman" w:cs="Times New Roman"/>
      <w:szCs w:val="20"/>
    </w:rPr>
  </w:style>
  <w:style w:type="character" w:styleId="annotationreference">
    <w:name w:val="annotation reference"/>
    <w:qFormat/>
    <w:rPr>
      <w:sz w:val="16"/>
      <w:szCs w:val="16"/>
    </w:rPr>
  </w:style>
  <w:style w:type="character" w:styleId="CommentTextChar" w:customStyle="1">
    <w:name w:val="Comment Text Char"/>
    <w:qFormat/>
    <w:rPr>
      <w:rFonts w:ascii="Times New Roman" w:hAnsi="Times New Roman" w:eastAsia="Times New Roman" w:cs="Times New Roman"/>
      <w:sz w:val="20"/>
      <w:szCs w:val="20"/>
    </w:rPr>
  </w:style>
  <w:style w:type="character" w:styleId="Strong">
    <w:name w:val="Strong"/>
    <w:qFormat/>
    <w:rPr>
      <w:b/>
      <w:bCs/>
    </w:rPr>
  </w:style>
  <w:style w:type="character" w:styleId="HeaderChar" w:customStyle="1">
    <w:name w:val="Header Char"/>
    <w:qFormat/>
    <w:rPr>
      <w:rFonts w:ascii=".VnTime" w:hAnsi=".VnTime" w:eastAsia="Times New Roman" w:cs=".VnTime"/>
      <w:sz w:val="20"/>
      <w:szCs w:val="20"/>
    </w:rPr>
  </w:style>
  <w:style w:type="character" w:styleId="BalloonTextChar" w:customStyle="1">
    <w:name w:val="Balloon Text Char"/>
    <w:qFormat/>
    <w:rPr>
      <w:rFonts w:ascii="Tahoma" w:hAnsi="Tahoma" w:eastAsia="Times New Roman" w:cs="Tahoma"/>
      <w:sz w:val="16"/>
      <w:szCs w:val="16"/>
    </w:rPr>
  </w:style>
  <w:style w:type="character" w:styleId="NumberingSymbols" w:customStyle="1">
    <w:name w:val="Numbering Symbols"/>
    <w:qFormat/>
    <w:rPr/>
  </w:style>
  <w:style w:type="character" w:styleId="Hyperlink">
    <w:name w:val="Hyperlink"/>
    <w:uiPriority w:val="99"/>
    <w:unhideWhenUsed/>
    <w:rsid w:val="009d1eda"/>
    <w:rPr>
      <w:color w:val="0563C1"/>
      <w:u w:val="single"/>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rPr>
  </w:style>
  <w:style w:type="paragraph" w:styleId="Index" w:customStyle="1">
    <w:name w:val="Index"/>
    <w:basedOn w:val="Normal"/>
    <w:qFormat/>
    <w:pPr>
      <w:suppressLineNumbers/>
    </w:pPr>
    <w:rPr>
      <w:rFonts w:cs="Mangal"/>
    </w:rPr>
  </w:style>
  <w:style w:type="paragraph" w:styleId="HeaderandFooter" w:customStyle="1">
    <w:name w:val="Header and Footer"/>
    <w:basedOn w:val="Normal"/>
    <w:qFormat/>
    <w:pPr/>
    <w:rPr/>
  </w:style>
  <w:style w:type="paragraph" w:styleId="Footer">
    <w:name w:val="Footer"/>
    <w:basedOn w:val="Normal"/>
    <w:uiPriority w:val="99"/>
    <w:pPr>
      <w:tabs>
        <w:tab w:val="clear" w:pos="720"/>
        <w:tab w:val="center" w:pos="4320" w:leader="none"/>
        <w:tab w:val="right" w:pos="8640" w:leader="none"/>
      </w:tabs>
    </w:pPr>
    <w:rPr>
      <w:lang w:val="x-none"/>
    </w:rPr>
  </w:style>
  <w:style w:type="paragraph" w:styleId="BodyText2">
    <w:name w:val="Body Text 2"/>
    <w:basedOn w:val="Normal"/>
    <w:qFormat/>
    <w:pPr>
      <w:spacing w:before="120" w:after="0"/>
    </w:pPr>
    <w:rPr>
      <w:rFonts w:ascii="VNI-Times" w:hAnsi="VNI-Times" w:cs="VNI-Times"/>
      <w:sz w:val="20"/>
      <w:szCs w:val="20"/>
      <w:lang w:val="x-none"/>
    </w:rPr>
  </w:style>
  <w:style w:type="paragraph" w:styleId="AnnotationText">
    <w:name w:val="Annotation Text"/>
    <w:basedOn w:val="Normal"/>
    <w:pPr/>
    <w:rPr>
      <w:sz w:val="20"/>
      <w:szCs w:val="20"/>
      <w:lang w:val="x-none"/>
    </w:rPr>
  </w:style>
  <w:style w:type="paragraph" w:styleId="ListParagraph">
    <w:name w:val="List Paragraph"/>
    <w:basedOn w:val="Normal"/>
    <w:uiPriority w:val="34"/>
    <w:qFormat/>
    <w:pPr>
      <w:ind w:left="720"/>
    </w:pPr>
    <w:rPr/>
  </w:style>
  <w:style w:type="paragraph" w:styleId="Header">
    <w:name w:val="Header"/>
    <w:basedOn w:val="Normal"/>
    <w:pPr>
      <w:tabs>
        <w:tab w:val="clear" w:pos="720"/>
        <w:tab w:val="center" w:pos="4320" w:leader="none"/>
        <w:tab w:val="right" w:pos="8640" w:leader="none"/>
      </w:tabs>
      <w:suppressAutoHyphens w:val="false"/>
    </w:pPr>
    <w:rPr>
      <w:rFonts w:ascii=".VnTime" w:hAnsi=".VnTime" w:cs=".VnTime"/>
      <w:sz w:val="20"/>
      <w:szCs w:val="20"/>
      <w:lang w:val="x-none"/>
    </w:rPr>
  </w:style>
  <w:style w:type="paragraph" w:styleId="BalloonText">
    <w:name w:val="Balloon Text"/>
    <w:basedOn w:val="Normal"/>
    <w:qFormat/>
    <w:pPr/>
    <w:rPr>
      <w:rFonts w:ascii="Tahoma" w:hAnsi="Tahoma" w:cs="Tahoma"/>
      <w:sz w:val="16"/>
      <w:szCs w:val="16"/>
      <w:lang w:val="x-none"/>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Heading10" w:customStyle="1">
    <w:name w:val="Heading 10"/>
    <w:basedOn w:val="Heading"/>
    <w:next w:val="BodyText"/>
    <w:qFormat/>
    <w:pPr>
      <w:numPr>
        <w:ilvl w:val="0"/>
        <w:numId w:val="2"/>
      </w:numPr>
    </w:pPr>
    <w:rPr>
      <w:b/>
      <w:bCs/>
      <w:sz w:val="21"/>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pport@nhattienchung.vn"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TotalTime>
  <Application>LibreOffice/24.2.7.2$Linux_AARCH64 LibreOffice_project/420$Build-2</Application>
  <AppVersion>15.0000</AppVersion>
  <Pages>8</Pages>
  <Words>2388</Words>
  <Characters>9170</Characters>
  <CharactersWithSpaces>11453</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2026-01-14T06:30:00Z</dcterms:created>
  <dc:creator>YASO</dc:creator>
  <dc:description/>
  <dc:language>en-US</dc:language>
  <cp:lastModifiedBy/>
  <cp:lastPrinted>2025-12-15T10:10:00Z</cp:lastPrinted>
  <dcterms:modified xsi:type="dcterms:W3CDTF">2026-01-29T21:39:27Z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