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Calibri" w:cs="Calibri" w:eastAsia="Calibri" w:hAnsi="Calibri"/>
          <w:b/>
          <w:bCs/>
          <w:color w:val="7F7F7F"/>
          <w:sz w:val="22"/>
          <w:szCs w:val="22"/>
        </w:rPr>
        <w:t xml:space="preserve">DOKUMEN PENGAJUAN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Pemilihan Sistem Speech untuk Mendukung Anamnesis Perawat–Pasien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Aplikasi Mobile Otomatisasi Dokumentasi Percakapan Perawat–Pasien (Speech-to-Text dan LLM)</w:t>
      </w:r>
    </w:p>
    <w:p>
      <w:pPr>
        <w:pBdr>
          <w:bottom w:val="single" w:color="2F5496" w:sz="8" w:space="8"/>
        </w:pBdr>
        <w:spacing w:after="36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Tanggal: 15 Oktober 2026   |   Pengaju: Khoirul Yardan   |   Status: usulan untuk persetujuan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Ringkasan Permohonan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Dokumen ini meminta persetujuan untuk memilih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dua sistem speech inti</w:t>
      </w:r>
      <w:r>
        <w:rPr>
          <w:rFonts w:ascii="Calibri" w:cs="Calibri" w:eastAsia="Calibri" w:hAnsi="Calibri"/>
          <w:sz w:val="22"/>
          <w:szCs w:val="22"/>
        </w:rPr>
        <w:t xml:space="preserve"> yang dikembangkan lebih dulu di menu Bot Hub aplikasi, dari sembilan kandidat yang dikaji. Pemilihan didasarkan pada skor berbobot atas lima kriteria dan rujukan ilmiah yang dapat ditelusuri (Bagian 8).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Inti 1 – Papan Komunikasi (sentuh ke suara)</w:t>
      </w:r>
      <w:r>
        <w:rPr>
          <w:rFonts w:ascii="Calibri" w:cs="Calibri" w:eastAsia="Calibri" w:hAnsi="Calibri"/>
          <w:sz w:val="22"/>
          <w:szCs w:val="22"/>
        </w:rPr>
        <w:t xml:space="preserve">, berjalan di WebView, untuk pasien yang tidak dapat berbicara (ICU, stroke, pasca-operasi).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Inti 2 – Anamnesis Terpandu (asisten suara)</w:t>
      </w:r>
      <w:r>
        <w:rPr>
          <w:rFonts w:ascii="Calibri" w:cs="Calibri" w:eastAsia="Calibri" w:hAnsi="Calibri"/>
          <w:sz w:val="22"/>
          <w:szCs w:val="22"/>
        </w:rPr>
        <w:t xml:space="preserve">, suara di Flutter dan form di WebView, memperluas Bot BPJS yang sudah ada.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Tahap 2:</w:t>
      </w:r>
      <w:r>
        <w:rPr>
          <w:rFonts w:ascii="Calibri" w:cs="Calibri" w:eastAsia="Calibri" w:hAnsi="Calibri"/>
          <w:sz w:val="22"/>
          <w:szCs w:val="22"/>
        </w:rPr>
        <w:t xml:space="preserve"> Pengingat &amp; Orientasi (lansia/demensia) dan Penilaian Bicara (disartria).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Ditunda / saran pengembangan:</w:t>
      </w:r>
      <w:r>
        <w:rPr>
          <w:rFonts w:ascii="Calibri" w:cs="Calibri" w:eastAsia="Calibri" w:hAnsi="Calibri"/>
          <w:sz w:val="22"/>
          <w:szCs w:val="22"/>
        </w:rPr>
        <w:t xml:space="preserve"> Panggil Perawat aktif suara, Pengenal Ucapan Kustom, Smart Room, Baca Bibir/Isyarat, dan Eye-Tracking.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Latar Belakang dan Tujuan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Anamnesis yang lengkap bergantung pada komunikasi perawat–pasien. Pasien pasca-operasi, stroke, ALS, pengguna ventilator, dan lansia dengan demensia sering kesulitan menyampaikan keluhan. Sistem yang ada (Bot BPJS) merekam percakapan, mentranskripsi dengan speech-to-text, dan meringkasnya dengan LLM. Pengajuan ini menentukan perluasan yang paling bermanfaat, paling terbukti, dan paling layak dalam jadwal tugas akhir.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Tujuan:</w:t>
      </w:r>
      <w:r>
        <w:rPr>
          <w:rFonts w:ascii="Calibri" w:cs="Calibri" w:eastAsia="Calibri" w:hAnsi="Calibri"/>
          <w:sz w:val="22"/>
          <w:szCs w:val="22"/>
        </w:rPr>
        <w:t xml:space="preserve"> (a) memilih sistem speech dengan alasan yang dapat dipertanggungjawabkan secara ilmiah; (b) menetapkan pembagian teknologi Flutter dan WebView; (c) menetapkan metrik evaluasi dan batas keamanan.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Metode Seleksi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Sembilan tool dinilai 1–5 (5 = terbaik) pada lima kriteria berbobot. Skor akhir = jumlah(bobot × nilai) / 5 (rentang 20–100). Ambang: ≥70 inti; 60–69 tahap 2; 50–59 ditunda; &lt;50 saran pengembangan.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900"/>
        <w:gridCol w:w="4726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Kode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Kriteria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Bobot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Penjelasan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Relevansi dengan anamnesis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30%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Seberapa langsung tool menghasilkan atau memperbaiki data anamnesis (keluhan utama, durasi, riwayat) yang dipakai perawat.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Kekuatan bukti ilmiah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20%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Ketersediaan tinjauan sistematis/studi tervalidasi yang mendukung kelayakan dan manfaat (bukan sekadar klaim vendor).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Kelayakan teknis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20%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Kecocokan dengan tumpukan teknologi saat ini (Flutter + WebView + Supabase + STT/LLM) tanpa perangkat khusus.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Risiko rendah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15%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Risiko keselamatan pasien, regulasi, dan privasi yang lebih rendah mendapat nilai lebih tinggi.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Waktu &amp; biaya rendah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15%</w:t>
            </w:r>
          </w:p>
        </w:tc>
        <w:tc>
          <w:tcPr>
            <w:tcW w:type="dxa" w:w="47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Perkiraan upaya pengembangan dan pengujian dalam jadwal tugas akhir; lebih murah/cepat = nilai lebih tinggi.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Catatan: nilai merupakan penilaian peneliti berdasarkan bukti dan kondisi proyek, bukan hasil pengukuran; diusulkan divalidasi oleh pembimbing/perawat.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Hasil Penilaian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376"/>
        <w:gridCol w:w="600"/>
        <w:gridCol w:w="600"/>
        <w:gridCol w:w="600"/>
        <w:gridCol w:w="600"/>
        <w:gridCol w:w="600"/>
        <w:gridCol w:w="800"/>
        <w:gridCol w:w="2400"/>
      </w:tblGrid>
      <w:tr>
        <w:trPr>
          <w:tblHeader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</w:t>
            </w:r>
          </w:p>
        </w:tc>
        <w:tc>
          <w:tcPr>
            <w:tcW w:type="dxa" w:w="23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Skor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Keputusan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Papan Komunikasi (sentuh ke suara)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87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INTI – kerjakan sekarang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Anamnesis Terpandu (asisten suara)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76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INTI – kerjakan sekarang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Pengingat &amp; Orientasi (lansia/demensia)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64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Tahap 2 – setelah inti stabil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Penilaian Bicara (disartria)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61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Tahap 2 – setelah inti stabil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Panggil Perawat (aktif suara)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53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Ditunda – butuh bukti/data tambahan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Pengenal Ucapan Kustom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53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Ditunda – butuh bukti/data tambahan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3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AAC Eye-Tracking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40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Saran pengembangan (riset)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3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Baca Bibir / Isyarat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33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Saran pengembangan (riset)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3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Smart Room (kontrol ruangan)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26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Saran pengembangan (riset)</w:t>
            </w:r>
          </w:p>
        </w:tc>
      </w:tr>
    </w:tbl>
    <w:p>
      <w:pPr>
        <w:spacing w:after="100" w:line="276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K = relevansi anamnesis, B = bukti ilmiah, T = kelayakan teknis, R = risiko rendah, W = waktu/biaya rendah.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Sistem yang Diusulkan Dipilih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5.1 Papan Komunikasi (inti)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Pasien memilih ikon besar (Nyeri, Haus, Sesak, Mual, Toilet, Dingin/Panas, Panggil Suster), lalu skala nyeri 0–10 dan lokasi pada gambar tubuh. Pilihan diucapkan lewat TTS dan dicatat bertanda waktu sebagai data keluhan.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Dasar ilmiah: tinjauan sistematis menunjukkan intervensi komunikasi pada pasien ICU layak, bermanfaat, dan aman [1]; metode alternatif/berteknologi rendah sederhana dan efektif tetapi kurang dimanfaatkan [2][3]; skala angka 0–10 lazim dipakai untuk intensitas nyeri [19].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Platform: WebView. Tidak butuh STT; tombol sentuh menjadi jalur andal, termasuk untuk memanggil perawat.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5.2 Anamnesis Terpandu (inti)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Asisten membacakan pertanyaan standar (keluhan utama, durasi, lokasi, riwayat penyakit, alergi, obat rutin). Jawaban suara ditranskripsi, LLM memetakan ke kolom form, perawat meninjau dan menyetujui.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Dasar ilmiah: pengenalan suara klinis mempercepat dokumentasi tetapi dapat menambah galat, sehingga perlu pengawasan manusia [4][5]; tinjauan terbaru membahas dampak alat AI pada beban dokumentasi [6]; agen LLM untuk anamnesis menjanjikan tetapi baru dievaluasi dengan pasien simulasi [10].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Teknis: memakai ulang rekaman (paket record), AssemblyAI, dan pola LLM Bot BPJS. Dokumentasi vendor mencantumkan bahasa Indonesia [8]; diarization percakapan Indonesia masih topik riset [9], jadi diuji dengan rekaman simulasi.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2F5496"/>
          <w:sz w:val="24"/>
          <w:szCs w:val="24"/>
        </w:rPr>
        <w:t xml:space="preserve">5.3 Tahap 2 dan yang ditunda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Pengingat &amp; Orientasi</w:t>
      </w:r>
      <w:r>
        <w:rPr>
          <w:rFonts w:ascii="Calibri" w:cs="Calibri" w:eastAsia="Calibri" w:hAnsi="Calibri"/>
          <w:sz w:val="22"/>
          <w:szCs w:val="22"/>
        </w:rPr>
        <w:t xml:space="preserve"> [13]: tinjauan sistematis agen suara untuk orang dengan amnesia menemukan interaksi singkat dan kegunaan umumnya positif.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Penilaian Bicara</w:t>
      </w:r>
      <w:r>
        <w:rPr>
          <w:rFonts w:ascii="Calibri" w:cs="Calibri" w:eastAsia="Calibri" w:hAnsi="Calibri"/>
          <w:sz w:val="22"/>
          <w:szCs w:val="22"/>
        </w:rPr>
        <w:t xml:space="preserve"> [14][15]: ukuran keterbacaan ucapan otomatis telah divalidasi lintas bahasa dan gangguan saraf; belum pada bahasa Indonesia.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Panggil Perawat aktif suara</w:t>
      </w:r>
      <w:r>
        <w:rPr>
          <w:rFonts w:ascii="Calibri" w:cs="Calibri" w:eastAsia="Calibri" w:hAnsi="Calibri"/>
          <w:sz w:val="22"/>
          <w:szCs w:val="22"/>
        </w:rPr>
        <w:t xml:space="preserve"> [11][12]: bukti hanya pilot dan laporan lapangan; risiko salah dengar saat darurat. Dipenuhi sementara oleh tombol Panggil Suster di Papan Komunikasi.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Pengenal Ucapan Kustom</w:t>
      </w:r>
      <w:r>
        <w:rPr>
          <w:rFonts w:ascii="Calibri" w:cs="Calibri" w:eastAsia="Calibri" w:hAnsi="Calibri"/>
          <w:sz w:val="22"/>
          <w:szCs w:val="22"/>
        </w:rPr>
        <w:t xml:space="preserve"> [16]: personalisasi ASR menurunkan galat pada ucapan ALS tetapi butuh data per pasien.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Baca Bibir</w:t>
      </w:r>
      <w:r>
        <w:rPr>
          <w:rFonts w:ascii="Calibri" w:cs="Calibri" w:eastAsia="Calibri" w:hAnsi="Calibri"/>
          <w:sz w:val="22"/>
          <w:szCs w:val="22"/>
        </w:rPr>
        <w:t xml:space="preserve"> [17][18],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Eye-Tracking</w:t>
      </w:r>
      <w:r>
        <w:rPr>
          <w:rFonts w:ascii="Calibri" w:cs="Calibri" w:eastAsia="Calibri" w:hAnsi="Calibri"/>
          <w:sz w:val="22"/>
          <w:szCs w:val="22"/>
        </w:rPr>
        <w:t xml:space="preserve">, dan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Smart Room</w:t>
      </w:r>
      <w:r>
        <w:rPr>
          <w:rFonts w:ascii="Calibri" w:cs="Calibri" w:eastAsia="Calibri" w:hAnsi="Calibri"/>
          <w:sz w:val="22"/>
          <w:szCs w:val="22"/>
        </w:rPr>
        <w:t xml:space="preserve">: riset lanjutan.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Pembagian Teknologi: Flutter dan WebView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4426"/>
      </w:tblGrid>
      <w:tr>
        <w:trPr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Kebutuhan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Pilihan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Alasan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Mikrofon kontinu, wake word, rekaman akurat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Flutter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Sudah dipakai Bot BPJS; WebView tidak andal untuk audio latar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TTS yang harus andal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Flutter (flutter_tts)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Kendali audio dan volume native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Kamera + ML on-device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Flutter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Hanya untuk tool riset (ditunda)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Papan ikon, form, riwayat, grafik, ekspor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WebView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HTML/JS, dapat diuji di browser desktop tanpa rilis APK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Pemanggilan LLM dan penyimpanan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WebView + Supabase</w:t>
            </w:r>
          </w:p>
        </w:tc>
        <w:tc>
          <w:tcPr>
            <w:tcW w:type="dxa" w:w="4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ai.js, db.js, bridge.js sudah tersedia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Kepatuhan, Etika, dan Risiko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UU 27/2022 tentang Pelindungan Data Pribadi</w:t>
      </w:r>
      <w:r>
        <w:rPr>
          <w:rFonts w:ascii="Calibri" w:cs="Calibri" w:eastAsia="Calibri" w:hAnsi="Calibri"/>
          <w:sz w:val="22"/>
          <w:szCs w:val="22"/>
        </w:rPr>
        <w:t xml:space="preserve"> [21]: data kesehatan tergolong data pribadi spesifik. Penerapan: kode pasien (bukan identitas lengkap), enkripsi, kebijakan akses Supabase (RLS), persetujuan pasien.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Permenkes 24/2022 tentang Rekam Medis</w:t>
      </w:r>
      <w:r>
        <w:rPr>
          <w:rFonts w:ascii="Calibri" w:cs="Calibri" w:eastAsia="Calibri" w:hAnsi="Calibri"/>
          <w:sz w:val="22"/>
          <w:szCs w:val="22"/>
        </w:rPr>
        <w:t xml:space="preserve"> [22]: rekam medis elektronik wajib di fasilitas pelayanan kesehatan; keluaran sistem ini berstatus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draf pendukung</w:t>
      </w:r>
      <w:r>
        <w:rPr>
          <w:rFonts w:ascii="Calibri" w:cs="Calibri" w:eastAsia="Calibri" w:hAnsi="Calibri"/>
          <w:sz w:val="22"/>
          <w:szCs w:val="22"/>
        </w:rPr>
        <w:t xml:space="preserve"> dan tidak menggantikan rekam medis resmi.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Prinsip etika AI kesehatan WHO</w:t>
      </w:r>
      <w:r>
        <w:rPr>
          <w:rFonts w:ascii="Calibri" w:cs="Calibri" w:eastAsia="Calibri" w:hAnsi="Calibri"/>
          <w:sz w:val="22"/>
          <w:szCs w:val="22"/>
        </w:rPr>
        <w:t xml:space="preserve"> [20]: manusia tetap mengendalikan keputusan (perawat menyetujui), transparansi (transkrip mentah ditampilkan), akuntabilitas, dan inklusivitas.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Risiko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Mitigasi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Salah dengar STT/LLM pada informasi penting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Hasil berstatus draf; wajib persetujuan perawat; transkrip mentah ditampilkan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Keadaan darurat tidak terdeteksi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Tombol sentuh sebagai jalur utama; kata kunci darurat tanpa menunggu LLM; bukan pengganti nurse call resmi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Kebocoran data kesehatan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Enkripsi, RLS, minimisasi data, persetujuan pasien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Akurasi rendah pada ucapan tidak jelas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Konfirmasi ya/tidak; uji dengan rekaman simulasi bervariasi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Bukti terbatas untuk sebagian tool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Dinyatakan jujur di dokumen; dievaluasi sendiri pada skenario simulasi</w:t>
            </w:r>
          </w:p>
        </w:tc>
      </w:tr>
    </w:tbl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Metrik Evaluasi dan Rencana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Metrik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Papan Komunikasi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Waktu dari membuka papan sampai pesan terkirim; skor SUS (kegunaan); kepuasan komunikasi pasien dan perawat; kelengkapan data keluhan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Anamnesis Terpandu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WER STT; presisi dan recall pengisian tiap kolom vs acuan perawat; waktu anamnesis dengan vs tanpa tool; jumlah koreksi perawat; latensi end-to-end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Tahap 2</w:t>
            </w:r>
          </w:p>
        </w:tc>
        <w:tc>
          <w:tcPr>
            <w:tcW w:type="dxa" w:w="6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Kepatuhan jawaban pengingat; korelasi skor bicara dengan penilaian terapis wicara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Tahap 1: Papan Komunikasi (WebView) dan uji kegunaan.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Tahap 2: Anamnesis Terpandu, memakai ulang STT, LLM, dan ekspor Bot BPJS; uji dengan skenario simulasi.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Tahap 3: Pengingat &amp; Orientasi dan Penilaian Bicara.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sz w:val="22"/>
          <w:szCs w:val="22"/>
        </w:rPr>
        <w:t xml:space="preserve">Lanjutan: tool yang ditunda menjadi saran pengembangan pada laporan akhir.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9. Permohonan Persetujuan</w:t>
      </w:r>
    </w:p>
    <w:p>
      <w:pPr>
        <w:spacing w:after="100" w:line="276"/>
      </w:pPr>
      <w:r>
        <w:rPr>
          <w:rFonts w:ascii="Calibri" w:cs="Calibri" w:eastAsia="Calibri" w:hAnsi="Calibri"/>
          <w:sz w:val="22"/>
          <w:szCs w:val="22"/>
        </w:rPr>
        <w:t xml:space="preserve">Mohon persetujuan untuk: (1) menetapkan Papan Komunikasi dan Anamnesis Terpandu sebagai sistem speech inti; (2) menetapkan Pengingat &amp; Orientasi dan Penilaian Bicara sebagai tahap 2; (3) menetapkan kriteria dan bobot seleksi pada Bagian 3, atau menyesuaikannya sesuai masukan.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Pengaju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Disetujui oleh</w:t>
            </w:r>
          </w:p>
        </w:tc>
      </w:tr>
      <w:tr>
        <w:trPr>
          <w:trHeight w:val="1100" w:hRule="exact"/>
        </w:trPr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( Khoirul Yardan )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( ............................................ )</w:t>
            </w:r>
          </w:p>
        </w:tc>
      </w:tr>
      <w:tr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Tanggal:</w:t>
            </w:r>
          </w:p>
        </w:tc>
        <w:tc>
          <w:tcPr>
            <w:tcW w:type="dxa" w:w="45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Tanggal: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Daftar Pustaka</w:t>
      </w:r>
    </w:p>
    <w:p>
      <w:pPr>
        <w:spacing w:after="100" w:line="276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Rujukan bernomor mengikuti sitasi [n] di atas. Semua dapat ditelusuri lewat DOI/tautan. "DOI terverifikasi" berarti metadata dicocokkan ke basis data Crossref; ringkasan temuan berasal dari abstrak/cuplikan, dan teks lengkap perlu dibaca sebelum dikutip pada laporan akhir.</w:t>
      </w:r>
    </w:p>
    <w:p>
      <w:pPr>
        <w:tabs>
          <w:tab w:val="left" w:pos="540"/>
        </w:tabs>
        <w:spacing w:after="100" w:line="264"/>
        <w:ind w:left="540" w:hanging="5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[1]	</w:t>
      </w:r>
      <w:r>
        <w:rPr>
          <w:rFonts w:ascii="Calibri" w:cs="Calibri" w:eastAsia="Calibri" w:hAnsi="Calibri"/>
          <w:sz w:val="20"/>
          <w:szCs w:val="20"/>
        </w:rPr>
        <w:t xml:space="preserve">Zaga, C. J., Berney, S., &amp; Vogel, A. P. (2019). The feasibility, utility, and safety of communication interventions with mechanically ventilated intensive care unit patients: A systematic review. American Journal of Speech-Language Pathology, 28(3), 1335–1355. </w:t>
      </w:r>
      <w:hyperlink w:history="1" r:id="rId6-vu3zqe9hftzmneddw0m">
        <w:r>
          <w:rPr>
            <w:rStyle w:val="Hyperlink"/>
            <w:rFonts w:ascii="Calibri" w:cs="Calibri" w:eastAsia="Calibri" w:hAnsi="Calibri"/>
            <w:color w:val="0563C1"/>
            <w:sz w:val="18"/>
            <w:szCs w:val="18"/>
          </w:rPr>
          <w:t xml:space="preserve">https://doi.org/10.1044/2019_AJSLP-19-0001</w:t>
        </w:r>
      </w:hyperlink>
      <w:r>
        <w:rPr>
          <w:rFonts w:ascii="Calibri" w:cs="Calibri" w:eastAsia="Calibri" w:hAnsi="Calibri"/>
          <w:i/>
          <w:iCs/>
          <w:color w:val="7F7F7F"/>
          <w:sz w:val="17"/>
          <w:szCs w:val="17"/>
        </w:rPr>
        <w:t xml:space="preserve">  (DOI terverifikasi (Crossref))</w:t>
      </w:r>
    </w:p>
    <w:p>
      <w:pPr>
        <w:tabs>
          <w:tab w:val="left" w:pos="540"/>
        </w:tabs>
        <w:spacing w:after="100" w:line="264"/>
        <w:ind w:left="540" w:hanging="5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[2]	</w:t>
      </w:r>
      <w:r>
        <w:rPr>
          <w:rFonts w:ascii="Calibri" w:cs="Calibri" w:eastAsia="Calibri" w:hAnsi="Calibri"/>
          <w:sz w:val="20"/>
          <w:szCs w:val="20"/>
        </w:rPr>
        <w:t xml:space="preserve">Carruthers, H., Astin, F., &amp; Munro, W. (2017). Which alternative communication methods are effective for voiceless patients in intensive care units? A systematic review. Intensive and Critical Care Nursing, 42, 88–96. </w:t>
      </w:r>
      <w:hyperlink w:history="1" r:id="rIds1hh5z25r1phba7vo25mb">
        <w:r>
          <w:rPr>
            <w:rStyle w:val="Hyperlink"/>
            <w:rFonts w:ascii="Calibri" w:cs="Calibri" w:eastAsia="Calibri" w:hAnsi="Calibri"/>
            <w:color w:val="0563C1"/>
            <w:sz w:val="18"/>
            <w:szCs w:val="18"/>
          </w:rPr>
          <w:t xml:space="preserve">https://doi.org/10.1016/j.iccn.2017.03.003</w:t>
        </w:r>
      </w:hyperlink>
      <w:r>
        <w:rPr>
          <w:rFonts w:ascii="Calibri" w:cs="Calibri" w:eastAsia="Calibri" w:hAnsi="Calibri"/>
          <w:i/>
          <w:iCs/>
          <w:color w:val="7F7F7F"/>
          <w:sz w:val="17"/>
          <w:szCs w:val="17"/>
        </w:rPr>
        <w:t xml:space="preserve">  (DOI terverifikasi (Crossref))</w:t>
      </w:r>
    </w:p>
    <w:p>
      <w:pPr>
        <w:tabs>
          <w:tab w:val="left" w:pos="540"/>
        </w:tabs>
        <w:spacing w:after="100" w:line="264"/>
        <w:ind w:left="540" w:hanging="5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[3]	</w:t>
      </w:r>
      <w:r>
        <w:rPr>
          <w:rFonts w:ascii="Calibri" w:cs="Calibri" w:eastAsia="Calibri" w:hAnsi="Calibri"/>
          <w:sz w:val="20"/>
          <w:szCs w:val="20"/>
        </w:rPr>
        <w:t xml:space="preserve">Alodan, H. A., Sutt, A.-L., Hill, R., Alsadhan, J., &amp; Cross, J. L. (2025). Effectiveness, experience, and usability of low-technology augmentative and alternative communication in intensive care: A mixed-methods systematic review. Australian Critical Care, 38(1), 101061. </w:t>
      </w:r>
      <w:hyperlink w:history="1" r:id="rIdwfrbabpat2wohwbhl77wo">
        <w:r>
          <w:rPr>
            <w:rStyle w:val="Hyperlink"/>
            <w:rFonts w:ascii="Calibri" w:cs="Calibri" w:eastAsia="Calibri" w:hAnsi="Calibri"/>
            <w:color w:val="0563C1"/>
            <w:sz w:val="18"/>
            <w:szCs w:val="18"/>
          </w:rPr>
          <w:t xml:space="preserve">https://doi.org/10.1016/j.aucc.2024.04.006</w:t>
        </w:r>
      </w:hyperlink>
      <w:r>
        <w:rPr>
          <w:rFonts w:ascii="Calibri" w:cs="Calibri" w:eastAsia="Calibri" w:hAnsi="Calibri"/>
          <w:i/>
          <w:iCs/>
          <w:color w:val="7F7F7F"/>
          <w:sz w:val="17"/>
          <w:szCs w:val="17"/>
        </w:rPr>
        <w:t xml:space="preserve">  (DOI terverifikasi (Crossref))</w:t>
      </w:r>
    </w:p>
    <w:p>
      <w:pPr>
        <w:tabs>
          <w:tab w:val="left" w:pos="540"/>
        </w:tabs>
        <w:spacing w:after="100" w:line="264"/>
        <w:ind w:left="540" w:hanging="5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[4]	</w:t>
      </w:r>
      <w:r>
        <w:rPr>
          <w:rFonts w:ascii="Calibri" w:cs="Calibri" w:eastAsia="Calibri" w:hAnsi="Calibri"/>
          <w:sz w:val="20"/>
          <w:szCs w:val="20"/>
        </w:rPr>
        <w:t xml:space="preserve">Hodgson, T., &amp; Coiera, E. (2016). Risks and benefits of speech recognition for clinical documentation: A systematic review. Journal of the American Medical Informatics Association, 23(e1), e169–e179. </w:t>
      </w:r>
      <w:hyperlink w:history="1" r:id="rIdhmwrs7vfdibwe7vq4dqkk">
        <w:r>
          <w:rPr>
            <w:rStyle w:val="Hyperlink"/>
            <w:rFonts w:ascii="Calibri" w:cs="Calibri" w:eastAsia="Calibri" w:hAnsi="Calibri"/>
            <w:color w:val="0563C1"/>
            <w:sz w:val="18"/>
            <w:szCs w:val="18"/>
          </w:rPr>
          <w:t xml:space="preserve">https://doi.org/10.1093/jamia/ocv152</w:t>
        </w:r>
      </w:hyperlink>
      <w:r>
        <w:rPr>
          <w:rFonts w:ascii="Calibri" w:cs="Calibri" w:eastAsia="Calibri" w:hAnsi="Calibri"/>
          <w:i/>
          <w:iCs/>
          <w:color w:val="7F7F7F"/>
          <w:sz w:val="17"/>
          <w:szCs w:val="17"/>
        </w:rPr>
        <w:t xml:space="preserve">  (DOI terverifikasi (Crossref); tahun terbit daring 2015, edisi cetak 2016)</w:t>
      </w:r>
    </w:p>
    <w:p>
      <w:pPr>
        <w:tabs>
          <w:tab w:val="left" w:pos="540"/>
        </w:tabs>
        <w:spacing w:after="100" w:line="264"/>
        <w:ind w:left="540" w:hanging="5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[5]	</w:t>
      </w:r>
      <w:r>
        <w:rPr>
          <w:rFonts w:ascii="Calibri" w:cs="Calibri" w:eastAsia="Calibri" w:hAnsi="Calibri"/>
          <w:sz w:val="20"/>
          <w:szCs w:val="20"/>
        </w:rPr>
        <w:t xml:space="preserve">Blackley, S. V., Huynh, J., Wang, L., Korach, Z., &amp; Zhou, L. (2019). Speech recognition for clinical documentation from 1990 to 2018: A systematic review. Journal of the American Medical Informatics Association, 26(4), 324–338. </w:t>
      </w:r>
      <w:hyperlink w:history="1" r:id="rIdsnh21bdrt8wzqrbmqnqcm">
        <w:r>
          <w:rPr>
            <w:rStyle w:val="Hyperlink"/>
            <w:rFonts w:ascii="Calibri" w:cs="Calibri" w:eastAsia="Calibri" w:hAnsi="Calibri"/>
            <w:color w:val="0563C1"/>
            <w:sz w:val="18"/>
            <w:szCs w:val="18"/>
          </w:rPr>
          <w:t xml:space="preserve">https://doi.org/10.1093/jamia/ocy179</w:t>
        </w:r>
      </w:hyperlink>
      <w:r>
        <w:rPr>
          <w:rFonts w:ascii="Calibri" w:cs="Calibri" w:eastAsia="Calibri" w:hAnsi="Calibri"/>
          <w:i/>
          <w:iCs/>
          <w:color w:val="7F7F7F"/>
          <w:sz w:val="17"/>
          <w:szCs w:val="17"/>
        </w:rPr>
        <w:t xml:space="preserve">  (DOI terverifikasi (Crossref))</w:t>
      </w:r>
    </w:p>
    <w:p>
      <w:pPr>
        <w:tabs>
          <w:tab w:val="left" w:pos="540"/>
        </w:tabs>
        <w:spacing w:after="100" w:line="264"/>
        <w:ind w:left="540" w:hanging="5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[6]	</w:t>
      </w:r>
      <w:r>
        <w:rPr>
          <w:rFonts w:ascii="Calibri" w:cs="Calibri" w:eastAsia="Calibri" w:hAnsi="Calibri"/>
          <w:sz w:val="20"/>
          <w:szCs w:val="20"/>
        </w:rPr>
        <w:t xml:space="preserve">Zhao, J., Liu, H., Chen, Y., &amp; Song, F. (2025). Application of artificial intelligence tools and clinical documentation burden: A systematic review and meta-analysis. BMC Medical Informatics and Decision Making, 26(1), 29. </w:t>
      </w:r>
      <w:hyperlink w:history="1" r:id="rIdbw9kk8ljalgripre1ewyb">
        <w:r>
          <w:rPr>
            <w:rStyle w:val="Hyperlink"/>
            <w:rFonts w:ascii="Calibri" w:cs="Calibri" w:eastAsia="Calibri" w:hAnsi="Calibri"/>
            <w:color w:val="0563C1"/>
            <w:sz w:val="18"/>
            <w:szCs w:val="18"/>
          </w:rPr>
          <w:t xml:space="preserve">https://doi.org/10.1186/s12911-025-03324-w</w:t>
        </w:r>
      </w:hyperlink>
      <w:r>
        <w:rPr>
          <w:rFonts w:ascii="Calibri" w:cs="Calibri" w:eastAsia="Calibri" w:hAnsi="Calibri"/>
          <w:i/>
          <w:iCs/>
          <w:color w:val="7F7F7F"/>
          <w:sz w:val="17"/>
          <w:szCs w:val="17"/>
        </w:rPr>
        <w:t xml:space="preserve">  (DOI terverifikasi (Crossref))</w:t>
      </w:r>
    </w:p>
    <w:p>
      <w:pPr>
        <w:tabs>
          <w:tab w:val="left" w:pos="540"/>
        </w:tabs>
        <w:spacing w:after="100" w:line="264"/>
        <w:ind w:left="540" w:hanging="5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[7]	</w:t>
      </w:r>
      <w:r>
        <w:rPr>
          <w:rFonts w:ascii="Calibri" w:cs="Calibri" w:eastAsia="Calibri" w:hAnsi="Calibri"/>
          <w:sz w:val="20"/>
          <w:szCs w:val="20"/>
        </w:rPr>
        <w:t xml:space="preserve">Radford, A., Kim, J. W., Xu, T., Brockman, G., McLeod, C., &amp; Sutskever, I. (2022). Robust speech recognition via large-scale weak supervision (Whisper). arXiv:2212.04356. </w:t>
      </w:r>
      <w:hyperlink w:history="1" r:id="rIdxq14jgoqfywqiqn6l9njc">
        <w:r>
          <w:rPr>
            <w:rStyle w:val="Hyperlink"/>
            <w:rFonts w:ascii="Calibri" w:cs="Calibri" w:eastAsia="Calibri" w:hAnsi="Calibri"/>
            <w:color w:val="0563C1"/>
            <w:sz w:val="18"/>
            <w:szCs w:val="18"/>
          </w:rPr>
          <w:t xml:space="preserve">https://arxiv.org/abs/2212.04356</w:t>
        </w:r>
      </w:hyperlink>
      <w:r>
        <w:rPr>
          <w:rFonts w:ascii="Calibri" w:cs="Calibri" w:eastAsia="Calibri" w:hAnsi="Calibri"/>
          <w:i/>
          <w:iCs/>
          <w:color w:val="7F7F7F"/>
          <w:sz w:val="17"/>
          <w:szCs w:val="17"/>
        </w:rPr>
        <w:t xml:space="preserve">  (Judul &amp; tanggal terverifikasi (arXiv API))</w:t>
      </w:r>
    </w:p>
    <w:p>
      <w:pPr>
        <w:tabs>
          <w:tab w:val="left" w:pos="540"/>
        </w:tabs>
        <w:spacing w:after="100" w:line="264"/>
        <w:ind w:left="540" w:hanging="5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[8]	</w:t>
      </w:r>
      <w:r>
        <w:rPr>
          <w:rFonts w:ascii="Calibri" w:cs="Calibri" w:eastAsia="Calibri" w:hAnsi="Calibri"/>
          <w:sz w:val="20"/>
          <w:szCs w:val="20"/>
        </w:rPr>
        <w:t xml:space="preserve">AssemblyAI. (n.d.). Supported languages (pre-recorded audio) dan Indonesian speech-to-text. Dokumentasi resmi vendor. </w:t>
      </w:r>
      <w:hyperlink w:history="1" r:id="rIdciftv4pkm4toric749vkx">
        <w:r>
          <w:rPr>
            <w:rStyle w:val="Hyperlink"/>
            <w:rFonts w:ascii="Calibri" w:cs="Calibri" w:eastAsia="Calibri" w:hAnsi="Calibri"/>
            <w:color w:val="0563C1"/>
            <w:sz w:val="18"/>
            <w:szCs w:val="18"/>
          </w:rPr>
          <w:t xml:space="preserve">https://www.assemblyai.com/docs/pre-recorded-audio/supported-languages</w:t>
        </w:r>
      </w:hyperlink>
      <w:r>
        <w:rPr>
          <w:rFonts w:ascii="Calibri" w:cs="Calibri" w:eastAsia="Calibri" w:hAnsi="Calibri"/>
          <w:i/>
          <w:iCs/>
          <w:color w:val="7F7F7F"/>
          <w:sz w:val="17"/>
          <w:szCs w:val="17"/>
        </w:rPr>
        <w:t xml:space="preserve">  (Ditemukan lewat pencarian; cek daftar bahasa terbaru sebelum implementasi)</w:t>
      </w:r>
    </w:p>
    <w:p>
      <w:pPr>
        <w:tabs>
          <w:tab w:val="left" w:pos="540"/>
        </w:tabs>
        <w:spacing w:after="100" w:line="264"/>
        <w:ind w:left="540" w:hanging="5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[9]	</w:t>
      </w:r>
      <w:r>
        <w:rPr>
          <w:rFonts w:ascii="Calibri" w:cs="Calibri" w:eastAsia="Calibri" w:hAnsi="Calibri"/>
          <w:sz w:val="20"/>
          <w:szCs w:val="20"/>
        </w:rPr>
        <w:t xml:space="preserve">Domain adaptation of the Pyannote diarization pipeline for conversational Indonesian audio. (2026). arXiv:2601.03684. </w:t>
      </w:r>
      <w:hyperlink w:history="1" r:id="rIdbvglchmm5iohlmu7cuexi">
        <w:r>
          <w:rPr>
            <w:rStyle w:val="Hyperlink"/>
            <w:rFonts w:ascii="Calibri" w:cs="Calibri" w:eastAsia="Calibri" w:hAnsi="Calibri"/>
            <w:color w:val="0563C1"/>
            <w:sz w:val="18"/>
            <w:szCs w:val="18"/>
          </w:rPr>
          <w:t xml:space="preserve">https://arxiv.org/pdf/2601.03684</w:t>
        </w:r>
      </w:hyperlink>
      <w:r>
        <w:rPr>
          <w:rFonts w:ascii="Calibri" w:cs="Calibri" w:eastAsia="Calibri" w:hAnsi="Calibri"/>
          <w:i/>
          <w:iCs/>
          <w:color w:val="7F7F7F"/>
          <w:sz w:val="17"/>
          <w:szCs w:val="17"/>
        </w:rPr>
        <w:t xml:space="preserve">  (Ditemukan lewat pencarian; daftar penulis belum diverifikasi)</w:t>
      </w:r>
    </w:p>
    <w:p>
      <w:pPr>
        <w:tabs>
          <w:tab w:val="left" w:pos="540"/>
        </w:tabs>
        <w:spacing w:after="100" w:line="264"/>
        <w:ind w:left="540" w:hanging="5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[10]	</w:t>
      </w:r>
      <w:r>
        <w:rPr>
          <w:rFonts w:ascii="Calibri" w:cs="Calibri" w:eastAsia="Calibri" w:hAnsi="Calibri"/>
          <w:sz w:val="20"/>
          <w:szCs w:val="20"/>
        </w:rPr>
        <w:t xml:space="preserve">Tu, T., et al. (2024). Towards conversational diagnostic AI (AMIE). arXiv:2401.05654. </w:t>
      </w:r>
      <w:hyperlink w:history="1" r:id="rIdmh5z9n8zvoardpumge2j4">
        <w:r>
          <w:rPr>
            <w:rStyle w:val="Hyperlink"/>
            <w:rFonts w:ascii="Calibri" w:cs="Calibri" w:eastAsia="Calibri" w:hAnsi="Calibri"/>
            <w:color w:val="0563C1"/>
            <w:sz w:val="18"/>
            <w:szCs w:val="18"/>
          </w:rPr>
          <w:t xml:space="preserve">https://arxiv.org/abs/2401.05654</w:t>
        </w:r>
      </w:hyperlink>
      <w:r>
        <w:rPr>
          <w:rFonts w:ascii="Calibri" w:cs="Calibri" w:eastAsia="Calibri" w:hAnsi="Calibri"/>
          <w:i/>
          <w:iCs/>
          <w:color w:val="7F7F7F"/>
          <w:sz w:val="17"/>
          <w:szCs w:val="17"/>
        </w:rPr>
        <w:t xml:space="preserve">  (Judul &amp; tanggal terverifikasi (arXiv API))</w:t>
      </w:r>
    </w:p>
    <w:p>
      <w:pPr>
        <w:tabs>
          <w:tab w:val="left" w:pos="540"/>
        </w:tabs>
        <w:spacing w:after="100" w:line="264"/>
        <w:ind w:left="540" w:hanging="5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[11]	</w:t>
      </w:r>
      <w:r>
        <w:rPr>
          <w:rFonts w:ascii="Calibri" w:cs="Calibri" w:eastAsia="Calibri" w:hAnsi="Calibri"/>
          <w:sz w:val="20"/>
          <w:szCs w:val="20"/>
        </w:rPr>
        <w:t xml:space="preserve">Dunn, M., Landman, A., Cartright, J., Bane, A., Brogan, A., Coy, C., &amp; Zhang, H. (2022). Notes from the field: A voice-activated video communication system for nurses to communicate with inpatients with COVID-19. JMIR Formative Research, 6, e31342. </w:t>
      </w:r>
      <w:hyperlink w:history="1" r:id="rId9ul8yhdrji91zzleodmsq">
        <w:r>
          <w:rPr>
            <w:rStyle w:val="Hyperlink"/>
            <w:rFonts w:ascii="Calibri" w:cs="Calibri" w:eastAsia="Calibri" w:hAnsi="Calibri"/>
            <w:color w:val="0563C1"/>
            <w:sz w:val="18"/>
            <w:szCs w:val="18"/>
          </w:rPr>
          <w:t xml:space="preserve">https://doi.org/10.2196/31342</w:t>
        </w:r>
      </w:hyperlink>
      <w:r>
        <w:rPr>
          <w:rFonts w:ascii="Calibri" w:cs="Calibri" w:eastAsia="Calibri" w:hAnsi="Calibri"/>
          <w:i/>
          <w:iCs/>
          <w:color w:val="7F7F7F"/>
          <w:sz w:val="17"/>
          <w:szCs w:val="17"/>
        </w:rPr>
        <w:t xml:space="preserve">  (DOI terverifikasi (Crossref))</w:t>
      </w:r>
    </w:p>
    <w:p>
      <w:pPr>
        <w:tabs>
          <w:tab w:val="left" w:pos="540"/>
        </w:tabs>
        <w:spacing w:after="100" w:line="264"/>
        <w:ind w:left="540" w:hanging="5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[12]	</w:t>
      </w:r>
      <w:r>
        <w:rPr>
          <w:rFonts w:ascii="Calibri" w:cs="Calibri" w:eastAsia="Calibri" w:hAnsi="Calibri"/>
          <w:sz w:val="20"/>
          <w:szCs w:val="20"/>
        </w:rPr>
        <w:t xml:space="preserve">IEEE Spectrum. (n.d.). Alexa, tell the nurse I'm in pain (laporan pilot Cedars-Sinai). </w:t>
      </w:r>
      <w:hyperlink w:history="1" r:id="rIdt4kg7hsostwdrbwzfiplb">
        <w:r>
          <w:rPr>
            <w:rStyle w:val="Hyperlink"/>
            <w:rFonts w:ascii="Calibri" w:cs="Calibri" w:eastAsia="Calibri" w:hAnsi="Calibri"/>
            <w:color w:val="0563C1"/>
            <w:sz w:val="18"/>
            <w:szCs w:val="18"/>
          </w:rPr>
          <w:t xml:space="preserve">https://spectrum.ieee.org/alexa-tell-the-nurse-im-in-pain</w:t>
        </w:r>
      </w:hyperlink>
      <w:r>
        <w:rPr>
          <w:rFonts w:ascii="Calibri" w:cs="Calibri" w:eastAsia="Calibri" w:hAnsi="Calibri"/>
          <w:i/>
          <w:iCs/>
          <w:color w:val="7F7F7F"/>
          <w:sz w:val="17"/>
          <w:szCs w:val="17"/>
        </w:rPr>
        <w:t xml:space="preserve">  (Ditemukan lewat pencarian)</w:t>
      </w:r>
    </w:p>
    <w:p>
      <w:pPr>
        <w:tabs>
          <w:tab w:val="left" w:pos="540"/>
        </w:tabs>
        <w:spacing w:after="100" w:line="264"/>
        <w:ind w:left="540" w:hanging="5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[13]	</w:t>
      </w:r>
      <w:r>
        <w:rPr>
          <w:rFonts w:ascii="Calibri" w:cs="Calibri" w:eastAsia="Calibri" w:hAnsi="Calibri"/>
          <w:sz w:val="20"/>
          <w:szCs w:val="20"/>
        </w:rPr>
        <w:t xml:space="preserve">Boumans, R., van de Sande, Y., Thill, S., &amp; Bosse, T. (2022). Voice-enabled intelligent virtual agents for people with amnesia: Systematic review. JMIR Aging, 5(2), e32473. </w:t>
      </w:r>
      <w:hyperlink w:history="1" r:id="rIdpx7f01d9j1r1hy0lm30p0">
        <w:r>
          <w:rPr>
            <w:rStyle w:val="Hyperlink"/>
            <w:rFonts w:ascii="Calibri" w:cs="Calibri" w:eastAsia="Calibri" w:hAnsi="Calibri"/>
            <w:color w:val="0563C1"/>
            <w:sz w:val="18"/>
            <w:szCs w:val="18"/>
          </w:rPr>
          <w:t xml:space="preserve">https://doi.org/10.2196/32473</w:t>
        </w:r>
      </w:hyperlink>
      <w:r>
        <w:rPr>
          <w:rFonts w:ascii="Calibri" w:cs="Calibri" w:eastAsia="Calibri" w:hAnsi="Calibri"/>
          <w:i/>
          <w:iCs/>
          <w:color w:val="7F7F7F"/>
          <w:sz w:val="17"/>
          <w:szCs w:val="17"/>
        </w:rPr>
        <w:t xml:space="preserve">  (DOI terverifikasi (Crossref))</w:t>
      </w:r>
    </w:p>
    <w:p>
      <w:pPr>
        <w:tabs>
          <w:tab w:val="left" w:pos="540"/>
        </w:tabs>
        <w:spacing w:after="100" w:line="264"/>
        <w:ind w:left="540" w:hanging="5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[14]	</w:t>
      </w:r>
      <w:r>
        <w:rPr>
          <w:rFonts w:ascii="Calibri" w:cs="Calibri" w:eastAsia="Calibri" w:hAnsi="Calibri"/>
          <w:sz w:val="20"/>
          <w:szCs w:val="20"/>
        </w:rPr>
        <w:t xml:space="preserve">Tröger, J., Dörr, F., Schwed, L., Linz, N., König, A., Thies, T., Barbe, M. T., Orozco-Arroyave, J. R., &amp; Rusz, J. (2024). An automatic measure for speech intelligibility in dysarthrias—validation across multiple languages and neurological disorders. Frontiers in Digital Health, 6, 1440986. </w:t>
      </w:r>
      <w:hyperlink w:history="1" r:id="rIdew4h7lewnihed2uw-2ryz">
        <w:r>
          <w:rPr>
            <w:rStyle w:val="Hyperlink"/>
            <w:rFonts w:ascii="Calibri" w:cs="Calibri" w:eastAsia="Calibri" w:hAnsi="Calibri"/>
            <w:color w:val="0563C1"/>
            <w:sz w:val="18"/>
            <w:szCs w:val="18"/>
          </w:rPr>
          <w:t xml:space="preserve">https://doi.org/10.3389/fdgth.2024.1440986</w:t>
        </w:r>
      </w:hyperlink>
      <w:r>
        <w:rPr>
          <w:rFonts w:ascii="Calibri" w:cs="Calibri" w:eastAsia="Calibri" w:hAnsi="Calibri"/>
          <w:i/>
          <w:iCs/>
          <w:color w:val="7F7F7F"/>
          <w:sz w:val="17"/>
          <w:szCs w:val="17"/>
        </w:rPr>
        <w:t xml:space="preserve">  (DOI terverifikasi (Crossref))</w:t>
      </w:r>
    </w:p>
    <w:p>
      <w:pPr>
        <w:tabs>
          <w:tab w:val="left" w:pos="540"/>
        </w:tabs>
        <w:spacing w:after="100" w:line="264"/>
        <w:ind w:left="540" w:hanging="5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[15]	</w:t>
      </w:r>
      <w:r>
        <w:rPr>
          <w:rFonts w:ascii="Calibri" w:cs="Calibri" w:eastAsia="Calibri" w:hAnsi="Calibri"/>
          <w:sz w:val="20"/>
          <w:szCs w:val="20"/>
        </w:rPr>
        <w:t xml:space="preserve">Kim, H., Hasegawa-Johnson, M., Perlman, A., Gunderson, J., Huang, T., Watkin, K., &amp; Frame, S. (2008). Dysarthric speech database for universal access research (UASpeech). Proceedings of Interspeech 2008, 1741–1744. </w:t>
      </w:r>
      <w:hyperlink w:history="1" r:id="rIdtyb0xmnzpjpdjnwhwzogs">
        <w:r>
          <w:rPr>
            <w:rStyle w:val="Hyperlink"/>
            <w:rFonts w:ascii="Calibri" w:cs="Calibri" w:eastAsia="Calibri" w:hAnsi="Calibri"/>
            <w:color w:val="0563C1"/>
            <w:sz w:val="18"/>
            <w:szCs w:val="18"/>
          </w:rPr>
          <w:t xml:space="preserve">https://doi.org/10.21437/Interspeech.2008-480</w:t>
        </w:r>
      </w:hyperlink>
      <w:r>
        <w:rPr>
          <w:rFonts w:ascii="Calibri" w:cs="Calibri" w:eastAsia="Calibri" w:hAnsi="Calibri"/>
          <w:i/>
          <w:iCs/>
          <w:color w:val="7F7F7F"/>
          <w:sz w:val="17"/>
          <w:szCs w:val="17"/>
        </w:rPr>
        <w:t xml:space="preserve">  (DOI terverifikasi (Crossref))</w:t>
      </w:r>
    </w:p>
    <w:p>
      <w:pPr>
        <w:tabs>
          <w:tab w:val="left" w:pos="540"/>
        </w:tabs>
        <w:spacing w:after="100" w:line="264"/>
        <w:ind w:left="540" w:hanging="5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[16]	</w:t>
      </w:r>
      <w:r>
        <w:rPr>
          <w:rFonts w:ascii="Calibri" w:cs="Calibri" w:eastAsia="Calibri" w:hAnsi="Calibri"/>
          <w:sz w:val="20"/>
          <w:szCs w:val="20"/>
        </w:rPr>
        <w:t xml:space="preserve">Shor, J., Emanuel, D., Lang, O., Tuval, O., Brenner, M., Cattiau, J., et al. (2019). Personalizing ASR for dysarthric and accented speech with limited data. Proceedings of Interspeech 2019, 784–788. </w:t>
      </w:r>
      <w:hyperlink w:history="1" r:id="rIdozoai4rixdedt7abeouee">
        <w:r>
          <w:rPr>
            <w:rStyle w:val="Hyperlink"/>
            <w:rFonts w:ascii="Calibri" w:cs="Calibri" w:eastAsia="Calibri" w:hAnsi="Calibri"/>
            <w:color w:val="0563C1"/>
            <w:sz w:val="18"/>
            <w:szCs w:val="18"/>
          </w:rPr>
          <w:t xml:space="preserve">https://doi.org/10.21437/Interspeech.2019-1427</w:t>
        </w:r>
      </w:hyperlink>
      <w:r>
        <w:rPr>
          <w:rFonts w:ascii="Calibri" w:cs="Calibri" w:eastAsia="Calibri" w:hAnsi="Calibri"/>
          <w:i/>
          <w:iCs/>
          <w:color w:val="7F7F7F"/>
          <w:sz w:val="17"/>
          <w:szCs w:val="17"/>
        </w:rPr>
        <w:t xml:space="preserve">  (DOI terverifikasi (Crossref); ringkasan: Google Research blog (Shor &amp; Emanuel, 2019))</w:t>
      </w:r>
    </w:p>
    <w:p>
      <w:pPr>
        <w:tabs>
          <w:tab w:val="left" w:pos="540"/>
        </w:tabs>
        <w:spacing w:after="100" w:line="264"/>
        <w:ind w:left="540" w:hanging="5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[17]	</w:t>
      </w:r>
      <w:r>
        <w:rPr>
          <w:rFonts w:ascii="Calibri" w:cs="Calibri" w:eastAsia="Calibri" w:hAnsi="Calibri"/>
          <w:sz w:val="20"/>
          <w:szCs w:val="20"/>
        </w:rPr>
        <w:t xml:space="preserve">Laux, H., Hallawa, A., Assis, J. C. S., Schmeink, A., Martin, L., &amp; Peine, A. (2023). Two-stage visual speech recognition for intensive care patients. Scientific Reports, 13, 928. </w:t>
      </w:r>
      <w:hyperlink w:history="1" r:id="rIdilnamc3aj4vccuthnxl3s">
        <w:r>
          <w:rPr>
            <w:rStyle w:val="Hyperlink"/>
            <w:rFonts w:ascii="Calibri" w:cs="Calibri" w:eastAsia="Calibri" w:hAnsi="Calibri"/>
            <w:color w:val="0563C1"/>
            <w:sz w:val="18"/>
            <w:szCs w:val="18"/>
          </w:rPr>
          <w:t xml:space="preserve">https://doi.org/10.1038/s41598-022-26155-5</w:t>
        </w:r>
      </w:hyperlink>
      <w:r>
        <w:rPr>
          <w:rFonts w:ascii="Calibri" w:cs="Calibri" w:eastAsia="Calibri" w:hAnsi="Calibri"/>
          <w:i/>
          <w:iCs/>
          <w:color w:val="7F7F7F"/>
          <w:sz w:val="17"/>
          <w:szCs w:val="17"/>
        </w:rPr>
        <w:t xml:space="preserve">  (DOI terverifikasi (Crossref))</w:t>
      </w:r>
    </w:p>
    <w:p>
      <w:pPr>
        <w:tabs>
          <w:tab w:val="left" w:pos="540"/>
        </w:tabs>
        <w:spacing w:after="100" w:line="264"/>
        <w:ind w:left="540" w:hanging="5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[18]	</w:t>
      </w:r>
      <w:r>
        <w:rPr>
          <w:rFonts w:ascii="Calibri" w:cs="Calibri" w:eastAsia="Calibri" w:hAnsi="Calibri"/>
          <w:sz w:val="20"/>
          <w:szCs w:val="20"/>
        </w:rPr>
        <w:t xml:space="preserve">Oghbaie, M., et al. (2021). Advances and challenges in deep lip reading. arXiv:2110.07879. </w:t>
      </w:r>
      <w:hyperlink w:history="1" r:id="rIdrh4-eeqjkktdlt9kkdsg3">
        <w:r>
          <w:rPr>
            <w:rStyle w:val="Hyperlink"/>
            <w:rFonts w:ascii="Calibri" w:cs="Calibri" w:eastAsia="Calibri" w:hAnsi="Calibri"/>
            <w:color w:val="0563C1"/>
            <w:sz w:val="18"/>
            <w:szCs w:val="18"/>
          </w:rPr>
          <w:t xml:space="preserve">https://arxiv.org/abs/2110.07879</w:t>
        </w:r>
      </w:hyperlink>
      <w:r>
        <w:rPr>
          <w:rFonts w:ascii="Calibri" w:cs="Calibri" w:eastAsia="Calibri" w:hAnsi="Calibri"/>
          <w:i/>
          <w:iCs/>
          <w:color w:val="7F7F7F"/>
          <w:sz w:val="17"/>
          <w:szCs w:val="17"/>
        </w:rPr>
        <w:t xml:space="preserve">  (Ditemukan lewat pencarian; penulis pertama belum diverifikasi penuh)</w:t>
      </w:r>
    </w:p>
    <w:p>
      <w:pPr>
        <w:tabs>
          <w:tab w:val="left" w:pos="540"/>
        </w:tabs>
        <w:spacing w:after="100" w:line="264"/>
        <w:ind w:left="540" w:hanging="5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[19]	</w:t>
      </w:r>
      <w:r>
        <w:rPr>
          <w:rFonts w:ascii="Calibri" w:cs="Calibri" w:eastAsia="Calibri" w:hAnsi="Calibri"/>
          <w:sz w:val="20"/>
          <w:szCs w:val="20"/>
        </w:rPr>
        <w:t xml:space="preserve">Hjermstad, M. J., Fayers, P. M., Haugen, D. F., Caraceni, A., Hanks, G. W., Loge, J. H., et al. (2011). Studies comparing numerical rating scales, verbal rating scales, and visual analogue scales for assessment of pain intensity in adults: A systematic literature review. Journal of Pain and Symptom Management, 41(6), 1073–1093. </w:t>
      </w:r>
      <w:hyperlink w:history="1" r:id="rIdaj0wiljhabnzk1cjndefk">
        <w:r>
          <w:rPr>
            <w:rStyle w:val="Hyperlink"/>
            <w:rFonts w:ascii="Calibri" w:cs="Calibri" w:eastAsia="Calibri" w:hAnsi="Calibri"/>
            <w:color w:val="0563C1"/>
            <w:sz w:val="18"/>
            <w:szCs w:val="18"/>
          </w:rPr>
          <w:t xml:space="preserve">https://doi.org/10.1016/j.jpainsymman.2010.08.016</w:t>
        </w:r>
      </w:hyperlink>
      <w:r>
        <w:rPr>
          <w:rFonts w:ascii="Calibri" w:cs="Calibri" w:eastAsia="Calibri" w:hAnsi="Calibri"/>
          <w:i/>
          <w:iCs/>
          <w:color w:val="7F7F7F"/>
          <w:sz w:val="17"/>
          <w:szCs w:val="17"/>
        </w:rPr>
        <w:t xml:space="preserve">  (DOI terverifikasi (Crossref); nomor edisi (6) dari pengetahuan umum, cek di DOI)</w:t>
      </w:r>
    </w:p>
    <w:p>
      <w:pPr>
        <w:tabs>
          <w:tab w:val="left" w:pos="540"/>
        </w:tabs>
        <w:spacing w:after="100" w:line="264"/>
        <w:ind w:left="540" w:hanging="5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[20]	</w:t>
      </w:r>
      <w:r>
        <w:rPr>
          <w:rFonts w:ascii="Calibri" w:cs="Calibri" w:eastAsia="Calibri" w:hAnsi="Calibri"/>
          <w:sz w:val="20"/>
          <w:szCs w:val="20"/>
        </w:rPr>
        <w:t xml:space="preserve">World Health Organization. (2021). Ethics and governance of artificial intelligence for health: WHO guidance. Geneva: WHO. </w:t>
      </w:r>
      <w:hyperlink w:history="1" r:id="rId95inocvolcwag15z5erqf">
        <w:r>
          <w:rPr>
            <w:rStyle w:val="Hyperlink"/>
            <w:rFonts w:ascii="Calibri" w:cs="Calibri" w:eastAsia="Calibri" w:hAnsi="Calibri"/>
            <w:color w:val="0563C1"/>
            <w:sz w:val="18"/>
            <w:szCs w:val="18"/>
          </w:rPr>
          <w:t xml:space="preserve">https://iris.who.int/handle/10665/341996</w:t>
        </w:r>
      </w:hyperlink>
      <w:r>
        <w:rPr>
          <w:rFonts w:ascii="Calibri" w:cs="Calibri" w:eastAsia="Calibri" w:hAnsi="Calibri"/>
          <w:i/>
          <w:iCs/>
          <w:color w:val="7F7F7F"/>
          <w:sz w:val="17"/>
          <w:szCs w:val="17"/>
        </w:rPr>
        <w:t xml:space="preserve">  (Ditemukan lewat pencarian (repositori resmi WHO IRIS))</w:t>
      </w:r>
    </w:p>
    <w:p>
      <w:pPr>
        <w:tabs>
          <w:tab w:val="left" w:pos="540"/>
        </w:tabs>
        <w:spacing w:after="100" w:line="264"/>
        <w:ind w:left="540" w:hanging="5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[21]	</w:t>
      </w:r>
      <w:r>
        <w:rPr>
          <w:rFonts w:ascii="Calibri" w:cs="Calibri" w:eastAsia="Calibri" w:hAnsi="Calibri"/>
          <w:sz w:val="20"/>
          <w:szCs w:val="20"/>
        </w:rPr>
        <w:t xml:space="preserve">Republik Indonesia. (2022). Undang-Undang Nomor 27 Tahun 2022 tentang Pelindungan Data Pribadi. </w:t>
      </w:r>
      <w:hyperlink w:history="1" r:id="rId34-wmwsjheugzbxrqst2m">
        <w:r>
          <w:rPr>
            <w:rStyle w:val="Hyperlink"/>
            <w:rFonts w:ascii="Calibri" w:cs="Calibri" w:eastAsia="Calibri" w:hAnsi="Calibri"/>
            <w:color w:val="0563C1"/>
            <w:sz w:val="18"/>
            <w:szCs w:val="18"/>
          </w:rPr>
          <w:t xml:space="preserve">https://jdih.kemenkoinfra.go.id/uu-no-272022-pelindungan-data-pribadi</w:t>
        </w:r>
      </w:hyperlink>
      <w:r>
        <w:rPr>
          <w:rFonts w:ascii="Calibri" w:cs="Calibri" w:eastAsia="Calibri" w:hAnsi="Calibri"/>
          <w:i/>
          <w:iCs/>
          <w:color w:val="7F7F7F"/>
          <w:sz w:val="17"/>
          <w:szCs w:val="17"/>
        </w:rPr>
        <w:t xml:space="preserve">  (Ditemukan lewat pencarian; rujuk teks resmi untuk nomor pasal)</w:t>
      </w:r>
    </w:p>
    <w:p>
      <w:pPr>
        <w:tabs>
          <w:tab w:val="left" w:pos="540"/>
        </w:tabs>
        <w:spacing w:after="100" w:line="264"/>
        <w:ind w:left="540" w:hanging="5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[22]	</w:t>
      </w:r>
      <w:r>
        <w:rPr>
          <w:rFonts w:ascii="Calibri" w:cs="Calibri" w:eastAsia="Calibri" w:hAnsi="Calibri"/>
          <w:sz w:val="20"/>
          <w:szCs w:val="20"/>
        </w:rPr>
        <w:t xml:space="preserve">Menteri Kesehatan Republik Indonesia. (2022). Peraturan Menteri Kesehatan Nomor 24 Tahun 2022 tentang Rekam Medis. </w:t>
      </w:r>
      <w:hyperlink w:history="1" r:id="rIdm3cnwssq4jcy9lzre6fky">
        <w:r>
          <w:rPr>
            <w:rStyle w:val="Hyperlink"/>
            <w:rFonts w:ascii="Calibri" w:cs="Calibri" w:eastAsia="Calibri" w:hAnsi="Calibri"/>
            <w:color w:val="0563C1"/>
            <w:sz w:val="18"/>
            <w:szCs w:val="18"/>
          </w:rPr>
          <w:t xml:space="preserve">https://peraturan.bpk.go.id/Details/245544/permenkes-no-24-tahun-2022</w:t>
        </w:r>
      </w:hyperlink>
      <w:r>
        <w:rPr>
          <w:rFonts w:ascii="Calibri" w:cs="Calibri" w:eastAsia="Calibri" w:hAnsi="Calibri"/>
          <w:i/>
          <w:iCs/>
          <w:color w:val="7F7F7F"/>
          <w:sz w:val="17"/>
          <w:szCs w:val="17"/>
        </w:rPr>
        <w:t xml:space="preserve">  (Ditemukan lewat pencarian (JDIH BPK, status Berlaku); salinan: jdih.kemkes.go.id)</w:t>
      </w:r>
    </w:p>
    <w:sectPr>
      <w:footerReference w:type="default" r:id="rId6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7"/>
        <w:szCs w:val="17"/>
      </w:rPr>
      <w:t xml:space="preserve">Pengajuan Pemilihan Sistem Speech – halaman </w:t>
    </w:r>
    <w:r>
      <w:rPr>
        <w:rFonts w:ascii="Calibri" w:cs="Calibri" w:eastAsia="Calibri" w:hAnsi="Calibri"/>
        <w:color w:val="7F7F7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6-vu3zqe9hftzmneddw0m" Type="http://schemas.openxmlformats.org/officeDocument/2006/relationships/hyperlink" Target="https://doi.org/10.1044/2019_AJSLP-19-0001" TargetMode="External"/><Relationship Id="rIds1hh5z25r1phba7vo25mb" Type="http://schemas.openxmlformats.org/officeDocument/2006/relationships/hyperlink" Target="https://doi.org/10.1016/j.iccn.2017.03.003" TargetMode="External"/><Relationship Id="rIdwfrbabpat2wohwbhl77wo" Type="http://schemas.openxmlformats.org/officeDocument/2006/relationships/hyperlink" Target="https://doi.org/10.1016/j.aucc.2024.04.006" TargetMode="External"/><Relationship Id="rIdhmwrs7vfdibwe7vq4dqkk" Type="http://schemas.openxmlformats.org/officeDocument/2006/relationships/hyperlink" Target="https://doi.org/10.1093/jamia/ocv152" TargetMode="External"/><Relationship Id="rIdsnh21bdrt8wzqrbmqnqcm" Type="http://schemas.openxmlformats.org/officeDocument/2006/relationships/hyperlink" Target="https://doi.org/10.1093/jamia/ocy179" TargetMode="External"/><Relationship Id="rIdbw9kk8ljalgripre1ewyb" Type="http://schemas.openxmlformats.org/officeDocument/2006/relationships/hyperlink" Target="https://doi.org/10.1186/s12911-025-03324-w" TargetMode="External"/><Relationship Id="rIdxq14jgoqfywqiqn6l9njc" Type="http://schemas.openxmlformats.org/officeDocument/2006/relationships/hyperlink" Target="https://arxiv.org/abs/2212.04356" TargetMode="External"/><Relationship Id="rIdciftv4pkm4toric749vkx" Type="http://schemas.openxmlformats.org/officeDocument/2006/relationships/hyperlink" Target="https://www.assemblyai.com/docs/pre-recorded-audio/supported-languages" TargetMode="External"/><Relationship Id="rIdbvglchmm5iohlmu7cuexi" Type="http://schemas.openxmlformats.org/officeDocument/2006/relationships/hyperlink" Target="https://arxiv.org/pdf/2601.03684" TargetMode="External"/><Relationship Id="rIdmh5z9n8zvoardpumge2j4" Type="http://schemas.openxmlformats.org/officeDocument/2006/relationships/hyperlink" Target="https://arxiv.org/abs/2401.05654" TargetMode="External"/><Relationship Id="rId9ul8yhdrji91zzleodmsq" Type="http://schemas.openxmlformats.org/officeDocument/2006/relationships/hyperlink" Target="https://doi.org/10.2196/31342" TargetMode="External"/><Relationship Id="rIdt4kg7hsostwdrbwzfiplb" Type="http://schemas.openxmlformats.org/officeDocument/2006/relationships/hyperlink" Target="https://spectrum.ieee.org/alexa-tell-the-nurse-im-in-pain" TargetMode="External"/><Relationship Id="rIdpx7f01d9j1r1hy0lm30p0" Type="http://schemas.openxmlformats.org/officeDocument/2006/relationships/hyperlink" Target="https://doi.org/10.2196/32473" TargetMode="External"/><Relationship Id="rIdew4h7lewnihed2uw-2ryz" Type="http://schemas.openxmlformats.org/officeDocument/2006/relationships/hyperlink" Target="https://doi.org/10.3389/fdgth.2024.1440986" TargetMode="External"/><Relationship Id="rIdtyb0xmnzpjpdjnwhwzogs" Type="http://schemas.openxmlformats.org/officeDocument/2006/relationships/hyperlink" Target="https://doi.org/10.21437/Interspeech.2008-480" TargetMode="External"/><Relationship Id="rIdozoai4rixdedt7abeouee" Type="http://schemas.openxmlformats.org/officeDocument/2006/relationships/hyperlink" Target="https://doi.org/10.21437/Interspeech.2019-1427" TargetMode="External"/><Relationship Id="rIdilnamc3aj4vccuthnxl3s" Type="http://schemas.openxmlformats.org/officeDocument/2006/relationships/hyperlink" Target="https://doi.org/10.1038/s41598-022-26155-5" TargetMode="External"/><Relationship Id="rIdrh4-eeqjkktdlt9kkdsg3" Type="http://schemas.openxmlformats.org/officeDocument/2006/relationships/hyperlink" Target="https://arxiv.org/abs/2110.07879" TargetMode="External"/><Relationship Id="rIdaj0wiljhabnzk1cjndefk" Type="http://schemas.openxmlformats.org/officeDocument/2006/relationships/hyperlink" Target="https://doi.org/10.1016/j.jpainsymman.2010.08.016" TargetMode="External"/><Relationship Id="rId95inocvolcwag15z5erqf" Type="http://schemas.openxmlformats.org/officeDocument/2006/relationships/hyperlink" Target="https://iris.who.int/handle/10665/341996" TargetMode="External"/><Relationship Id="rId34-wmwsjheugzbxrqst2m" Type="http://schemas.openxmlformats.org/officeDocument/2006/relationships/hyperlink" Target="https://jdih.kemenkoinfra.go.id/uu-no-272022-pelindungan-data-pribadi" TargetMode="External"/><Relationship Id="rIdm3cnwssq4jcy9lzre6fky" Type="http://schemas.openxmlformats.org/officeDocument/2006/relationships/hyperlink" Target="https://peraturan.bpk.go.id/Details/245544/permenkes-no-24-tahun-2022" TargetMode="External"/><Relationship Id="rId3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Pengajuan Pemilihan Sistem Speech untuk Anamnesis</dc:title>
  <dc:creator>Khoirul Yardan</dc:creator>
  <cp:lastModifiedBy>Un-named</cp:lastModifiedBy>
  <cp:revision>1</cp:revision>
  <dcterms:created xsi:type="dcterms:W3CDTF">2026-10-15T11:03:01.239Z</dcterms:created>
  <dcterms:modified xsi:type="dcterms:W3CDTF">2026-10-15T11:03:01.240Z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