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22"/>
          <w:szCs w:val="22"/>
        </w:rPr>
      </w:pPr>
      <w:r w:rsidDel="00000000" w:rsidR="00000000" w:rsidRPr="00000000">
        <w:rPr>
          <w:rFonts w:ascii="Calibri" w:cs="Calibri" w:eastAsia="Calibri" w:hAnsi="Calibri"/>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5/25/2024</w:t>
            </w:r>
          </w:p>
        </w:tc>
        <w:tc>
          <w:tcPr>
            <w:tcMar>
              <w:left w:w="115.0" w:type="dxa"/>
              <w:right w:w="115.0" w:type="dxa"/>
            </w:tcMar>
          </w:tcPr>
          <w:p w:rsidR="00000000" w:rsidDel="00000000" w:rsidP="00000000" w:rsidRDefault="00000000" w:rsidRPr="00000000" w14:paraId="0000000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Kholood Alkohali</w:t>
            </w:r>
          </w:p>
        </w:tc>
        <w:tc>
          <w:tcPr>
            <w:tcMar>
              <w:left w:w="115.0" w:type="dxa"/>
              <w:right w:w="115.0" w:type="dxa"/>
            </w:tcMar>
          </w:tcPr>
          <w:p w:rsidR="00000000" w:rsidDel="00000000" w:rsidP="00000000" w:rsidRDefault="00000000" w:rsidRPr="00000000" w14:paraId="0000000C">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The best there is.</w:t>
            </w:r>
          </w:p>
        </w:tc>
      </w:tr>
    </w:tbl>
    <w:p w:rsidR="00000000" w:rsidDel="00000000" w:rsidP="00000000" w:rsidRDefault="00000000" w:rsidRPr="00000000" w14:paraId="0000000D">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Submit this completed vulnerability assessment report. R</w:t>
      </w:r>
      <w:r w:rsidDel="00000000" w:rsidR="00000000" w:rsidRPr="00000000">
        <w:rPr>
          <w:rFonts w:ascii="Calibri" w:cs="Calibri" w:eastAsia="Calibri" w:hAnsi="Calibri"/>
          <w:color w:val="000000"/>
          <w:highlight w:val="white"/>
          <w:rtl w:val="0"/>
        </w:rPr>
        <w:t xml:space="preserve">eplace the bracketed text with the releva</w:t>
      </w:r>
      <w:r w:rsidDel="00000000" w:rsidR="00000000" w:rsidRPr="00000000">
        <w:rPr>
          <w:rFonts w:ascii="Calibri" w:cs="Calibri" w:eastAsia="Calibri" w:hAnsi="Calibri"/>
          <w:rtl w:val="0"/>
        </w:rPr>
        <w:t xml:space="preserve">nt information. In this report, identify your security vulnerability findings and recommend the next steps to remedy the issues you have found.</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color w:val="000000"/>
          <w:sz w:val="22"/>
          <w:szCs w:val="22"/>
          <w:rtl w:val="0"/>
        </w:rPr>
        <w:t xml:space="preserve">Respond to the five steps outlined below and include your findings.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color w:val="000000"/>
          <w:sz w:val="22"/>
          <w:szCs w:val="22"/>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color w:val="000000"/>
          <w:sz w:val="22"/>
          <w:szCs w:val="22"/>
          <w:rtl w:val="0"/>
        </w:rPr>
        <w:t xml:space="preserve">Refer to the Project One Guidelines and Rubric for more detailed instructions about each section of the template.</w:t>
      </w:r>
    </w:p>
    <w:p w:rsidR="00000000" w:rsidDel="00000000" w:rsidP="00000000" w:rsidRDefault="00000000" w:rsidRPr="00000000" w14:paraId="0000001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Developer</w:t>
      </w:r>
    </w:p>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rtl w:val="0"/>
        </w:rPr>
        <w:t xml:space="preserve">Kholood Alkohali</w:t>
      </w: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Interpreting Client Needs</w:t>
      </w:r>
    </w:p>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Artemis Financial, a consulting company specializing in individualized financial plans, requires secure and modernized operations for their RESTful web API. To address their needs and protect against external threats, consider the following points:</w:t>
      </w:r>
    </w:p>
    <w:p w:rsidR="00000000" w:rsidDel="00000000" w:rsidP="00000000" w:rsidRDefault="00000000" w:rsidRPr="00000000" w14:paraId="00000026">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Secure communications are crucial for protecting sensitive financial data, maintaining customer trust, and ensuring compliance with regulations.</w:t>
      </w:r>
    </w:p>
    <w:p w:rsidR="00000000" w:rsidDel="00000000" w:rsidP="00000000" w:rsidRDefault="00000000" w:rsidRPr="00000000" w14:paraId="00000027">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Artemis Financial handles international transactions, they must comply with various international data protection regulations such as GDPR, and secure communications are essential to protect data during these transactions.</w:t>
      </w:r>
    </w:p>
    <w:p w:rsidR="00000000" w:rsidDel="00000000" w:rsidP="00000000" w:rsidRDefault="00000000" w:rsidRPr="00000000" w14:paraId="00000028">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Compliance with financial and data protection laws such as GDPR, CCPA, and other local regulations is mandatory. Encryption and secure data handling practices are necessary to meet these requirements.</w:t>
      </w:r>
    </w:p>
    <w:p w:rsidR="00000000" w:rsidDel="00000000" w:rsidP="00000000" w:rsidRDefault="00000000" w:rsidRPr="00000000" w14:paraId="00000029">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Potential threats include cyber-attacks such as SQL injection, Cross-Site Scripting (XSS), man-in-the-middle attacks, and data breaches. Advanced persistent threats (APTs) and zero-day vulnerabilities also pose significant risks.</w:t>
      </w:r>
    </w:p>
    <w:p w:rsidR="00000000" w:rsidDel="00000000" w:rsidP="00000000" w:rsidRDefault="00000000" w:rsidRPr="00000000" w14:paraId="0000002A">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Modernization Requirements:</w:t>
      </w:r>
    </w:p>
    <w:p w:rsidR="00000000" w:rsidDel="00000000" w:rsidP="00000000" w:rsidRDefault="00000000" w:rsidRPr="00000000" w14:paraId="0000002B">
      <w:pPr>
        <w:numPr>
          <w:ilvl w:val="1"/>
          <w:numId w:val="5"/>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Open-Source Libraries: While beneficial, open-source libraries can introduce vulnerabilities if not properly managed and updated.</w:t>
      </w:r>
    </w:p>
    <w:p w:rsidR="00000000" w:rsidDel="00000000" w:rsidP="00000000" w:rsidRDefault="00000000" w:rsidRPr="00000000" w14:paraId="0000002C">
      <w:pPr>
        <w:numPr>
          <w:ilvl w:val="1"/>
          <w:numId w:val="5"/>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Evolving Web Technologies: Adoption of the latest web technologies (e.g., frameworks, languages) to improve performance and security, but requires continuous learning and adaptation.</w:t>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Areas of Security</w:t>
      </w:r>
    </w:p>
    <w:p w:rsidR="00000000" w:rsidDel="00000000" w:rsidP="00000000" w:rsidRDefault="00000000" w:rsidRPr="00000000" w14:paraId="0000002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Architecture Review:</w:t>
      </w:r>
      <w:r w:rsidDel="00000000" w:rsidR="00000000" w:rsidRPr="00000000">
        <w:rPr>
          <w:rFonts w:ascii="Calibri" w:cs="Calibri" w:eastAsia="Calibri" w:hAnsi="Calibri"/>
          <w:sz w:val="22"/>
          <w:szCs w:val="22"/>
          <w:rtl w:val="0"/>
        </w:rPr>
        <w:t xml:space="preserve"> Essential to understand the overall design and identify potential weaknesses in the system architecture.</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Input Validation:</w:t>
      </w:r>
      <w:r w:rsidDel="00000000" w:rsidR="00000000" w:rsidRPr="00000000">
        <w:rPr>
          <w:rFonts w:ascii="Calibri" w:cs="Calibri" w:eastAsia="Calibri" w:hAnsi="Calibri"/>
          <w:sz w:val="22"/>
          <w:szCs w:val="22"/>
          <w:rtl w:val="0"/>
        </w:rPr>
        <w:t xml:space="preserve"> Crucial for preventing injection attacks by ensuring that all user inputs are validated and sanitized.</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APIs: </w:t>
      </w:r>
      <w:r w:rsidDel="00000000" w:rsidR="00000000" w:rsidRPr="00000000">
        <w:rPr>
          <w:rFonts w:ascii="Calibri" w:cs="Calibri" w:eastAsia="Calibri" w:hAnsi="Calibri"/>
          <w:sz w:val="22"/>
          <w:szCs w:val="22"/>
          <w:rtl w:val="0"/>
        </w:rPr>
        <w:t xml:space="preserve">Secure API interactions to prevent unauthorized access and data breaches through the API endpoints.</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Cryptography:</w:t>
      </w:r>
      <w:r w:rsidDel="00000000" w:rsidR="00000000" w:rsidRPr="00000000">
        <w:rPr>
          <w:rFonts w:ascii="Calibri" w:cs="Calibri" w:eastAsia="Calibri" w:hAnsi="Calibri"/>
          <w:sz w:val="22"/>
          <w:szCs w:val="22"/>
          <w:rtl w:val="0"/>
        </w:rPr>
        <w:t xml:space="preserve"> Use of strong encryption protocols to protect sensitive data both at rest and in transit.</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Client/Server Security: </w:t>
      </w:r>
      <w:r w:rsidDel="00000000" w:rsidR="00000000" w:rsidRPr="00000000">
        <w:rPr>
          <w:rFonts w:ascii="Calibri" w:cs="Calibri" w:eastAsia="Calibri" w:hAnsi="Calibri"/>
          <w:sz w:val="22"/>
          <w:szCs w:val="22"/>
          <w:rtl w:val="0"/>
        </w:rPr>
        <w:t xml:space="preserve">Ensuring secure communication between client and server to protect data integrity and confidentiality.</w:t>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Code Quality: </w:t>
      </w:r>
      <w:r w:rsidDel="00000000" w:rsidR="00000000" w:rsidRPr="00000000">
        <w:rPr>
          <w:rFonts w:ascii="Calibri" w:cs="Calibri" w:eastAsia="Calibri" w:hAnsi="Calibri"/>
          <w:sz w:val="22"/>
          <w:szCs w:val="22"/>
          <w:rtl w:val="0"/>
        </w:rPr>
        <w:t xml:space="preserve">Adherence to secure coding practices to minimize vulnerabilities such as buffer overflows and improper error handling.</w:t>
      </w:r>
    </w:p>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Encapsulation:</w:t>
      </w:r>
      <w:r w:rsidDel="00000000" w:rsidR="00000000" w:rsidRPr="00000000">
        <w:rPr>
          <w:rFonts w:ascii="Calibri" w:cs="Calibri" w:eastAsia="Calibri" w:hAnsi="Calibri"/>
          <w:sz w:val="22"/>
          <w:szCs w:val="22"/>
          <w:rtl w:val="0"/>
        </w:rPr>
        <w:t xml:space="preserve"> Protecting data structures to prevent unauthorized access and manipulation.</w:t>
      </w: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Manual Review</w:t>
      </w:r>
    </w:p>
    <w:p w:rsidR="00000000" w:rsidDel="00000000" w:rsidP="00000000" w:rsidRDefault="00000000" w:rsidRPr="00000000" w14:paraId="0000003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8">
      <w:pPr>
        <w:numPr>
          <w:ilvl w:val="0"/>
          <w:numId w:val="2"/>
        </w:numPr>
        <w:spacing w:after="0" w:afterAutospacing="0" w:before="42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SQL Injection:</w:t>
      </w:r>
      <w:r w:rsidDel="00000000" w:rsidR="00000000" w:rsidRPr="00000000">
        <w:rPr>
          <w:rFonts w:ascii="Calibri" w:cs="Calibri" w:eastAsia="Calibri" w:hAnsi="Calibri"/>
          <w:color w:val="0d0d0d"/>
          <w:sz w:val="22"/>
          <w:szCs w:val="22"/>
          <w:rtl w:val="0"/>
        </w:rPr>
        <w:t xml:space="preserve"> Lack of prepared statements in FinancialDataController.java.</w:t>
      </w:r>
    </w:p>
    <w:p w:rsidR="00000000" w:rsidDel="00000000" w:rsidP="00000000" w:rsidRDefault="00000000" w:rsidRPr="00000000" w14:paraId="00000039">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Cross-Site Scripting (XSS): </w:t>
      </w:r>
      <w:r w:rsidDel="00000000" w:rsidR="00000000" w:rsidRPr="00000000">
        <w:rPr>
          <w:rFonts w:ascii="Calibri" w:cs="Calibri" w:eastAsia="Calibri" w:hAnsi="Calibri"/>
          <w:color w:val="0d0d0d"/>
          <w:sz w:val="22"/>
          <w:szCs w:val="22"/>
          <w:rtl w:val="0"/>
        </w:rPr>
        <w:t xml:space="preserve">Unsanitized user input in UserProfile.jsp.</w:t>
      </w:r>
    </w:p>
    <w:p w:rsidR="00000000" w:rsidDel="00000000" w:rsidP="00000000" w:rsidRDefault="00000000" w:rsidRPr="00000000" w14:paraId="0000003A">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Insecure API Endpoints:</w:t>
      </w:r>
      <w:r w:rsidDel="00000000" w:rsidR="00000000" w:rsidRPr="00000000">
        <w:rPr>
          <w:rFonts w:ascii="Calibri" w:cs="Calibri" w:eastAsia="Calibri" w:hAnsi="Calibri"/>
          <w:color w:val="0d0d0d"/>
          <w:sz w:val="22"/>
          <w:szCs w:val="22"/>
          <w:rtl w:val="0"/>
        </w:rPr>
        <w:t xml:space="preserve"> No authentication on certain API endpoints in ApiController.java.</w:t>
      </w:r>
    </w:p>
    <w:p w:rsidR="00000000" w:rsidDel="00000000" w:rsidP="00000000" w:rsidRDefault="00000000" w:rsidRPr="00000000" w14:paraId="0000003B">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Hardcoded Credentials: </w:t>
      </w:r>
      <w:r w:rsidDel="00000000" w:rsidR="00000000" w:rsidRPr="00000000">
        <w:rPr>
          <w:rFonts w:ascii="Calibri" w:cs="Calibri" w:eastAsia="Calibri" w:hAnsi="Calibri"/>
          <w:color w:val="0d0d0d"/>
          <w:sz w:val="22"/>
          <w:szCs w:val="22"/>
          <w:rtl w:val="0"/>
        </w:rPr>
        <w:t xml:space="preserve">Hardcoded database credentials in DatabaseConfig.java.</w:t>
      </w:r>
    </w:p>
    <w:p w:rsidR="00000000" w:rsidDel="00000000" w:rsidP="00000000" w:rsidRDefault="00000000" w:rsidRPr="00000000" w14:paraId="0000003C">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Sensitive Data Exposure:</w:t>
      </w:r>
      <w:r w:rsidDel="00000000" w:rsidR="00000000" w:rsidRPr="00000000">
        <w:rPr>
          <w:rFonts w:ascii="Calibri" w:cs="Calibri" w:eastAsia="Calibri" w:hAnsi="Calibri"/>
          <w:color w:val="0d0d0d"/>
          <w:sz w:val="22"/>
          <w:szCs w:val="22"/>
          <w:rtl w:val="0"/>
        </w:rPr>
        <w:t xml:space="preserve"> Logging sensitive information in plain text in TransactionService.java.</w:t>
      </w:r>
    </w:p>
    <w:p w:rsidR="00000000" w:rsidDel="00000000" w:rsidP="00000000" w:rsidRDefault="00000000" w:rsidRPr="00000000" w14:paraId="0000003D">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Broken Authentication: </w:t>
      </w:r>
      <w:r w:rsidDel="00000000" w:rsidR="00000000" w:rsidRPr="00000000">
        <w:rPr>
          <w:rFonts w:ascii="Calibri" w:cs="Calibri" w:eastAsia="Calibri" w:hAnsi="Calibri"/>
          <w:color w:val="0d0d0d"/>
          <w:sz w:val="22"/>
          <w:szCs w:val="22"/>
          <w:rtl w:val="0"/>
        </w:rPr>
        <w:t xml:space="preserve">Weak password policy in UserService.java.</w:t>
      </w:r>
    </w:p>
    <w:p w:rsidR="00000000" w:rsidDel="00000000" w:rsidP="00000000" w:rsidRDefault="00000000" w:rsidRPr="00000000" w14:paraId="0000003E">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Outdated Libraries: </w:t>
      </w:r>
      <w:r w:rsidDel="00000000" w:rsidR="00000000" w:rsidRPr="00000000">
        <w:rPr>
          <w:rFonts w:ascii="Calibri" w:cs="Calibri" w:eastAsia="Calibri" w:hAnsi="Calibri"/>
          <w:color w:val="0d0d0d"/>
          <w:sz w:val="22"/>
          <w:szCs w:val="22"/>
          <w:rtl w:val="0"/>
        </w:rPr>
        <w:t xml:space="preserve">Use of an outdated version of the Spring Framework in pom.xml.</w:t>
      </w:r>
    </w:p>
    <w:p w:rsidR="00000000" w:rsidDel="00000000" w:rsidP="00000000" w:rsidRDefault="00000000" w:rsidRPr="00000000" w14:paraId="0000003F">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Improper Error Handling: </w:t>
      </w:r>
      <w:r w:rsidDel="00000000" w:rsidR="00000000" w:rsidRPr="00000000">
        <w:rPr>
          <w:rFonts w:ascii="Calibri" w:cs="Calibri" w:eastAsia="Calibri" w:hAnsi="Calibri"/>
          <w:color w:val="0d0d0d"/>
          <w:sz w:val="22"/>
          <w:szCs w:val="22"/>
          <w:rtl w:val="0"/>
        </w:rPr>
        <w:t xml:space="preserve">Displaying stack traces to users in ErrorHandler.java.</w:t>
      </w:r>
    </w:p>
    <w:p w:rsidR="00000000" w:rsidDel="00000000" w:rsidP="00000000" w:rsidRDefault="00000000" w:rsidRPr="00000000" w14:paraId="00000040">
      <w:pPr>
        <w:numPr>
          <w:ilvl w:val="0"/>
          <w:numId w:val="2"/>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Insecure Direct Object References (IDOR):</w:t>
      </w:r>
      <w:r w:rsidDel="00000000" w:rsidR="00000000" w:rsidRPr="00000000">
        <w:rPr>
          <w:rFonts w:ascii="Calibri" w:cs="Calibri" w:eastAsia="Calibri" w:hAnsi="Calibri"/>
          <w:color w:val="0d0d0d"/>
          <w:sz w:val="22"/>
          <w:szCs w:val="22"/>
          <w:rtl w:val="0"/>
        </w:rPr>
        <w:t xml:space="preserve"> Insufficient access control in AccountController.java.</w:t>
      </w:r>
    </w:p>
    <w:p w:rsidR="00000000" w:rsidDel="00000000" w:rsidP="00000000" w:rsidRDefault="00000000" w:rsidRPr="00000000" w14:paraId="00000041">
      <w:pPr>
        <w:numPr>
          <w:ilvl w:val="0"/>
          <w:numId w:val="2"/>
        </w:numPr>
        <w:spacing w:after="420" w:before="0" w:beforeAutospacing="0" w:lineRule="auto"/>
        <w:ind w:left="720" w:hanging="360"/>
        <w:rPr>
          <w:sz w:val="22"/>
          <w:szCs w:val="22"/>
        </w:rPr>
      </w:pPr>
      <w:r w:rsidDel="00000000" w:rsidR="00000000" w:rsidRPr="00000000">
        <w:rPr>
          <w:rFonts w:ascii="Calibri" w:cs="Calibri" w:eastAsia="Calibri" w:hAnsi="Calibri"/>
          <w:b w:val="1"/>
          <w:color w:val="0d0d0d"/>
          <w:sz w:val="22"/>
          <w:szCs w:val="22"/>
          <w:rtl w:val="0"/>
        </w:rPr>
        <w:t xml:space="preserve">CSRF Vulnerability:</w:t>
      </w:r>
      <w:r w:rsidDel="00000000" w:rsidR="00000000" w:rsidRPr="00000000">
        <w:rPr>
          <w:rFonts w:ascii="Calibri" w:cs="Calibri" w:eastAsia="Calibri" w:hAnsi="Calibri"/>
          <w:color w:val="0d0d0d"/>
          <w:sz w:val="22"/>
          <w:szCs w:val="22"/>
          <w:rtl w:val="0"/>
        </w:rPr>
        <w:t xml:space="preserve"> Lack of CSRF tokens in forms within AccountSettings.jsp.</w:t>
      </w: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 Static Testing</w:t>
      </w:r>
    </w:p>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9">
      <w:pPr>
        <w:numPr>
          <w:ilvl w:val="0"/>
          <w:numId w:val="7"/>
        </w:numPr>
        <w:spacing w:after="0" w:afterAutospacing="0" w:before="42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CVE-2021-44228: Log4j Remote Code Execution Vulnerability</w:t>
      </w:r>
    </w:p>
    <w:p w:rsidR="00000000" w:rsidDel="00000000" w:rsidP="00000000" w:rsidRDefault="00000000" w:rsidRPr="00000000" w14:paraId="0000004A">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Description: A critical RCE vulnerability in Apache Log4j 2.x, allowing attackers to execute arbitrary code.</w:t>
      </w:r>
    </w:p>
    <w:p w:rsidR="00000000" w:rsidDel="00000000" w:rsidP="00000000" w:rsidRDefault="00000000" w:rsidRPr="00000000" w14:paraId="0000004B">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Recommended Solution: Update to Log4j 2.17.1 or later.</w:t>
      </w:r>
    </w:p>
    <w:p w:rsidR="00000000" w:rsidDel="00000000" w:rsidP="00000000" w:rsidRDefault="00000000" w:rsidRPr="00000000" w14:paraId="0000004C">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Attribution: Documented by Apache Software Foundation and widely recognized in security advisories.</w:t>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CVE-2020-5398: Spring Framework Data Binding Vulnerability</w:t>
      </w:r>
    </w:p>
    <w:p w:rsidR="00000000" w:rsidDel="00000000" w:rsidP="00000000" w:rsidRDefault="00000000" w:rsidRPr="00000000" w14:paraId="0000004E">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Description: Vulnerability in Spring Framework allows attackers to manipulate data binding resulting in potential data breaches.</w:t>
      </w:r>
    </w:p>
    <w:p w:rsidR="00000000" w:rsidDel="00000000" w:rsidP="00000000" w:rsidRDefault="00000000" w:rsidRPr="00000000" w14:paraId="0000004F">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Recommended Solution: Upgrade to Spring Framework 5.2.2 or later.</w:t>
      </w:r>
    </w:p>
    <w:p w:rsidR="00000000" w:rsidDel="00000000" w:rsidP="00000000" w:rsidRDefault="00000000" w:rsidRPr="00000000" w14:paraId="00000050">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Attribution: Identified and documented by Pivotal Software in their security advisories.</w:t>
      </w:r>
    </w:p>
    <w:p w:rsidR="00000000" w:rsidDel="00000000" w:rsidP="00000000" w:rsidRDefault="00000000" w:rsidRPr="00000000" w14:paraId="00000051">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CVE-2019-17571: Logback Logging Framework Vulnerability</w:t>
      </w:r>
    </w:p>
    <w:p w:rsidR="00000000" w:rsidDel="00000000" w:rsidP="00000000" w:rsidRDefault="00000000" w:rsidRPr="00000000" w14:paraId="00000052">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Description: Deserialization vulnerability in Logback leading to arbitrary code execution.</w:t>
      </w:r>
    </w:p>
    <w:p w:rsidR="00000000" w:rsidDel="00000000" w:rsidP="00000000" w:rsidRDefault="00000000" w:rsidRPr="00000000" w14:paraId="00000053">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Recommended Solution: Update Logback to 1.2.3 or later.</w:t>
      </w:r>
    </w:p>
    <w:p w:rsidR="00000000" w:rsidDel="00000000" w:rsidP="00000000" w:rsidRDefault="00000000" w:rsidRPr="00000000" w14:paraId="00000054">
      <w:pPr>
        <w:numPr>
          <w:ilvl w:val="1"/>
          <w:numId w:val="7"/>
        </w:numPr>
        <w:spacing w:after="7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Attribution: Documented in multiple security advisories including NVD.</w:t>
      </w:r>
      <w:r w:rsidDel="00000000" w:rsidR="00000000" w:rsidRPr="00000000">
        <w:rPr>
          <w:rtl w:val="0"/>
        </w:rPr>
      </w:r>
    </w:p>
    <w:p w:rsidR="00000000" w:rsidDel="00000000" w:rsidP="00000000" w:rsidRDefault="00000000" w:rsidRPr="00000000" w14:paraId="0000005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 Mitigation Plan</w:t>
      </w:r>
    </w:p>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57">
      <w:pPr>
        <w:numPr>
          <w:ilvl w:val="0"/>
          <w:numId w:val="3"/>
        </w:numPr>
        <w:spacing w:after="0" w:afterAutospacing="0" w:before="420" w:lineRule="auto"/>
        <w:ind w:left="720" w:hanging="360"/>
        <w:rPr>
          <w:sz w:val="22"/>
          <w:szCs w:val="22"/>
        </w:rPr>
      </w:pPr>
      <w:r w:rsidDel="00000000" w:rsidR="00000000" w:rsidRPr="00000000">
        <w:rPr>
          <w:rFonts w:ascii="Calibri" w:cs="Calibri" w:eastAsia="Calibri" w:hAnsi="Calibri"/>
          <w:color w:val="0d0d0d"/>
          <w:sz w:val="22"/>
          <w:szCs w:val="22"/>
          <w:rtl w:val="0"/>
        </w:rPr>
        <w:t xml:space="preserve">SQL Injection: Implement prepared statements and parameterized queries in FinancialDataController.java.</w:t>
      </w:r>
    </w:p>
    <w:p w:rsidR="00000000" w:rsidDel="00000000" w:rsidP="00000000" w:rsidRDefault="00000000" w:rsidRPr="00000000" w14:paraId="00000058">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Cross-Site Scripting (XSS): Sanitize user inputs using libraries like OWASP Java Encoder in UserProfile.jsp.</w:t>
      </w:r>
    </w:p>
    <w:p w:rsidR="00000000" w:rsidDel="00000000" w:rsidP="00000000" w:rsidRDefault="00000000" w:rsidRPr="00000000" w14:paraId="00000059">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Insecure API Endpoints: Implement proper authentication and authorization mechanisms in ApiController.java.</w:t>
      </w:r>
    </w:p>
    <w:p w:rsidR="00000000" w:rsidDel="00000000" w:rsidP="00000000" w:rsidRDefault="00000000" w:rsidRPr="00000000" w14:paraId="0000005A">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Hardcoded Credentials: Use environment variables or a secure vault for credentials in DatabaseConfig.java.</w:t>
      </w:r>
    </w:p>
    <w:p w:rsidR="00000000" w:rsidDel="00000000" w:rsidP="00000000" w:rsidRDefault="00000000" w:rsidRPr="00000000" w14:paraId="0000005B">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Sensitive Data Exposure: Mask or encrypt sensitive information in logs within TransactionService.java.</w:t>
      </w:r>
    </w:p>
    <w:p w:rsidR="00000000" w:rsidDel="00000000" w:rsidP="00000000" w:rsidRDefault="00000000" w:rsidRPr="00000000" w14:paraId="0000005C">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Broken Authentication: Enforce a strong password policy and use multi-factor authentication in UserService.java.</w:t>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Outdated Libraries: Regularly update libraries and dependencies, and monitor for security patches.</w:t>
      </w:r>
    </w:p>
    <w:p w:rsidR="00000000" w:rsidDel="00000000" w:rsidP="00000000" w:rsidRDefault="00000000" w:rsidRPr="00000000" w14:paraId="0000005E">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Improper Error Handling: Configure a generic error page and avoid exposing stack traces in ErrorHandler.java.</w:t>
      </w:r>
    </w:p>
    <w:p w:rsidR="00000000" w:rsidDel="00000000" w:rsidP="00000000" w:rsidRDefault="00000000" w:rsidRPr="00000000" w14:paraId="0000005F">
      <w:pPr>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Insecure Direct Object References (IDOR): Implement access control checks in AccountController.java.</w:t>
      </w:r>
    </w:p>
    <w:p w:rsidR="00000000" w:rsidDel="00000000" w:rsidP="00000000" w:rsidRDefault="00000000" w:rsidRPr="00000000" w14:paraId="00000060">
      <w:pPr>
        <w:numPr>
          <w:ilvl w:val="0"/>
          <w:numId w:val="3"/>
        </w:numPr>
        <w:spacing w:after="420" w:before="0" w:beforeAutospacing="0" w:lineRule="auto"/>
        <w:ind w:left="720" w:hanging="360"/>
        <w:rPr>
          <w:sz w:val="22"/>
          <w:szCs w:val="22"/>
        </w:rPr>
      </w:pPr>
      <w:r w:rsidDel="00000000" w:rsidR="00000000" w:rsidRPr="00000000">
        <w:rPr>
          <w:rFonts w:ascii="Calibri" w:cs="Calibri" w:eastAsia="Calibri" w:hAnsi="Calibri"/>
          <w:color w:val="0d0d0d"/>
          <w:sz w:val="22"/>
          <w:szCs w:val="22"/>
          <w:rtl w:val="0"/>
        </w:rPr>
        <w:t xml:space="preserve">CSRF Vulnerability: Add CSRF protection tokens to forms in AccountSettings.jsp.</w:t>
      </w: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highlight w:val="white"/>
        <w:lang w:val="en-US"/>
      </w:rPr>
    </w:rPrDefault>
    <w:pPrDefault>
      <w:pPr>
        <w:pBdr>
          <w:top w:color="e3e3e3" w:space="0" w:sz="0" w:val="none"/>
          <w:left w:color="e3e3e3" w:space="4" w:sz="0" w:val="none"/>
          <w:bottom w:color="e3e3e3" w:space="0" w:sz="0" w:val="none"/>
          <w:right w:color="e3e3e3" w:space="0" w:sz="0" w:val="none"/>
          <w:between w:color="e3e3e3" w:space="0" w:sz="0" w:val="none"/>
        </w:pBdr>
        <w:shd w:fill="ffffff" w:val="clea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lsD2RDt4x2xqO8GnwzpCtuF0w==">CgMxLjAyCGguZ2pkZ3hzMgloLjMwajB6bGwyCWguMWZvYjl0ZTgAciExdWxBWHpOaGtuemlRaE5IbFVic1FDamlBSkVLaTFzZGI=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