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BE7" w:rsidRPr="004A3BE7" w:rsidRDefault="004A3BE7" w:rsidP="004A3BE7">
      <w:pPr>
        <w:spacing w:after="240" w:line="360" w:lineRule="auto"/>
        <w:jc w:val="center"/>
        <w:rPr>
          <w:rFonts w:ascii="Times New Roman" w:hAnsi="Times New Roman"/>
          <w:b/>
          <w:sz w:val="28"/>
          <w:szCs w:val="28"/>
          <w:lang w:val="en-GB" w:eastAsia="en-US"/>
        </w:rPr>
      </w:pPr>
      <w:bookmarkStart w:id="0" w:name="_Hlk533279384"/>
      <w:bookmarkStart w:id="1" w:name="_Toc414191766"/>
      <w:bookmarkEnd w:id="0"/>
    </w:p>
    <w:p w:rsidR="004A3BE7" w:rsidRPr="004A3BE7" w:rsidRDefault="004A3BE7" w:rsidP="004A3BE7">
      <w:pPr>
        <w:spacing w:after="240" w:line="360" w:lineRule="auto"/>
        <w:jc w:val="center"/>
        <w:rPr>
          <w:rFonts w:ascii="Times New Roman" w:hAnsi="Times New Roman"/>
          <w:b/>
          <w:sz w:val="28"/>
          <w:szCs w:val="28"/>
          <w:lang w:val="en-GB" w:eastAsia="en-US"/>
        </w:rPr>
      </w:pPr>
    </w:p>
    <w:bookmarkEnd w:id="1"/>
    <w:p w:rsidR="00CB509C" w:rsidRDefault="00125ACB" w:rsidP="004A3BE7">
      <w:pPr>
        <w:spacing w:after="240" w:line="360" w:lineRule="auto"/>
        <w:jc w:val="center"/>
        <w:rPr>
          <w:rFonts w:ascii="Times New Roman" w:hAnsi="Times New Roman"/>
          <w:b/>
          <w:sz w:val="28"/>
          <w:szCs w:val="28"/>
          <w:lang w:val="en-GB" w:eastAsia="en-US"/>
        </w:rPr>
      </w:pPr>
      <w:r w:rsidRPr="00125ACB">
        <w:rPr>
          <w:rFonts w:ascii="Times New Roman" w:hAnsi="Times New Roman"/>
          <w:b/>
          <w:sz w:val="28"/>
          <w:szCs w:val="28"/>
          <w:lang w:val="en-GB" w:eastAsia="en-US"/>
        </w:rPr>
        <w:t>The Impact of Public Incentives for Electric</w:t>
      </w:r>
      <w:r w:rsidR="00283E27">
        <w:rPr>
          <w:rFonts w:ascii="Times New Roman" w:hAnsi="Times New Roman"/>
          <w:b/>
          <w:sz w:val="28"/>
          <w:szCs w:val="28"/>
          <w:lang w:val="en-GB" w:eastAsia="en-US"/>
        </w:rPr>
        <w:t xml:space="preserve"> </w:t>
      </w:r>
      <w:r w:rsidRPr="00125ACB">
        <w:rPr>
          <w:rFonts w:ascii="Times New Roman" w:hAnsi="Times New Roman"/>
          <w:b/>
          <w:sz w:val="28"/>
          <w:szCs w:val="28"/>
          <w:lang w:val="en-GB" w:eastAsia="en-US"/>
        </w:rPr>
        <w:t xml:space="preserve">Mobility: </w:t>
      </w:r>
    </w:p>
    <w:p w:rsidR="004A3BE7" w:rsidRPr="00125ACB" w:rsidRDefault="00125ACB" w:rsidP="004A3BE7">
      <w:pPr>
        <w:spacing w:after="240" w:line="360" w:lineRule="auto"/>
        <w:jc w:val="center"/>
        <w:rPr>
          <w:rFonts w:ascii="Times New Roman" w:hAnsi="Times New Roman"/>
          <w:b/>
          <w:sz w:val="28"/>
          <w:szCs w:val="28"/>
          <w:lang w:val="en-US" w:eastAsia="en-US"/>
        </w:rPr>
      </w:pPr>
      <w:r w:rsidRPr="00125ACB">
        <w:rPr>
          <w:rFonts w:ascii="Times New Roman" w:hAnsi="Times New Roman"/>
          <w:b/>
          <w:sz w:val="28"/>
          <w:szCs w:val="28"/>
          <w:lang w:val="en-GB" w:eastAsia="en-US"/>
        </w:rPr>
        <w:t>A Multidimensional and International Analysis</w:t>
      </w:r>
    </w:p>
    <w:p w:rsidR="004A3BE7" w:rsidRPr="00125ACB" w:rsidRDefault="004A3BE7" w:rsidP="004A3BE7">
      <w:pPr>
        <w:spacing w:after="240" w:line="360" w:lineRule="auto"/>
        <w:rPr>
          <w:rFonts w:ascii="Times New Roman" w:hAnsi="Times New Roman"/>
          <w:sz w:val="24"/>
          <w:szCs w:val="22"/>
          <w:lang w:val="en-US" w:eastAsia="en-US"/>
        </w:rPr>
      </w:pPr>
    </w:p>
    <w:p w:rsidR="004A3BE7" w:rsidRPr="004A3BE7" w:rsidRDefault="004A3BE7" w:rsidP="004A3BE7">
      <w:pPr>
        <w:spacing w:after="240" w:line="360" w:lineRule="auto"/>
        <w:rPr>
          <w:rFonts w:ascii="Times New Roman" w:hAnsi="Times New Roman"/>
          <w:sz w:val="24"/>
          <w:szCs w:val="22"/>
          <w:lang w:val="en-GB" w:eastAsia="en-US"/>
        </w:rPr>
      </w:pPr>
    </w:p>
    <w:p w:rsidR="004A3BE7" w:rsidRPr="004A3BE7" w:rsidRDefault="004A3BE7" w:rsidP="004A3BE7">
      <w:pPr>
        <w:spacing w:after="240" w:line="360" w:lineRule="auto"/>
        <w:jc w:val="center"/>
        <w:rPr>
          <w:rFonts w:ascii="Times New Roman" w:hAnsi="Times New Roman"/>
          <w:sz w:val="24"/>
          <w:szCs w:val="22"/>
          <w:lang w:val="en-GB" w:eastAsia="en-US"/>
        </w:rPr>
      </w:pPr>
      <w:r w:rsidRPr="004A3BE7">
        <w:rPr>
          <w:rFonts w:ascii="Times New Roman" w:hAnsi="Times New Roman"/>
          <w:sz w:val="24"/>
          <w:szCs w:val="22"/>
          <w:lang w:val="en-GB" w:eastAsia="en-US"/>
        </w:rPr>
        <w:t>Graduation the</w:t>
      </w:r>
      <w:r w:rsidR="00DE6342">
        <w:rPr>
          <w:rFonts w:ascii="Times New Roman" w:hAnsi="Times New Roman"/>
          <w:sz w:val="24"/>
          <w:szCs w:val="22"/>
          <w:lang w:val="en-GB" w:eastAsia="en-US"/>
        </w:rPr>
        <w:t xml:space="preserve">sis towards the degree </w:t>
      </w:r>
      <w:r w:rsidR="00147A40">
        <w:rPr>
          <w:rFonts w:ascii="Times New Roman" w:hAnsi="Times New Roman"/>
          <w:sz w:val="24"/>
          <w:szCs w:val="22"/>
          <w:lang w:val="en-GB" w:eastAsia="en-US"/>
        </w:rPr>
        <w:t>‘</w:t>
      </w:r>
      <w:r w:rsidR="00DE6342">
        <w:rPr>
          <w:rFonts w:ascii="Times New Roman" w:hAnsi="Times New Roman"/>
          <w:sz w:val="24"/>
          <w:szCs w:val="22"/>
          <w:lang w:val="en-GB" w:eastAsia="en-US"/>
        </w:rPr>
        <w:t>Bachelor</w:t>
      </w:r>
      <w:r w:rsidRPr="004A3BE7">
        <w:rPr>
          <w:rFonts w:ascii="Times New Roman" w:hAnsi="Times New Roman"/>
          <w:sz w:val="24"/>
          <w:szCs w:val="22"/>
          <w:lang w:val="en-GB" w:eastAsia="en-US"/>
        </w:rPr>
        <w:t xml:space="preserve"> of</w:t>
      </w:r>
      <w:r w:rsidR="00DE6342">
        <w:rPr>
          <w:rFonts w:ascii="Times New Roman" w:hAnsi="Times New Roman"/>
          <w:sz w:val="24"/>
          <w:szCs w:val="22"/>
          <w:lang w:val="en-GB" w:eastAsia="en-US"/>
        </w:rPr>
        <w:t xml:space="preserve"> Science</w:t>
      </w:r>
      <w:r w:rsidR="00147A40">
        <w:rPr>
          <w:rFonts w:ascii="Times New Roman" w:hAnsi="Times New Roman"/>
          <w:sz w:val="24"/>
          <w:szCs w:val="22"/>
          <w:lang w:val="en-GB" w:eastAsia="en-US"/>
        </w:rPr>
        <w:t>’</w:t>
      </w:r>
    </w:p>
    <w:p w:rsidR="004A3BE7" w:rsidRPr="004A3BE7" w:rsidRDefault="004A3BE7" w:rsidP="004A3BE7">
      <w:pPr>
        <w:spacing w:after="240" w:line="360" w:lineRule="auto"/>
        <w:jc w:val="center"/>
        <w:rPr>
          <w:rFonts w:ascii="Times New Roman" w:hAnsi="Times New Roman"/>
          <w:sz w:val="24"/>
          <w:szCs w:val="22"/>
          <w:lang w:val="en-GB" w:eastAsia="en-US"/>
        </w:rPr>
      </w:pPr>
    </w:p>
    <w:p w:rsidR="004A3BE7" w:rsidRPr="004A3BE7" w:rsidRDefault="004A3BE7" w:rsidP="004A3BE7">
      <w:pPr>
        <w:spacing w:after="240" w:line="360" w:lineRule="auto"/>
        <w:jc w:val="center"/>
        <w:rPr>
          <w:rFonts w:ascii="Times New Roman" w:hAnsi="Times New Roman"/>
          <w:sz w:val="24"/>
          <w:szCs w:val="22"/>
          <w:lang w:val="en-GB" w:eastAsia="en-US"/>
        </w:rPr>
      </w:pPr>
      <w:r w:rsidRPr="004A3BE7">
        <w:rPr>
          <w:rFonts w:ascii="Times New Roman" w:hAnsi="Times New Roman"/>
          <w:sz w:val="24"/>
          <w:szCs w:val="22"/>
          <w:lang w:val="en-GB" w:eastAsia="en-US"/>
        </w:rPr>
        <w:t>In the stu</w:t>
      </w:r>
      <w:r w:rsidR="00DE6342">
        <w:rPr>
          <w:rFonts w:ascii="Times New Roman" w:hAnsi="Times New Roman"/>
          <w:sz w:val="24"/>
          <w:szCs w:val="22"/>
          <w:lang w:val="en-GB" w:eastAsia="en-US"/>
        </w:rPr>
        <w:t xml:space="preserve">dy programme </w:t>
      </w:r>
      <w:r w:rsidR="002127E5">
        <w:rPr>
          <w:rFonts w:ascii="Times New Roman" w:hAnsi="Times New Roman"/>
          <w:sz w:val="24"/>
          <w:szCs w:val="22"/>
          <w:lang w:val="en-GB" w:eastAsia="en-US"/>
        </w:rPr>
        <w:t>“</w:t>
      </w:r>
      <w:r w:rsidR="00DE6342">
        <w:rPr>
          <w:rFonts w:ascii="Times New Roman" w:hAnsi="Times New Roman"/>
          <w:sz w:val="24"/>
          <w:szCs w:val="22"/>
          <w:lang w:val="en-GB" w:eastAsia="en-US"/>
        </w:rPr>
        <w:t>International Business</w:t>
      </w:r>
      <w:r w:rsidR="002127E5">
        <w:rPr>
          <w:rFonts w:ascii="Times New Roman" w:hAnsi="Times New Roman"/>
          <w:sz w:val="24"/>
          <w:szCs w:val="22"/>
          <w:lang w:val="en-GB" w:eastAsia="en-US"/>
        </w:rPr>
        <w:t>”</w:t>
      </w:r>
      <w:r w:rsidRPr="004A3BE7">
        <w:rPr>
          <w:rFonts w:ascii="Times New Roman" w:hAnsi="Times New Roman"/>
          <w:sz w:val="24"/>
          <w:szCs w:val="22"/>
          <w:lang w:val="en-GB" w:eastAsia="en-US"/>
        </w:rPr>
        <w:t xml:space="preserve"> at Reutlingen University</w:t>
      </w:r>
    </w:p>
    <w:p w:rsidR="004A3BE7" w:rsidRPr="004A3BE7" w:rsidRDefault="004A3BE7" w:rsidP="004A3BE7">
      <w:pPr>
        <w:spacing w:after="240" w:line="360" w:lineRule="auto"/>
        <w:jc w:val="center"/>
        <w:rPr>
          <w:rFonts w:ascii="Times New Roman" w:hAnsi="Times New Roman"/>
          <w:sz w:val="24"/>
          <w:szCs w:val="22"/>
          <w:lang w:val="en-GB" w:eastAsia="en-US"/>
        </w:rPr>
      </w:pPr>
    </w:p>
    <w:p w:rsidR="004A3BE7" w:rsidRPr="004A3BE7" w:rsidRDefault="004A3BE7" w:rsidP="004A3BE7">
      <w:pPr>
        <w:spacing w:after="240" w:line="360" w:lineRule="auto"/>
        <w:rPr>
          <w:rFonts w:ascii="Times New Roman" w:hAnsi="Times New Roman"/>
          <w:sz w:val="24"/>
          <w:szCs w:val="22"/>
          <w:lang w:val="en-GB" w:eastAsia="en-US"/>
        </w:rPr>
      </w:pPr>
    </w:p>
    <w:p w:rsidR="004A3BE7" w:rsidRPr="004A3BE7" w:rsidRDefault="004A3BE7" w:rsidP="004A3BE7">
      <w:pPr>
        <w:spacing w:after="240" w:line="360" w:lineRule="auto"/>
        <w:rPr>
          <w:rFonts w:ascii="Times New Roman" w:hAnsi="Times New Roman"/>
          <w:sz w:val="24"/>
          <w:szCs w:val="22"/>
          <w:lang w:val="en-GB" w:eastAsia="en-US"/>
        </w:rPr>
      </w:pPr>
    </w:p>
    <w:p w:rsidR="004A3BE7" w:rsidRPr="004A3BE7" w:rsidRDefault="004A3BE7" w:rsidP="004A3BE7">
      <w:pPr>
        <w:spacing w:after="240" w:line="360" w:lineRule="auto"/>
        <w:rPr>
          <w:rFonts w:ascii="Times New Roman" w:hAnsi="Times New Roman"/>
          <w:sz w:val="24"/>
          <w:szCs w:val="22"/>
          <w:lang w:val="en-GB" w:eastAsia="en-US"/>
        </w:rPr>
      </w:pPr>
      <w:r w:rsidRPr="004A3BE7">
        <w:rPr>
          <w:rFonts w:ascii="Times New Roman" w:hAnsi="Times New Roman"/>
          <w:sz w:val="24"/>
          <w:szCs w:val="22"/>
          <w:lang w:val="en-GB" w:eastAsia="en-US"/>
        </w:rPr>
        <w:t>Presented by:</w:t>
      </w:r>
    </w:p>
    <w:p w:rsidR="004A3BE7" w:rsidRPr="004A3BE7" w:rsidRDefault="00125ACB" w:rsidP="004A3BE7">
      <w:pPr>
        <w:spacing w:after="240" w:line="360" w:lineRule="auto"/>
        <w:rPr>
          <w:rFonts w:ascii="Times New Roman" w:hAnsi="Times New Roman"/>
          <w:sz w:val="24"/>
          <w:szCs w:val="22"/>
          <w:lang w:val="en-GB" w:eastAsia="en-US"/>
        </w:rPr>
      </w:pPr>
      <w:r>
        <w:rPr>
          <w:rFonts w:ascii="Times New Roman" w:hAnsi="Times New Roman"/>
          <w:sz w:val="24"/>
          <w:szCs w:val="22"/>
          <w:lang w:val="en-GB" w:eastAsia="en-US"/>
        </w:rPr>
        <w:t>Maria Kholopova</w:t>
      </w:r>
    </w:p>
    <w:p w:rsidR="004A3BE7" w:rsidRPr="004A3BE7" w:rsidRDefault="00DE6342" w:rsidP="004A3BE7">
      <w:pPr>
        <w:spacing w:after="240" w:line="360" w:lineRule="auto"/>
        <w:rPr>
          <w:rFonts w:ascii="Times New Roman" w:hAnsi="Times New Roman"/>
          <w:sz w:val="24"/>
          <w:szCs w:val="22"/>
          <w:lang w:val="en-GB" w:eastAsia="en-US"/>
        </w:rPr>
      </w:pPr>
      <w:r>
        <w:rPr>
          <w:rFonts w:ascii="Times New Roman" w:hAnsi="Times New Roman"/>
          <w:sz w:val="24"/>
          <w:szCs w:val="22"/>
          <w:lang w:val="en-GB" w:eastAsia="en-US"/>
        </w:rPr>
        <w:t>751</w:t>
      </w:r>
      <w:r w:rsidR="00125ACB">
        <w:rPr>
          <w:rFonts w:ascii="Times New Roman" w:hAnsi="Times New Roman"/>
          <w:sz w:val="24"/>
          <w:szCs w:val="22"/>
          <w:lang w:val="en-GB" w:eastAsia="en-US"/>
        </w:rPr>
        <w:t>572</w:t>
      </w:r>
    </w:p>
    <w:p w:rsidR="004A3BE7" w:rsidRPr="004A3BE7" w:rsidRDefault="004A3BE7" w:rsidP="004A3BE7">
      <w:pPr>
        <w:spacing w:after="240" w:line="360" w:lineRule="auto"/>
        <w:rPr>
          <w:rFonts w:ascii="Times New Roman" w:hAnsi="Times New Roman"/>
          <w:sz w:val="24"/>
          <w:szCs w:val="22"/>
          <w:lang w:val="en-GB" w:eastAsia="en-US"/>
        </w:rPr>
      </w:pPr>
    </w:p>
    <w:p w:rsidR="004A3BE7" w:rsidRPr="004A3BE7" w:rsidRDefault="004A3BE7" w:rsidP="004A3BE7">
      <w:pPr>
        <w:spacing w:after="240" w:line="360" w:lineRule="auto"/>
        <w:rPr>
          <w:rFonts w:ascii="Times New Roman" w:hAnsi="Times New Roman"/>
          <w:sz w:val="24"/>
          <w:szCs w:val="22"/>
          <w:lang w:val="en-GB" w:eastAsia="en-US"/>
        </w:rPr>
      </w:pPr>
      <w:r w:rsidRPr="004A3BE7">
        <w:rPr>
          <w:rFonts w:ascii="Times New Roman" w:hAnsi="Times New Roman"/>
          <w:sz w:val="24"/>
          <w:szCs w:val="22"/>
          <w:lang w:val="en-GB" w:eastAsia="en-US"/>
        </w:rPr>
        <w:t>Presented to:</w:t>
      </w:r>
    </w:p>
    <w:p w:rsidR="004A3BE7" w:rsidRPr="004A3BE7" w:rsidRDefault="00DE6342" w:rsidP="004A3BE7">
      <w:pPr>
        <w:spacing w:after="240" w:line="360" w:lineRule="auto"/>
        <w:rPr>
          <w:rFonts w:ascii="Times New Roman" w:hAnsi="Times New Roman"/>
          <w:sz w:val="24"/>
          <w:szCs w:val="22"/>
          <w:lang w:eastAsia="en-US"/>
        </w:rPr>
      </w:pPr>
      <w:r w:rsidRPr="00DE6342">
        <w:rPr>
          <w:rFonts w:ascii="Times New Roman" w:hAnsi="Times New Roman"/>
          <w:sz w:val="24"/>
          <w:szCs w:val="22"/>
          <w:lang w:eastAsia="en-US"/>
        </w:rPr>
        <w:t xml:space="preserve">Prof. Dr. </w:t>
      </w:r>
      <w:r w:rsidR="00125ACB">
        <w:rPr>
          <w:rFonts w:ascii="Times New Roman" w:hAnsi="Times New Roman"/>
          <w:sz w:val="24"/>
          <w:szCs w:val="22"/>
          <w:lang w:eastAsia="en-US"/>
        </w:rPr>
        <w:t>Bodo Herzog</w:t>
      </w:r>
    </w:p>
    <w:p w:rsidR="004A3BE7" w:rsidRPr="004A3BE7" w:rsidRDefault="004A3BE7" w:rsidP="004A3BE7">
      <w:pPr>
        <w:spacing w:after="240" w:line="360" w:lineRule="auto"/>
        <w:rPr>
          <w:rFonts w:ascii="Times New Roman" w:hAnsi="Times New Roman"/>
          <w:sz w:val="24"/>
          <w:szCs w:val="22"/>
          <w:lang w:eastAsia="en-US"/>
        </w:rPr>
      </w:pPr>
    </w:p>
    <w:p w:rsidR="004A3BE7" w:rsidRPr="004A3BE7" w:rsidRDefault="004A3BE7" w:rsidP="004A3BE7">
      <w:pPr>
        <w:spacing w:after="240" w:line="360" w:lineRule="auto"/>
        <w:rPr>
          <w:rFonts w:ascii="Times New Roman" w:hAnsi="Times New Roman"/>
          <w:sz w:val="24"/>
          <w:szCs w:val="22"/>
          <w:lang w:eastAsia="en-US"/>
        </w:rPr>
      </w:pPr>
    </w:p>
    <w:p w:rsidR="004A3BE7" w:rsidRDefault="00DE6342" w:rsidP="004A3BE7">
      <w:pPr>
        <w:spacing w:after="240" w:line="360" w:lineRule="auto"/>
        <w:rPr>
          <w:rFonts w:ascii="Times New Roman" w:hAnsi="Times New Roman"/>
          <w:sz w:val="24"/>
          <w:szCs w:val="22"/>
          <w:lang w:eastAsia="en-US"/>
        </w:rPr>
      </w:pPr>
      <w:r w:rsidRPr="00C60ACF">
        <w:rPr>
          <w:rFonts w:ascii="Times New Roman" w:hAnsi="Times New Roman"/>
          <w:sz w:val="24"/>
          <w:szCs w:val="22"/>
          <w:lang w:eastAsia="en-US"/>
        </w:rPr>
        <w:t>Reutlingen, 1</w:t>
      </w:r>
      <w:r w:rsidR="00D97C87">
        <w:rPr>
          <w:rFonts w:ascii="Times New Roman" w:hAnsi="Times New Roman"/>
          <w:sz w:val="24"/>
          <w:szCs w:val="22"/>
          <w:lang w:eastAsia="en-US"/>
        </w:rPr>
        <w:t>5</w:t>
      </w:r>
      <w:r w:rsidRPr="00C60ACF">
        <w:rPr>
          <w:rFonts w:ascii="Times New Roman" w:hAnsi="Times New Roman"/>
          <w:sz w:val="24"/>
          <w:szCs w:val="22"/>
          <w:lang w:eastAsia="en-US"/>
        </w:rPr>
        <w:t>.0</w:t>
      </w:r>
      <w:r w:rsidR="00125ACB">
        <w:rPr>
          <w:rFonts w:ascii="Times New Roman" w:hAnsi="Times New Roman"/>
          <w:sz w:val="24"/>
          <w:szCs w:val="22"/>
          <w:lang w:eastAsia="en-US"/>
        </w:rPr>
        <w:t>1</w:t>
      </w:r>
      <w:r w:rsidRPr="00C60ACF">
        <w:rPr>
          <w:rFonts w:ascii="Times New Roman" w:hAnsi="Times New Roman"/>
          <w:sz w:val="24"/>
          <w:szCs w:val="22"/>
          <w:lang w:eastAsia="en-US"/>
        </w:rPr>
        <w:t>.201</w:t>
      </w:r>
      <w:r w:rsidR="00125ACB">
        <w:rPr>
          <w:rFonts w:ascii="Times New Roman" w:hAnsi="Times New Roman"/>
          <w:sz w:val="24"/>
          <w:szCs w:val="22"/>
          <w:lang w:eastAsia="en-US"/>
        </w:rPr>
        <w:t>9</w:t>
      </w:r>
    </w:p>
    <w:p w:rsidR="009D2B5D" w:rsidRPr="002127E5" w:rsidRDefault="00C60ACF" w:rsidP="00F84058">
      <w:pPr>
        <w:pStyle w:val="af8"/>
        <w:rPr>
          <w:rFonts w:ascii="Times New Roman" w:hAnsi="Times New Roman"/>
          <w:b/>
          <w:color w:val="auto"/>
          <w:sz w:val="24"/>
          <w:szCs w:val="22"/>
          <w:lang w:eastAsia="en-US"/>
        </w:rPr>
      </w:pPr>
      <w:r w:rsidRPr="002127E5">
        <w:rPr>
          <w:rFonts w:ascii="Times New Roman" w:hAnsi="Times New Roman"/>
          <w:b/>
          <w:color w:val="auto"/>
          <w:sz w:val="24"/>
          <w:szCs w:val="22"/>
          <w:lang w:eastAsia="en-US"/>
        </w:rPr>
        <w:lastRenderedPageBreak/>
        <w:t xml:space="preserve">Table </w:t>
      </w:r>
      <w:proofErr w:type="spellStart"/>
      <w:r w:rsidRPr="002127E5">
        <w:rPr>
          <w:rFonts w:ascii="Times New Roman" w:hAnsi="Times New Roman"/>
          <w:b/>
          <w:color w:val="auto"/>
          <w:sz w:val="24"/>
          <w:szCs w:val="22"/>
          <w:lang w:eastAsia="en-US"/>
        </w:rPr>
        <w:t>of</w:t>
      </w:r>
      <w:proofErr w:type="spellEnd"/>
      <w:r w:rsidRPr="002127E5">
        <w:rPr>
          <w:rFonts w:ascii="Times New Roman" w:hAnsi="Times New Roman"/>
          <w:b/>
          <w:color w:val="auto"/>
          <w:sz w:val="24"/>
          <w:szCs w:val="22"/>
          <w:lang w:eastAsia="en-US"/>
        </w:rPr>
        <w:t xml:space="preserve"> Contents</w:t>
      </w:r>
    </w:p>
    <w:sdt>
      <w:sdtPr>
        <w:rPr>
          <w:rFonts w:ascii="Times New Roman" w:hAnsi="Times New Roman"/>
          <w:b/>
          <w:sz w:val="24"/>
        </w:rPr>
        <w:id w:val="1659953899"/>
        <w:docPartObj>
          <w:docPartGallery w:val="Table of Contents"/>
          <w:docPartUnique/>
        </w:docPartObj>
      </w:sdtPr>
      <w:sdtEndPr>
        <w:rPr>
          <w:szCs w:val="24"/>
        </w:rPr>
      </w:sdtEndPr>
      <w:sdtContent>
        <w:p w:rsidR="00883811" w:rsidRPr="009E243E" w:rsidRDefault="00883811" w:rsidP="009D2B5D">
          <w:pPr>
            <w:spacing w:after="240" w:line="360" w:lineRule="auto"/>
            <w:rPr>
              <w:rFonts w:ascii="Times New Roman" w:hAnsi="Times New Roman"/>
              <w:sz w:val="24"/>
              <w:szCs w:val="24"/>
            </w:rPr>
          </w:pPr>
        </w:p>
        <w:p w:rsidR="00446B43" w:rsidRPr="00446B43" w:rsidRDefault="00883811">
          <w:pPr>
            <w:pStyle w:val="10"/>
            <w:rPr>
              <w:rFonts w:eastAsiaTheme="minorEastAsia"/>
              <w:b w:val="0"/>
              <w:lang w:val="de-DE" w:eastAsia="ja-JP"/>
            </w:rPr>
          </w:pPr>
          <w:r w:rsidRPr="00446B43">
            <w:fldChar w:fldCharType="begin"/>
          </w:r>
          <w:r w:rsidRPr="00446B43">
            <w:instrText xml:space="preserve"> TOC \o "1-3" \h \z \u </w:instrText>
          </w:r>
          <w:r w:rsidRPr="00446B43">
            <w:fldChar w:fldCharType="separate"/>
          </w:r>
          <w:hyperlink w:anchor="_Toc535248643" w:history="1">
            <w:r w:rsidR="00446B43" w:rsidRPr="00446B43">
              <w:rPr>
                <w:rStyle w:val="a7"/>
                <w:rFonts w:ascii="Times New Roman" w:hAnsi="Times New Roman"/>
              </w:rPr>
              <w:t>List of abbreviations</w:t>
            </w:r>
            <w:r w:rsidR="00446B43" w:rsidRPr="00446B43">
              <w:rPr>
                <w:webHidden/>
              </w:rPr>
              <w:tab/>
            </w:r>
            <w:r w:rsidR="00446B43" w:rsidRPr="00446B43">
              <w:rPr>
                <w:webHidden/>
              </w:rPr>
              <w:fldChar w:fldCharType="begin"/>
            </w:r>
            <w:r w:rsidR="00446B43" w:rsidRPr="00446B43">
              <w:rPr>
                <w:webHidden/>
              </w:rPr>
              <w:instrText xml:space="preserve"> PAGEREF _Toc535248643 \h </w:instrText>
            </w:r>
            <w:r w:rsidR="00446B43" w:rsidRPr="00446B43">
              <w:rPr>
                <w:webHidden/>
              </w:rPr>
            </w:r>
            <w:r w:rsidR="00446B43" w:rsidRPr="00446B43">
              <w:rPr>
                <w:webHidden/>
              </w:rPr>
              <w:fldChar w:fldCharType="separate"/>
            </w:r>
            <w:r w:rsidR="00446B43" w:rsidRPr="00446B43">
              <w:rPr>
                <w:webHidden/>
              </w:rPr>
              <w:t>iii</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44" w:history="1">
            <w:r w:rsidR="00446B43" w:rsidRPr="00446B43">
              <w:rPr>
                <w:rStyle w:val="a7"/>
                <w:rFonts w:ascii="Times New Roman" w:hAnsi="Times New Roman"/>
              </w:rPr>
              <w:t>List of figures</w:t>
            </w:r>
            <w:r w:rsidR="00446B43" w:rsidRPr="00446B43">
              <w:rPr>
                <w:webHidden/>
              </w:rPr>
              <w:tab/>
            </w:r>
            <w:r w:rsidR="00446B43" w:rsidRPr="00446B43">
              <w:rPr>
                <w:webHidden/>
              </w:rPr>
              <w:fldChar w:fldCharType="begin"/>
            </w:r>
            <w:r w:rsidR="00446B43" w:rsidRPr="00446B43">
              <w:rPr>
                <w:webHidden/>
              </w:rPr>
              <w:instrText xml:space="preserve"> PAGEREF _Toc535248644 \h </w:instrText>
            </w:r>
            <w:r w:rsidR="00446B43" w:rsidRPr="00446B43">
              <w:rPr>
                <w:webHidden/>
              </w:rPr>
            </w:r>
            <w:r w:rsidR="00446B43" w:rsidRPr="00446B43">
              <w:rPr>
                <w:webHidden/>
              </w:rPr>
              <w:fldChar w:fldCharType="separate"/>
            </w:r>
            <w:r w:rsidR="00446B43" w:rsidRPr="00446B43">
              <w:rPr>
                <w:webHidden/>
              </w:rPr>
              <w:t>iv</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45" w:history="1">
            <w:r w:rsidR="00446B43" w:rsidRPr="00446B43">
              <w:rPr>
                <w:rStyle w:val="a7"/>
                <w:rFonts w:ascii="Times New Roman" w:hAnsi="Times New Roman"/>
              </w:rPr>
              <w:t>List of graphs</w:t>
            </w:r>
            <w:r w:rsidR="00446B43" w:rsidRPr="00446B43">
              <w:rPr>
                <w:webHidden/>
              </w:rPr>
              <w:tab/>
            </w:r>
            <w:r w:rsidR="00446B43" w:rsidRPr="00446B43">
              <w:rPr>
                <w:webHidden/>
              </w:rPr>
              <w:fldChar w:fldCharType="begin"/>
            </w:r>
            <w:r w:rsidR="00446B43" w:rsidRPr="00446B43">
              <w:rPr>
                <w:webHidden/>
              </w:rPr>
              <w:instrText xml:space="preserve"> PAGEREF _Toc535248645 \h </w:instrText>
            </w:r>
            <w:r w:rsidR="00446B43" w:rsidRPr="00446B43">
              <w:rPr>
                <w:webHidden/>
              </w:rPr>
            </w:r>
            <w:r w:rsidR="00446B43" w:rsidRPr="00446B43">
              <w:rPr>
                <w:webHidden/>
              </w:rPr>
              <w:fldChar w:fldCharType="separate"/>
            </w:r>
            <w:r w:rsidR="00446B43" w:rsidRPr="00446B43">
              <w:rPr>
                <w:webHidden/>
              </w:rPr>
              <w:t>v</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46" w:history="1">
            <w:r w:rsidR="00446B43" w:rsidRPr="00446B43">
              <w:rPr>
                <w:rStyle w:val="a7"/>
                <w:rFonts w:ascii="Times New Roman" w:hAnsi="Times New Roman"/>
              </w:rPr>
              <w:t>List of tables</w:t>
            </w:r>
            <w:r w:rsidR="00446B43" w:rsidRPr="00446B43">
              <w:rPr>
                <w:webHidden/>
              </w:rPr>
              <w:tab/>
            </w:r>
            <w:r w:rsidR="00446B43" w:rsidRPr="00446B43">
              <w:rPr>
                <w:webHidden/>
              </w:rPr>
              <w:fldChar w:fldCharType="begin"/>
            </w:r>
            <w:r w:rsidR="00446B43" w:rsidRPr="00446B43">
              <w:rPr>
                <w:webHidden/>
              </w:rPr>
              <w:instrText xml:space="preserve"> PAGEREF _Toc535248646 \h </w:instrText>
            </w:r>
            <w:r w:rsidR="00446B43" w:rsidRPr="00446B43">
              <w:rPr>
                <w:webHidden/>
              </w:rPr>
            </w:r>
            <w:r w:rsidR="00446B43" w:rsidRPr="00446B43">
              <w:rPr>
                <w:webHidden/>
              </w:rPr>
              <w:fldChar w:fldCharType="separate"/>
            </w:r>
            <w:r w:rsidR="00446B43" w:rsidRPr="00446B43">
              <w:rPr>
                <w:webHidden/>
              </w:rPr>
              <w:t>vi</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47" w:history="1">
            <w:r w:rsidR="00446B43" w:rsidRPr="00446B43">
              <w:rPr>
                <w:rStyle w:val="a7"/>
                <w:rFonts w:ascii="Times New Roman" w:hAnsi="Times New Roman"/>
              </w:rPr>
              <w:t>1</w:t>
            </w:r>
            <w:r w:rsidR="00446B43" w:rsidRPr="00446B43">
              <w:rPr>
                <w:rFonts w:eastAsiaTheme="minorEastAsia"/>
                <w:b w:val="0"/>
                <w:lang w:val="de-DE" w:eastAsia="ja-JP"/>
              </w:rPr>
              <w:tab/>
            </w:r>
            <w:r w:rsidR="00446B43" w:rsidRPr="00446B43">
              <w:rPr>
                <w:rStyle w:val="a7"/>
                <w:rFonts w:ascii="Times New Roman" w:hAnsi="Times New Roman"/>
              </w:rPr>
              <w:t>Introduction</w:t>
            </w:r>
            <w:r w:rsidR="00446B43" w:rsidRPr="00446B43">
              <w:rPr>
                <w:webHidden/>
              </w:rPr>
              <w:tab/>
            </w:r>
            <w:r w:rsidR="00446B43" w:rsidRPr="00446B43">
              <w:rPr>
                <w:webHidden/>
              </w:rPr>
              <w:fldChar w:fldCharType="begin"/>
            </w:r>
            <w:r w:rsidR="00446B43" w:rsidRPr="00446B43">
              <w:rPr>
                <w:webHidden/>
              </w:rPr>
              <w:instrText xml:space="preserve"> PAGEREF _Toc535248647 \h </w:instrText>
            </w:r>
            <w:r w:rsidR="00446B43" w:rsidRPr="00446B43">
              <w:rPr>
                <w:webHidden/>
              </w:rPr>
            </w:r>
            <w:r w:rsidR="00446B43" w:rsidRPr="00446B43">
              <w:rPr>
                <w:webHidden/>
              </w:rPr>
              <w:fldChar w:fldCharType="separate"/>
            </w:r>
            <w:r w:rsidR="00446B43" w:rsidRPr="00446B43">
              <w:rPr>
                <w:webHidden/>
              </w:rPr>
              <w:t>1</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48" w:history="1">
            <w:r w:rsidR="00446B43" w:rsidRPr="00446B43">
              <w:rPr>
                <w:rStyle w:val="a7"/>
                <w:rFonts w:ascii="Times New Roman" w:hAnsi="Times New Roman"/>
              </w:rPr>
              <w:t>2</w:t>
            </w:r>
            <w:r w:rsidR="00446B43" w:rsidRPr="00446B43">
              <w:rPr>
                <w:rFonts w:eastAsiaTheme="minorEastAsia"/>
                <w:b w:val="0"/>
                <w:lang w:val="de-DE" w:eastAsia="ja-JP"/>
              </w:rPr>
              <w:tab/>
            </w:r>
            <w:r w:rsidR="00446B43" w:rsidRPr="00446B43">
              <w:rPr>
                <w:rStyle w:val="a7"/>
                <w:rFonts w:ascii="Times New Roman" w:hAnsi="Times New Roman"/>
              </w:rPr>
              <w:t>Literature review</w:t>
            </w:r>
            <w:r w:rsidR="00446B43" w:rsidRPr="00446B43">
              <w:rPr>
                <w:webHidden/>
              </w:rPr>
              <w:tab/>
            </w:r>
            <w:r w:rsidR="00446B43" w:rsidRPr="00446B43">
              <w:rPr>
                <w:webHidden/>
              </w:rPr>
              <w:fldChar w:fldCharType="begin"/>
            </w:r>
            <w:r w:rsidR="00446B43" w:rsidRPr="00446B43">
              <w:rPr>
                <w:webHidden/>
              </w:rPr>
              <w:instrText xml:space="preserve"> PAGEREF _Toc535248648 \h </w:instrText>
            </w:r>
            <w:r w:rsidR="00446B43" w:rsidRPr="00446B43">
              <w:rPr>
                <w:webHidden/>
              </w:rPr>
            </w:r>
            <w:r w:rsidR="00446B43" w:rsidRPr="00446B43">
              <w:rPr>
                <w:webHidden/>
              </w:rPr>
              <w:fldChar w:fldCharType="separate"/>
            </w:r>
            <w:r w:rsidR="00446B43" w:rsidRPr="00446B43">
              <w:rPr>
                <w:webHidden/>
              </w:rPr>
              <w:t>1</w:t>
            </w:r>
            <w:r w:rsidR="00446B43" w:rsidRPr="00446B43">
              <w:rPr>
                <w:webHidden/>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49" w:history="1">
            <w:r w:rsidR="00446B43" w:rsidRPr="00446B43">
              <w:rPr>
                <w:rStyle w:val="a7"/>
                <w:rFonts w:ascii="Times New Roman" w:hAnsi="Times New Roman"/>
                <w:noProof/>
                <w:sz w:val="24"/>
                <w:szCs w:val="24"/>
                <w:lang w:val="en-GB"/>
              </w:rPr>
              <w:t>2.1</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GB"/>
              </w:rPr>
              <w:t>Consumer perceived disadvantages of electric vehicles</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_Toc535248649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1</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0" w:history="1">
            <w:r w:rsidR="00446B43" w:rsidRPr="00446B43">
              <w:rPr>
                <w:rStyle w:val="a7"/>
                <w:rFonts w:ascii="Times New Roman" w:hAnsi="Times New Roman"/>
                <w:noProof/>
                <w:sz w:val="24"/>
                <w:szCs w:val="24"/>
                <w:lang w:val="en-US"/>
              </w:rPr>
              <w:t>2.2</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Consumer perceived advantages of electric vehicles</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_Toc535248650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2</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1" w:history="1">
            <w:r w:rsidR="00446B43" w:rsidRPr="00446B43">
              <w:rPr>
                <w:rStyle w:val="a7"/>
                <w:rFonts w:ascii="Times New Roman" w:hAnsi="Times New Roman"/>
                <w:noProof/>
                <w:sz w:val="24"/>
                <w:szCs w:val="24"/>
                <w:lang w:val="en-US"/>
              </w:rPr>
              <w:t>2.3</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Empirical research of the EV adoption</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_Toc535248651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3</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2" w:history="1">
            <w:r w:rsidR="00446B43" w:rsidRPr="00446B43">
              <w:rPr>
                <w:rStyle w:val="a7"/>
                <w:rFonts w:ascii="Times New Roman" w:hAnsi="Times New Roman"/>
                <w:noProof/>
                <w:sz w:val="24"/>
                <w:szCs w:val="24"/>
                <w:lang w:val="en-US"/>
              </w:rPr>
              <w:t>2.4</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The aim of the paper, research questions, hypotheses and novelty</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_Toc535248652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4</w:t>
            </w:r>
            <w:r w:rsidR="00446B43" w:rsidRPr="00446B43">
              <w:rPr>
                <w:rFonts w:ascii="Times New Roman" w:hAnsi="Times New Roman"/>
                <w:noProof/>
                <w:webHidden/>
                <w:sz w:val="24"/>
                <w:szCs w:val="24"/>
              </w:rPr>
              <w:fldChar w:fldCharType="end"/>
            </w:r>
          </w:hyperlink>
        </w:p>
        <w:p w:rsidR="00446B43" w:rsidRPr="00446B43" w:rsidRDefault="00506DE0">
          <w:pPr>
            <w:pStyle w:val="10"/>
            <w:rPr>
              <w:rFonts w:eastAsiaTheme="minorEastAsia"/>
              <w:b w:val="0"/>
              <w:lang w:val="de-DE" w:eastAsia="ja-JP"/>
            </w:rPr>
          </w:pPr>
          <w:hyperlink w:anchor="_Toc535248653" w:history="1">
            <w:r w:rsidR="00446B43" w:rsidRPr="00446B43">
              <w:rPr>
                <w:rStyle w:val="a7"/>
                <w:rFonts w:ascii="Times New Roman" w:hAnsi="Times New Roman"/>
              </w:rPr>
              <w:t>3</w:t>
            </w:r>
            <w:r w:rsidR="00446B43" w:rsidRPr="00446B43">
              <w:rPr>
                <w:rFonts w:eastAsiaTheme="minorEastAsia"/>
                <w:b w:val="0"/>
                <w:lang w:val="de-DE" w:eastAsia="ja-JP"/>
              </w:rPr>
              <w:tab/>
            </w:r>
            <w:r w:rsidR="00446B43" w:rsidRPr="00446B43">
              <w:rPr>
                <w:rStyle w:val="a7"/>
                <w:rFonts w:ascii="Times New Roman" w:hAnsi="Times New Roman"/>
              </w:rPr>
              <w:t>Methodology</w:t>
            </w:r>
            <w:r w:rsidR="00446B43" w:rsidRPr="00446B43">
              <w:rPr>
                <w:webHidden/>
              </w:rPr>
              <w:tab/>
            </w:r>
            <w:r w:rsidR="00446B43" w:rsidRPr="00446B43">
              <w:rPr>
                <w:webHidden/>
              </w:rPr>
              <w:fldChar w:fldCharType="begin"/>
            </w:r>
            <w:r w:rsidR="00446B43" w:rsidRPr="00446B43">
              <w:rPr>
                <w:webHidden/>
              </w:rPr>
              <w:instrText xml:space="preserve"> PAGEREF _Toc535248653 \h </w:instrText>
            </w:r>
            <w:r w:rsidR="00446B43" w:rsidRPr="00446B43">
              <w:rPr>
                <w:webHidden/>
              </w:rPr>
            </w:r>
            <w:r w:rsidR="00446B43" w:rsidRPr="00446B43">
              <w:rPr>
                <w:webHidden/>
              </w:rPr>
              <w:fldChar w:fldCharType="separate"/>
            </w:r>
            <w:r w:rsidR="00446B43" w:rsidRPr="00446B43">
              <w:rPr>
                <w:webHidden/>
              </w:rPr>
              <w:t>6</w:t>
            </w:r>
            <w:r w:rsidR="00446B43" w:rsidRPr="00446B43">
              <w:rPr>
                <w:webHidden/>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4" w:history="1">
            <w:r w:rsidR="00446B43" w:rsidRPr="00446B43">
              <w:rPr>
                <w:rStyle w:val="a7"/>
                <w:rFonts w:ascii="Times New Roman" w:hAnsi="Times New Roman"/>
                <w:noProof/>
                <w:sz w:val="24"/>
                <w:szCs w:val="24"/>
                <w:lang w:val="en-US"/>
              </w:rPr>
              <w:t>3.1</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Data collection</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_Toc535248654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6</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5" w:history="1">
            <w:r w:rsidR="00446B43" w:rsidRPr="00446B43">
              <w:rPr>
                <w:rStyle w:val="a7"/>
                <w:rFonts w:ascii="Times New Roman" w:hAnsi="Times New Roman"/>
                <w:noProof/>
                <w:sz w:val="24"/>
                <w:szCs w:val="24"/>
                <w:lang w:val="en-US"/>
              </w:rPr>
              <w:t>3.2</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Variables</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_Toc535248655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6</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6" w:history="1">
            <w:r w:rsidR="00446B43" w:rsidRPr="00446B43">
              <w:rPr>
                <w:rStyle w:val="a7"/>
                <w:rFonts w:ascii="Times New Roman" w:hAnsi="Times New Roman"/>
                <w:noProof/>
                <w:sz w:val="24"/>
                <w:szCs w:val="24"/>
                <w:lang w:val="en-US"/>
              </w:rPr>
              <w:t>3.3</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Public policies: overview</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_Toc535248656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7</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7" w:history="1">
            <w:r w:rsidR="00446B43" w:rsidRPr="00446B43">
              <w:rPr>
                <w:rStyle w:val="a7"/>
                <w:rFonts w:ascii="Times New Roman" w:hAnsi="Times New Roman"/>
                <w:noProof/>
                <w:sz w:val="24"/>
                <w:szCs w:val="24"/>
                <w:lang w:val="en-US"/>
              </w:rPr>
              <w:t>3.4</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Method</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_Toc535248657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8</w:t>
            </w:r>
            <w:r w:rsidR="00446B43" w:rsidRPr="00446B43">
              <w:rPr>
                <w:rFonts w:ascii="Times New Roman" w:hAnsi="Times New Roman"/>
                <w:noProof/>
                <w:webHidden/>
                <w:sz w:val="24"/>
                <w:szCs w:val="24"/>
              </w:rPr>
              <w:fldChar w:fldCharType="end"/>
            </w:r>
          </w:hyperlink>
        </w:p>
        <w:p w:rsidR="00446B43" w:rsidRPr="00446B43" w:rsidRDefault="00506DE0">
          <w:pPr>
            <w:pStyle w:val="10"/>
            <w:rPr>
              <w:rFonts w:eastAsiaTheme="minorEastAsia"/>
              <w:b w:val="0"/>
              <w:lang w:val="de-DE" w:eastAsia="ja-JP"/>
            </w:rPr>
          </w:pPr>
          <w:hyperlink w:anchor="_Toc535248658" w:history="1">
            <w:r w:rsidR="00446B43" w:rsidRPr="00446B43">
              <w:rPr>
                <w:rStyle w:val="a7"/>
                <w:rFonts w:ascii="Times New Roman" w:hAnsi="Times New Roman"/>
              </w:rPr>
              <w:t>4</w:t>
            </w:r>
            <w:r w:rsidR="00446B43" w:rsidRPr="00446B43">
              <w:rPr>
                <w:rFonts w:eastAsiaTheme="minorEastAsia"/>
                <w:b w:val="0"/>
                <w:lang w:val="de-DE" w:eastAsia="ja-JP"/>
              </w:rPr>
              <w:tab/>
            </w:r>
            <w:r w:rsidR="00446B43" w:rsidRPr="00446B43">
              <w:rPr>
                <w:rStyle w:val="a7"/>
                <w:rFonts w:ascii="Times New Roman" w:hAnsi="Times New Roman"/>
              </w:rPr>
              <w:t>Results and discussion</w:t>
            </w:r>
            <w:r w:rsidR="00446B43" w:rsidRPr="00446B43">
              <w:rPr>
                <w:webHidden/>
              </w:rPr>
              <w:tab/>
            </w:r>
            <w:r w:rsidR="00446B43" w:rsidRPr="00446B43">
              <w:rPr>
                <w:webHidden/>
              </w:rPr>
              <w:fldChar w:fldCharType="begin"/>
            </w:r>
            <w:r w:rsidR="00446B43" w:rsidRPr="00446B43">
              <w:rPr>
                <w:webHidden/>
              </w:rPr>
              <w:instrText xml:space="preserve"> PAGEREF _Toc535248658 \h </w:instrText>
            </w:r>
            <w:r w:rsidR="00446B43" w:rsidRPr="00446B43">
              <w:rPr>
                <w:webHidden/>
              </w:rPr>
            </w:r>
            <w:r w:rsidR="00446B43" w:rsidRPr="00446B43">
              <w:rPr>
                <w:webHidden/>
              </w:rPr>
              <w:fldChar w:fldCharType="separate"/>
            </w:r>
            <w:r w:rsidR="00446B43" w:rsidRPr="00446B43">
              <w:rPr>
                <w:webHidden/>
              </w:rPr>
              <w:t>10</w:t>
            </w:r>
            <w:r w:rsidR="00446B43" w:rsidRPr="00446B43">
              <w:rPr>
                <w:webHidden/>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59" w:history="1">
            <w:r w:rsidR="00446B43" w:rsidRPr="00446B43">
              <w:rPr>
                <w:rStyle w:val="a7"/>
                <w:rFonts w:ascii="Times New Roman" w:hAnsi="Times New Roman"/>
                <w:noProof/>
                <w:sz w:val="24"/>
                <w:szCs w:val="24"/>
                <w:lang w:val="en-US"/>
              </w:rPr>
              <w:t>4.1</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Multiple pairwise comparisons</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_Toc535248659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10</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60" w:history="1">
            <w:r w:rsidR="00446B43" w:rsidRPr="00446B43">
              <w:rPr>
                <w:rStyle w:val="a7"/>
                <w:rFonts w:ascii="Times New Roman" w:hAnsi="Times New Roman"/>
                <w:noProof/>
                <w:sz w:val="24"/>
                <w:szCs w:val="24"/>
                <w:lang w:val="en-US"/>
              </w:rPr>
              <w:t>4.2</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Correlation analysis</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_Toc535248660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11</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61" w:history="1">
            <w:r w:rsidR="00446B43" w:rsidRPr="00446B43">
              <w:rPr>
                <w:rStyle w:val="a7"/>
                <w:rFonts w:ascii="Times New Roman" w:hAnsi="Times New Roman"/>
                <w:noProof/>
                <w:sz w:val="24"/>
                <w:szCs w:val="24"/>
                <w:lang w:val="en-US"/>
              </w:rPr>
              <w:t>4.3</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OLS model results and sensitivity tests</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_Toc535248661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11</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62" w:history="1">
            <w:r w:rsidR="00446B43" w:rsidRPr="00446B43">
              <w:rPr>
                <w:rStyle w:val="a7"/>
                <w:rFonts w:ascii="Times New Roman" w:hAnsi="Times New Roman"/>
                <w:noProof/>
                <w:sz w:val="24"/>
                <w:szCs w:val="24"/>
                <w:lang w:val="en-US"/>
              </w:rPr>
              <w:t>4.4</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Descriptive analysis of the significant variables</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_Toc535248662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15</w:t>
            </w:r>
            <w:r w:rsidR="00446B43" w:rsidRPr="00446B43">
              <w:rPr>
                <w:rFonts w:ascii="Times New Roman" w:hAnsi="Times New Roman"/>
                <w:noProof/>
                <w:webHidden/>
                <w:sz w:val="24"/>
                <w:szCs w:val="24"/>
              </w:rPr>
              <w:fldChar w:fldCharType="end"/>
            </w:r>
          </w:hyperlink>
        </w:p>
        <w:p w:rsidR="00446B43" w:rsidRPr="00446B43" w:rsidRDefault="00506DE0">
          <w:pPr>
            <w:pStyle w:val="10"/>
            <w:rPr>
              <w:rFonts w:eastAsiaTheme="minorEastAsia"/>
              <w:b w:val="0"/>
              <w:lang w:val="de-DE" w:eastAsia="ja-JP"/>
            </w:rPr>
          </w:pPr>
          <w:hyperlink w:anchor="_Toc535248663" w:history="1">
            <w:r w:rsidR="00446B43" w:rsidRPr="00446B43">
              <w:rPr>
                <w:rStyle w:val="a7"/>
                <w:rFonts w:ascii="Times New Roman" w:hAnsi="Times New Roman"/>
              </w:rPr>
              <w:t>5</w:t>
            </w:r>
            <w:r w:rsidR="00446B43" w:rsidRPr="00446B43">
              <w:rPr>
                <w:rFonts w:eastAsiaTheme="minorEastAsia"/>
                <w:b w:val="0"/>
                <w:lang w:val="de-DE" w:eastAsia="ja-JP"/>
              </w:rPr>
              <w:tab/>
            </w:r>
            <w:r w:rsidR="00446B43" w:rsidRPr="00446B43">
              <w:rPr>
                <w:rStyle w:val="a7"/>
                <w:rFonts w:ascii="Times New Roman" w:hAnsi="Times New Roman"/>
              </w:rPr>
              <w:t>Limitations</w:t>
            </w:r>
            <w:r w:rsidR="00446B43" w:rsidRPr="00446B43">
              <w:rPr>
                <w:webHidden/>
              </w:rPr>
              <w:tab/>
            </w:r>
            <w:r w:rsidR="00446B43" w:rsidRPr="00446B43">
              <w:rPr>
                <w:webHidden/>
              </w:rPr>
              <w:fldChar w:fldCharType="begin"/>
            </w:r>
            <w:r w:rsidR="00446B43" w:rsidRPr="00446B43">
              <w:rPr>
                <w:webHidden/>
              </w:rPr>
              <w:instrText xml:space="preserve"> PAGEREF _Toc535248663 \h </w:instrText>
            </w:r>
            <w:r w:rsidR="00446B43" w:rsidRPr="00446B43">
              <w:rPr>
                <w:webHidden/>
              </w:rPr>
            </w:r>
            <w:r w:rsidR="00446B43" w:rsidRPr="00446B43">
              <w:rPr>
                <w:webHidden/>
              </w:rPr>
              <w:fldChar w:fldCharType="separate"/>
            </w:r>
            <w:r w:rsidR="00446B43" w:rsidRPr="00446B43">
              <w:rPr>
                <w:webHidden/>
              </w:rPr>
              <w:t>20</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64" w:history="1">
            <w:r w:rsidR="00446B43" w:rsidRPr="00446B43">
              <w:rPr>
                <w:rStyle w:val="a7"/>
                <w:rFonts w:ascii="Times New Roman" w:hAnsi="Times New Roman"/>
              </w:rPr>
              <w:t>6</w:t>
            </w:r>
            <w:r w:rsidR="00446B43" w:rsidRPr="00446B43">
              <w:rPr>
                <w:rFonts w:eastAsiaTheme="minorEastAsia"/>
                <w:b w:val="0"/>
                <w:lang w:val="de-DE" w:eastAsia="ja-JP"/>
              </w:rPr>
              <w:tab/>
            </w:r>
            <w:r w:rsidR="00446B43" w:rsidRPr="00446B43">
              <w:rPr>
                <w:rStyle w:val="a7"/>
                <w:rFonts w:ascii="Times New Roman" w:hAnsi="Times New Roman"/>
              </w:rPr>
              <w:t>Conclusion</w:t>
            </w:r>
            <w:r w:rsidR="00446B43" w:rsidRPr="00446B43">
              <w:rPr>
                <w:webHidden/>
              </w:rPr>
              <w:tab/>
            </w:r>
            <w:r w:rsidR="00446B43" w:rsidRPr="00446B43">
              <w:rPr>
                <w:webHidden/>
              </w:rPr>
              <w:fldChar w:fldCharType="begin"/>
            </w:r>
            <w:r w:rsidR="00446B43" w:rsidRPr="00446B43">
              <w:rPr>
                <w:webHidden/>
              </w:rPr>
              <w:instrText xml:space="preserve"> PAGEREF _Toc535248664 \h </w:instrText>
            </w:r>
            <w:r w:rsidR="00446B43" w:rsidRPr="00446B43">
              <w:rPr>
                <w:webHidden/>
              </w:rPr>
            </w:r>
            <w:r w:rsidR="00446B43" w:rsidRPr="00446B43">
              <w:rPr>
                <w:webHidden/>
              </w:rPr>
              <w:fldChar w:fldCharType="separate"/>
            </w:r>
            <w:r w:rsidR="00446B43" w:rsidRPr="00446B43">
              <w:rPr>
                <w:webHidden/>
              </w:rPr>
              <w:t>21</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65" w:history="1">
            <w:r w:rsidR="00446B43" w:rsidRPr="00446B43">
              <w:rPr>
                <w:rStyle w:val="a7"/>
                <w:rFonts w:ascii="Times New Roman" w:hAnsi="Times New Roman"/>
              </w:rPr>
              <w:t>7</w:t>
            </w:r>
            <w:r w:rsidR="00446B43" w:rsidRPr="00446B43">
              <w:rPr>
                <w:rFonts w:eastAsiaTheme="minorEastAsia"/>
                <w:b w:val="0"/>
                <w:lang w:val="de-DE" w:eastAsia="ja-JP"/>
              </w:rPr>
              <w:tab/>
            </w:r>
            <w:r w:rsidR="00446B43" w:rsidRPr="00446B43">
              <w:rPr>
                <w:rStyle w:val="a7"/>
                <w:rFonts w:ascii="Times New Roman" w:hAnsi="Times New Roman"/>
              </w:rPr>
              <w:t>List of References</w:t>
            </w:r>
            <w:r w:rsidR="00446B43" w:rsidRPr="00446B43">
              <w:rPr>
                <w:webHidden/>
              </w:rPr>
              <w:tab/>
            </w:r>
            <w:r w:rsidR="00446B43" w:rsidRPr="00446B43">
              <w:rPr>
                <w:webHidden/>
              </w:rPr>
              <w:fldChar w:fldCharType="begin"/>
            </w:r>
            <w:r w:rsidR="00446B43" w:rsidRPr="00446B43">
              <w:rPr>
                <w:webHidden/>
              </w:rPr>
              <w:instrText xml:space="preserve"> PAGEREF _Toc535248665 \h </w:instrText>
            </w:r>
            <w:r w:rsidR="00446B43" w:rsidRPr="00446B43">
              <w:rPr>
                <w:webHidden/>
              </w:rPr>
            </w:r>
            <w:r w:rsidR="00446B43" w:rsidRPr="00446B43">
              <w:rPr>
                <w:webHidden/>
              </w:rPr>
              <w:fldChar w:fldCharType="separate"/>
            </w:r>
            <w:r w:rsidR="00446B43" w:rsidRPr="00446B43">
              <w:rPr>
                <w:webHidden/>
              </w:rPr>
              <w:t>22</w:t>
            </w:r>
            <w:r w:rsidR="00446B43" w:rsidRPr="00446B43">
              <w:rPr>
                <w:webHidden/>
              </w:rPr>
              <w:fldChar w:fldCharType="end"/>
            </w:r>
          </w:hyperlink>
        </w:p>
        <w:p w:rsidR="00446B43" w:rsidRPr="00446B43" w:rsidRDefault="00506DE0">
          <w:pPr>
            <w:pStyle w:val="10"/>
            <w:rPr>
              <w:rFonts w:eastAsiaTheme="minorEastAsia"/>
              <w:b w:val="0"/>
              <w:lang w:val="de-DE" w:eastAsia="ja-JP"/>
            </w:rPr>
          </w:pPr>
          <w:hyperlink w:anchor="_Toc535248666" w:history="1">
            <w:r w:rsidR="00446B43" w:rsidRPr="00446B43">
              <w:rPr>
                <w:rStyle w:val="a7"/>
                <w:rFonts w:ascii="Times New Roman" w:hAnsi="Times New Roman"/>
              </w:rPr>
              <w:t>8</w:t>
            </w:r>
            <w:r w:rsidR="00446B43" w:rsidRPr="00446B43">
              <w:rPr>
                <w:rFonts w:eastAsiaTheme="minorEastAsia"/>
                <w:b w:val="0"/>
                <w:lang w:val="de-DE" w:eastAsia="ja-JP"/>
              </w:rPr>
              <w:tab/>
            </w:r>
            <w:r w:rsidR="00446B43" w:rsidRPr="00446B43">
              <w:rPr>
                <w:rStyle w:val="a7"/>
                <w:rFonts w:ascii="Times New Roman" w:hAnsi="Times New Roman"/>
              </w:rPr>
              <w:t>Appendices</w:t>
            </w:r>
            <w:r w:rsidR="00446B43" w:rsidRPr="00446B43">
              <w:rPr>
                <w:webHidden/>
              </w:rPr>
              <w:tab/>
            </w:r>
            <w:r w:rsidR="00446B43" w:rsidRPr="00446B43">
              <w:rPr>
                <w:webHidden/>
              </w:rPr>
              <w:fldChar w:fldCharType="begin"/>
            </w:r>
            <w:r w:rsidR="00446B43" w:rsidRPr="00446B43">
              <w:rPr>
                <w:webHidden/>
              </w:rPr>
              <w:instrText xml:space="preserve"> PAGEREF _Toc535248666 \h </w:instrText>
            </w:r>
            <w:r w:rsidR="00446B43" w:rsidRPr="00446B43">
              <w:rPr>
                <w:webHidden/>
              </w:rPr>
            </w:r>
            <w:r w:rsidR="00446B43" w:rsidRPr="00446B43">
              <w:rPr>
                <w:webHidden/>
              </w:rPr>
              <w:fldChar w:fldCharType="separate"/>
            </w:r>
            <w:r w:rsidR="00446B43" w:rsidRPr="00446B43">
              <w:rPr>
                <w:webHidden/>
              </w:rPr>
              <w:t>26</w:t>
            </w:r>
            <w:r w:rsidR="00446B43" w:rsidRPr="00446B43">
              <w:rPr>
                <w:webHidden/>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67" w:history="1">
            <w:r w:rsidR="00446B43" w:rsidRPr="00446B43">
              <w:rPr>
                <w:rStyle w:val="a7"/>
                <w:rFonts w:ascii="Times New Roman" w:hAnsi="Times New Roman"/>
                <w:noProof/>
                <w:sz w:val="24"/>
                <w:szCs w:val="24"/>
                <w:lang w:val="en-US"/>
              </w:rPr>
              <w:t>8.1</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Appendix:</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_Toc535248667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26</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68" w:history="1">
            <w:r w:rsidR="00446B43" w:rsidRPr="00446B43">
              <w:rPr>
                <w:rStyle w:val="a7"/>
                <w:rFonts w:ascii="Times New Roman" w:hAnsi="Times New Roman"/>
                <w:noProof/>
                <w:sz w:val="24"/>
                <w:szCs w:val="24"/>
                <w:lang w:val="en-US"/>
              </w:rPr>
              <w:t>8.2</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Appendix:</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_Toc535248668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37</w:t>
            </w:r>
            <w:r w:rsidR="00446B43" w:rsidRPr="00446B43">
              <w:rPr>
                <w:rFonts w:ascii="Times New Roman" w:hAnsi="Times New Roman"/>
                <w:noProof/>
                <w:webHidden/>
                <w:sz w:val="24"/>
                <w:szCs w:val="24"/>
              </w:rPr>
              <w:fldChar w:fldCharType="end"/>
            </w:r>
          </w:hyperlink>
        </w:p>
        <w:p w:rsidR="00446B43" w:rsidRPr="00446B43" w:rsidRDefault="00506DE0">
          <w:pPr>
            <w:pStyle w:val="21"/>
            <w:tabs>
              <w:tab w:val="left" w:pos="800"/>
              <w:tab w:val="right" w:leader="dot" w:pos="8777"/>
            </w:tabs>
            <w:rPr>
              <w:rFonts w:ascii="Times New Roman" w:eastAsiaTheme="minorEastAsia" w:hAnsi="Times New Roman"/>
              <w:noProof/>
              <w:sz w:val="24"/>
              <w:szCs w:val="24"/>
              <w:lang w:eastAsia="ja-JP"/>
            </w:rPr>
          </w:pPr>
          <w:hyperlink w:anchor="_Toc535248669" w:history="1">
            <w:r w:rsidR="00446B43" w:rsidRPr="00446B43">
              <w:rPr>
                <w:rStyle w:val="a7"/>
                <w:rFonts w:ascii="Times New Roman" w:hAnsi="Times New Roman"/>
                <w:noProof/>
                <w:sz w:val="24"/>
                <w:szCs w:val="24"/>
                <w:lang w:val="en-US"/>
              </w:rPr>
              <w:t>8.3</w:t>
            </w:r>
            <w:r w:rsidR="00446B43" w:rsidRPr="00446B43">
              <w:rPr>
                <w:rFonts w:ascii="Times New Roman" w:eastAsiaTheme="minorEastAsia" w:hAnsi="Times New Roman"/>
                <w:noProof/>
                <w:sz w:val="24"/>
                <w:szCs w:val="24"/>
                <w:lang w:eastAsia="ja-JP"/>
              </w:rPr>
              <w:tab/>
            </w:r>
            <w:r w:rsidR="00446B43" w:rsidRPr="00446B43">
              <w:rPr>
                <w:rStyle w:val="a7"/>
                <w:rFonts w:ascii="Times New Roman" w:hAnsi="Times New Roman"/>
                <w:noProof/>
                <w:sz w:val="24"/>
                <w:szCs w:val="24"/>
                <w:lang w:val="en-US"/>
              </w:rPr>
              <w:t>Appendix:</w:t>
            </w:r>
            <w:r w:rsidR="00446B43" w:rsidRPr="00446B43">
              <w:rPr>
                <w:rFonts w:ascii="Times New Roman" w:hAnsi="Times New Roman"/>
                <w:noProof/>
                <w:webHidden/>
                <w:sz w:val="24"/>
                <w:szCs w:val="24"/>
              </w:rPr>
              <w:tab/>
            </w:r>
            <w:r w:rsidR="00446B43" w:rsidRPr="00446B43">
              <w:rPr>
                <w:rFonts w:ascii="Times New Roman" w:hAnsi="Times New Roman"/>
                <w:noProof/>
                <w:webHidden/>
                <w:sz w:val="24"/>
                <w:szCs w:val="24"/>
              </w:rPr>
              <w:fldChar w:fldCharType="begin"/>
            </w:r>
            <w:r w:rsidR="00446B43" w:rsidRPr="00446B43">
              <w:rPr>
                <w:rFonts w:ascii="Times New Roman" w:hAnsi="Times New Roman"/>
                <w:noProof/>
                <w:webHidden/>
                <w:sz w:val="24"/>
                <w:szCs w:val="24"/>
              </w:rPr>
              <w:instrText xml:space="preserve"> PAGEREF _Toc535248669 \h </w:instrText>
            </w:r>
            <w:r w:rsidR="00446B43" w:rsidRPr="00446B43">
              <w:rPr>
                <w:rFonts w:ascii="Times New Roman" w:hAnsi="Times New Roman"/>
                <w:noProof/>
                <w:webHidden/>
                <w:sz w:val="24"/>
                <w:szCs w:val="24"/>
              </w:rPr>
            </w:r>
            <w:r w:rsidR="00446B43" w:rsidRPr="00446B43">
              <w:rPr>
                <w:rFonts w:ascii="Times New Roman" w:hAnsi="Times New Roman"/>
                <w:noProof/>
                <w:webHidden/>
                <w:sz w:val="24"/>
                <w:szCs w:val="24"/>
              </w:rPr>
              <w:fldChar w:fldCharType="separate"/>
            </w:r>
            <w:r w:rsidR="00446B43" w:rsidRPr="00446B43">
              <w:rPr>
                <w:rFonts w:ascii="Times New Roman" w:hAnsi="Times New Roman"/>
                <w:noProof/>
                <w:webHidden/>
                <w:sz w:val="24"/>
                <w:szCs w:val="24"/>
              </w:rPr>
              <w:t>43</w:t>
            </w:r>
            <w:r w:rsidR="00446B43" w:rsidRPr="00446B43">
              <w:rPr>
                <w:rFonts w:ascii="Times New Roman" w:hAnsi="Times New Roman"/>
                <w:noProof/>
                <w:webHidden/>
                <w:sz w:val="24"/>
                <w:szCs w:val="24"/>
              </w:rPr>
              <w:fldChar w:fldCharType="end"/>
            </w:r>
          </w:hyperlink>
        </w:p>
        <w:p w:rsidR="00446B43" w:rsidRPr="00446B43" w:rsidRDefault="00506DE0">
          <w:pPr>
            <w:pStyle w:val="10"/>
            <w:rPr>
              <w:rFonts w:eastAsiaTheme="minorEastAsia"/>
              <w:b w:val="0"/>
              <w:lang w:val="de-DE" w:eastAsia="ja-JP"/>
            </w:rPr>
          </w:pPr>
          <w:hyperlink w:anchor="_Toc535248670" w:history="1">
            <w:r w:rsidR="00446B43" w:rsidRPr="00446B43">
              <w:rPr>
                <w:rStyle w:val="a7"/>
                <w:rFonts w:ascii="Times New Roman" w:hAnsi="Times New Roman"/>
              </w:rPr>
              <w:t>9</w:t>
            </w:r>
            <w:r w:rsidR="00446B43" w:rsidRPr="00446B43">
              <w:rPr>
                <w:rFonts w:eastAsiaTheme="minorEastAsia"/>
                <w:b w:val="0"/>
                <w:lang w:val="de-DE" w:eastAsia="ja-JP"/>
              </w:rPr>
              <w:tab/>
            </w:r>
            <w:r w:rsidR="00446B43" w:rsidRPr="00446B43">
              <w:rPr>
                <w:rStyle w:val="a7"/>
                <w:rFonts w:ascii="Times New Roman" w:hAnsi="Times New Roman"/>
              </w:rPr>
              <w:t>Declaration of authorship of an academic paper</w:t>
            </w:r>
            <w:r w:rsidR="00446B43" w:rsidRPr="00446B43">
              <w:rPr>
                <w:webHidden/>
              </w:rPr>
              <w:tab/>
            </w:r>
            <w:r w:rsidR="00446B43" w:rsidRPr="00446B43">
              <w:rPr>
                <w:webHidden/>
              </w:rPr>
              <w:fldChar w:fldCharType="begin"/>
            </w:r>
            <w:r w:rsidR="00446B43" w:rsidRPr="00446B43">
              <w:rPr>
                <w:webHidden/>
              </w:rPr>
              <w:instrText xml:space="preserve"> PAGEREF _Toc535248670 \h </w:instrText>
            </w:r>
            <w:r w:rsidR="00446B43" w:rsidRPr="00446B43">
              <w:rPr>
                <w:webHidden/>
              </w:rPr>
            </w:r>
            <w:r w:rsidR="00446B43" w:rsidRPr="00446B43">
              <w:rPr>
                <w:webHidden/>
              </w:rPr>
              <w:fldChar w:fldCharType="separate"/>
            </w:r>
            <w:r w:rsidR="00446B43" w:rsidRPr="00446B43">
              <w:rPr>
                <w:webHidden/>
              </w:rPr>
              <w:t>50</w:t>
            </w:r>
            <w:r w:rsidR="00446B43" w:rsidRPr="00446B43">
              <w:rPr>
                <w:webHidden/>
              </w:rPr>
              <w:fldChar w:fldCharType="end"/>
            </w:r>
          </w:hyperlink>
        </w:p>
        <w:p w:rsidR="00883811" w:rsidRPr="00446B43" w:rsidRDefault="00883811" w:rsidP="00B30877">
          <w:pPr>
            <w:pStyle w:val="APA"/>
            <w:rPr>
              <w:szCs w:val="24"/>
            </w:rPr>
          </w:pPr>
          <w:r w:rsidRPr="00446B43">
            <w:rPr>
              <w:szCs w:val="24"/>
            </w:rPr>
            <w:fldChar w:fldCharType="end"/>
          </w:r>
        </w:p>
      </w:sdtContent>
    </w:sdt>
    <w:p w:rsidR="004A3BE7" w:rsidRPr="00C60ACF" w:rsidRDefault="004A3BE7" w:rsidP="002F72B8">
      <w:pPr>
        <w:rPr>
          <w:rFonts w:ascii="Times New Roman" w:hAnsi="Times New Roman"/>
          <w:b/>
          <w:sz w:val="24"/>
          <w:szCs w:val="24"/>
        </w:rPr>
      </w:pPr>
    </w:p>
    <w:p w:rsidR="004A3BE7" w:rsidRPr="00C60ACF" w:rsidRDefault="004A3BE7" w:rsidP="002F72B8">
      <w:pPr>
        <w:rPr>
          <w:rFonts w:ascii="Times New Roman" w:hAnsi="Times New Roman"/>
          <w:b/>
          <w:sz w:val="24"/>
          <w:szCs w:val="24"/>
        </w:rPr>
      </w:pPr>
    </w:p>
    <w:p w:rsidR="004A3BE7" w:rsidRPr="00C60ACF" w:rsidRDefault="004A3BE7" w:rsidP="007554B9">
      <w:pPr>
        <w:pStyle w:val="APA"/>
        <w:sectPr w:rsidR="004A3BE7" w:rsidRPr="00C60ACF" w:rsidSect="005943CC">
          <w:footerReference w:type="even" r:id="rId12"/>
          <w:footerReference w:type="default" r:id="rId13"/>
          <w:pgSz w:w="11906" w:h="16838"/>
          <w:pgMar w:top="1418" w:right="1418" w:bottom="1418" w:left="1701" w:header="709" w:footer="709" w:gutter="0"/>
          <w:pgNumType w:fmt="lowerRoman"/>
          <w:cols w:space="708"/>
          <w:titlePg/>
          <w:docGrid w:linePitch="360"/>
        </w:sectPr>
      </w:pPr>
    </w:p>
    <w:p w:rsidR="004A3BE7" w:rsidRPr="009C50DC" w:rsidRDefault="00C60ACF" w:rsidP="00F84058">
      <w:pPr>
        <w:pStyle w:val="1"/>
        <w:numPr>
          <w:ilvl w:val="0"/>
          <w:numId w:val="0"/>
        </w:numPr>
        <w:ind w:left="431"/>
        <w:rPr>
          <w:lang w:val="en-US"/>
        </w:rPr>
      </w:pPr>
      <w:bookmarkStart w:id="4" w:name="_Toc535248643"/>
      <w:r w:rsidRPr="009C50DC">
        <w:rPr>
          <w:lang w:val="en-US"/>
        </w:rPr>
        <w:lastRenderedPageBreak/>
        <w:t>List of abbreviations</w:t>
      </w:r>
      <w:bookmarkEnd w:id="4"/>
    </w:p>
    <w:p w:rsidR="008945DE" w:rsidRDefault="008945DE" w:rsidP="008B1821">
      <w:pPr>
        <w:ind w:right="-2"/>
        <w:rPr>
          <w:rFonts w:ascii="Times New Roman" w:hAnsi="Times New Roman"/>
          <w:sz w:val="24"/>
          <w:szCs w:val="24"/>
          <w:lang w:val="en-US"/>
        </w:rPr>
      </w:pPr>
      <w:r>
        <w:rPr>
          <w:rFonts w:ascii="Times New Roman" w:hAnsi="Times New Roman"/>
          <w:sz w:val="24"/>
          <w:szCs w:val="24"/>
          <w:lang w:val="en-US"/>
        </w:rPr>
        <w:t>Adj. MS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roofErr w:type="gramStart"/>
      <w:r>
        <w:rPr>
          <w:rFonts w:ascii="Times New Roman" w:hAnsi="Times New Roman"/>
          <w:sz w:val="24"/>
          <w:szCs w:val="24"/>
          <w:lang w:val="en-US"/>
        </w:rPr>
        <w:tab/>
        <w:t xml:space="preserve">  </w:t>
      </w:r>
      <w:r w:rsidRPr="008945DE">
        <w:rPr>
          <w:rFonts w:ascii="Times New Roman" w:hAnsi="Times New Roman"/>
          <w:sz w:val="24"/>
          <w:szCs w:val="24"/>
          <w:lang w:val="en-US"/>
        </w:rPr>
        <w:t>Adjusted</w:t>
      </w:r>
      <w:proofErr w:type="gramEnd"/>
      <w:r w:rsidRPr="008945DE">
        <w:rPr>
          <w:rFonts w:ascii="Times New Roman" w:hAnsi="Times New Roman"/>
          <w:sz w:val="24"/>
          <w:szCs w:val="24"/>
          <w:lang w:val="en-US"/>
        </w:rPr>
        <w:t xml:space="preserve"> mean squares</w:t>
      </w:r>
    </w:p>
    <w:p w:rsidR="008945DE" w:rsidRPr="008945DE" w:rsidRDefault="008945DE" w:rsidP="008B1821">
      <w:pPr>
        <w:ind w:right="-2"/>
        <w:rPr>
          <w:rFonts w:ascii="Times New Roman" w:hAnsi="Times New Roman"/>
          <w:sz w:val="24"/>
          <w:szCs w:val="24"/>
          <w:lang w:val="en-US"/>
        </w:rPr>
      </w:pPr>
      <w:r>
        <w:rPr>
          <w:rFonts w:ascii="Times New Roman" w:hAnsi="Times New Roman"/>
          <w:sz w:val="24"/>
          <w:szCs w:val="24"/>
          <w:lang w:val="en-US"/>
        </w:rPr>
        <w:t>Adj. SS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sidRPr="008945DE">
        <w:rPr>
          <w:rFonts w:ascii="Times New Roman" w:hAnsi="Times New Roman"/>
          <w:sz w:val="24"/>
          <w:szCs w:val="24"/>
          <w:lang w:val="en-US"/>
        </w:rPr>
        <w:t>Adjusted sums of squares</w:t>
      </w:r>
    </w:p>
    <w:p w:rsidR="0007228B" w:rsidRDefault="0007228B" w:rsidP="008B1821">
      <w:pPr>
        <w:ind w:right="-2"/>
        <w:rPr>
          <w:rFonts w:ascii="Times New Roman" w:hAnsi="Times New Roman"/>
          <w:sz w:val="24"/>
          <w:szCs w:val="24"/>
          <w:lang w:val="en-US"/>
        </w:rPr>
      </w:pPr>
      <w:r>
        <w:rPr>
          <w:rFonts w:ascii="Times New Roman" w:hAnsi="Times New Roman"/>
          <w:sz w:val="24"/>
          <w:szCs w:val="24"/>
          <w:lang w:val="en-US"/>
        </w:rPr>
        <w:t>AC</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Alternating current</w:t>
      </w:r>
    </w:p>
    <w:p w:rsidR="000B3C38" w:rsidRDefault="000B3C38" w:rsidP="008B1821">
      <w:pPr>
        <w:ind w:right="-2"/>
        <w:rPr>
          <w:rFonts w:ascii="Times New Roman" w:hAnsi="Times New Roman"/>
          <w:sz w:val="24"/>
          <w:szCs w:val="24"/>
          <w:lang w:val="en-US"/>
        </w:rPr>
      </w:pPr>
      <w:r>
        <w:rPr>
          <w:rFonts w:ascii="Times New Roman" w:hAnsi="Times New Roman"/>
          <w:sz w:val="24"/>
          <w:szCs w:val="24"/>
          <w:lang w:val="en-US"/>
        </w:rPr>
        <w:t>ANOVA</w:t>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t xml:space="preserve">      </w:t>
      </w:r>
      <w:r w:rsidR="00F201CD">
        <w:rPr>
          <w:rFonts w:ascii="Times New Roman" w:hAnsi="Times New Roman"/>
          <w:sz w:val="24"/>
          <w:szCs w:val="24"/>
          <w:lang w:val="en-US"/>
        </w:rPr>
        <w:t xml:space="preserve"> </w:t>
      </w:r>
      <w:r w:rsidR="00EE6D85">
        <w:rPr>
          <w:rFonts w:ascii="Times New Roman" w:hAnsi="Times New Roman"/>
          <w:sz w:val="24"/>
          <w:szCs w:val="24"/>
          <w:lang w:val="en-US"/>
        </w:rPr>
        <w:t>Analysis of variance</w:t>
      </w:r>
    </w:p>
    <w:p w:rsidR="00D97C87" w:rsidRPr="003163AE" w:rsidRDefault="00D97C87" w:rsidP="008B1821">
      <w:pPr>
        <w:ind w:right="-2"/>
        <w:rPr>
          <w:rFonts w:ascii="Times New Roman" w:hAnsi="Times New Roman"/>
          <w:sz w:val="24"/>
          <w:szCs w:val="24"/>
        </w:rPr>
      </w:pPr>
      <w:r w:rsidRPr="003163AE">
        <w:rPr>
          <w:rFonts w:ascii="Times New Roman" w:hAnsi="Times New Roman"/>
          <w:sz w:val="24"/>
          <w:szCs w:val="24"/>
        </w:rPr>
        <w:t>BEV</w:t>
      </w:r>
      <w:r w:rsidR="00DC5C59" w:rsidRPr="003163AE">
        <w:rPr>
          <w:rFonts w:ascii="Times New Roman" w:hAnsi="Times New Roman"/>
          <w:sz w:val="24"/>
          <w:szCs w:val="24"/>
        </w:rPr>
        <w:tab/>
      </w:r>
      <w:r w:rsidR="00DC5C59" w:rsidRPr="003163AE">
        <w:rPr>
          <w:rFonts w:ascii="Times New Roman" w:hAnsi="Times New Roman"/>
          <w:sz w:val="24"/>
          <w:szCs w:val="24"/>
        </w:rPr>
        <w:tab/>
      </w:r>
      <w:r w:rsidR="00DC5C59" w:rsidRPr="003163AE">
        <w:rPr>
          <w:rFonts w:ascii="Times New Roman" w:hAnsi="Times New Roman"/>
          <w:sz w:val="24"/>
          <w:szCs w:val="24"/>
        </w:rPr>
        <w:tab/>
      </w:r>
      <w:r w:rsidR="00DC5C59" w:rsidRPr="003163AE">
        <w:rPr>
          <w:rFonts w:ascii="Times New Roman" w:hAnsi="Times New Roman"/>
          <w:sz w:val="24"/>
          <w:szCs w:val="24"/>
        </w:rPr>
        <w:tab/>
      </w:r>
      <w:r w:rsidR="00DC5C59" w:rsidRPr="003163AE">
        <w:rPr>
          <w:rFonts w:ascii="Times New Roman" w:hAnsi="Times New Roman"/>
          <w:sz w:val="24"/>
          <w:szCs w:val="24"/>
        </w:rPr>
        <w:tab/>
      </w:r>
      <w:r w:rsidR="00DC5C59" w:rsidRPr="003163AE">
        <w:rPr>
          <w:rFonts w:ascii="Times New Roman" w:hAnsi="Times New Roman"/>
          <w:sz w:val="24"/>
          <w:szCs w:val="24"/>
        </w:rPr>
        <w:tab/>
      </w:r>
      <w:r w:rsidR="00DC5C59" w:rsidRPr="003163AE">
        <w:rPr>
          <w:rFonts w:ascii="Times New Roman" w:hAnsi="Times New Roman"/>
          <w:sz w:val="24"/>
          <w:szCs w:val="24"/>
        </w:rPr>
        <w:tab/>
      </w:r>
      <w:r w:rsidR="00DC5C59" w:rsidRPr="003163AE">
        <w:rPr>
          <w:rFonts w:ascii="Times New Roman" w:hAnsi="Times New Roman"/>
          <w:sz w:val="24"/>
          <w:szCs w:val="24"/>
        </w:rPr>
        <w:tab/>
      </w:r>
      <w:r w:rsidR="00DC5C59" w:rsidRPr="003163AE">
        <w:rPr>
          <w:rFonts w:ascii="Times New Roman" w:hAnsi="Times New Roman"/>
          <w:sz w:val="24"/>
          <w:szCs w:val="24"/>
        </w:rPr>
        <w:tab/>
        <w:t xml:space="preserve">  </w:t>
      </w:r>
      <w:r w:rsidR="00F201CD" w:rsidRPr="003163AE">
        <w:rPr>
          <w:rFonts w:ascii="Times New Roman" w:hAnsi="Times New Roman"/>
          <w:sz w:val="24"/>
          <w:szCs w:val="24"/>
        </w:rPr>
        <w:t xml:space="preserve"> </w:t>
      </w:r>
      <w:proofErr w:type="spellStart"/>
      <w:r w:rsidR="00DC5C59" w:rsidRPr="003163AE">
        <w:rPr>
          <w:rFonts w:ascii="Times New Roman" w:hAnsi="Times New Roman"/>
          <w:sz w:val="24"/>
          <w:szCs w:val="24"/>
        </w:rPr>
        <w:t>Battery</w:t>
      </w:r>
      <w:proofErr w:type="spellEnd"/>
      <w:r w:rsidR="00DC5C59" w:rsidRPr="003163AE">
        <w:rPr>
          <w:rFonts w:ascii="Times New Roman" w:hAnsi="Times New Roman"/>
          <w:sz w:val="24"/>
          <w:szCs w:val="24"/>
        </w:rPr>
        <w:t xml:space="preserve"> </w:t>
      </w:r>
      <w:proofErr w:type="spellStart"/>
      <w:r w:rsidR="00DC5C59" w:rsidRPr="003163AE">
        <w:rPr>
          <w:rFonts w:ascii="Times New Roman" w:hAnsi="Times New Roman"/>
          <w:sz w:val="24"/>
          <w:szCs w:val="24"/>
        </w:rPr>
        <w:t>electric</w:t>
      </w:r>
      <w:proofErr w:type="spellEnd"/>
      <w:r w:rsidR="00DC5C59" w:rsidRPr="003163AE">
        <w:rPr>
          <w:rFonts w:ascii="Times New Roman" w:hAnsi="Times New Roman"/>
          <w:sz w:val="24"/>
          <w:szCs w:val="24"/>
        </w:rPr>
        <w:t xml:space="preserve"> </w:t>
      </w:r>
      <w:proofErr w:type="spellStart"/>
      <w:r w:rsidR="00DC5C59" w:rsidRPr="003163AE">
        <w:rPr>
          <w:rFonts w:ascii="Times New Roman" w:hAnsi="Times New Roman"/>
          <w:sz w:val="24"/>
          <w:szCs w:val="24"/>
        </w:rPr>
        <w:t>vehicle</w:t>
      </w:r>
      <w:proofErr w:type="spellEnd"/>
    </w:p>
    <w:p w:rsidR="004744FC" w:rsidRDefault="00CA4971" w:rsidP="004744FC">
      <w:pPr>
        <w:ind w:left="709" w:right="-2" w:hanging="709"/>
        <w:rPr>
          <w:rFonts w:ascii="Times New Roman" w:hAnsi="Times New Roman"/>
          <w:sz w:val="24"/>
          <w:szCs w:val="24"/>
        </w:rPr>
      </w:pPr>
      <w:r w:rsidRPr="009E1DFB">
        <w:rPr>
          <w:rFonts w:ascii="Times New Roman" w:hAnsi="Times New Roman"/>
          <w:sz w:val="24"/>
          <w:szCs w:val="24"/>
        </w:rPr>
        <w:t>BDEW</w:t>
      </w:r>
      <w:r w:rsidR="009E1DFB" w:rsidRPr="009E1DFB">
        <w:rPr>
          <w:rFonts w:ascii="Times New Roman" w:hAnsi="Times New Roman"/>
          <w:sz w:val="24"/>
          <w:szCs w:val="24"/>
        </w:rPr>
        <w:tab/>
      </w:r>
      <w:r w:rsidR="009E1DFB" w:rsidRPr="009E1DFB">
        <w:rPr>
          <w:rFonts w:ascii="Times New Roman" w:hAnsi="Times New Roman"/>
          <w:sz w:val="24"/>
          <w:szCs w:val="24"/>
        </w:rPr>
        <w:tab/>
      </w:r>
      <w:r w:rsidR="009E1DFB" w:rsidRPr="009E1DFB">
        <w:rPr>
          <w:rFonts w:ascii="Times New Roman" w:hAnsi="Times New Roman"/>
          <w:sz w:val="24"/>
          <w:szCs w:val="24"/>
        </w:rPr>
        <w:tab/>
      </w:r>
      <w:r w:rsidR="004744FC">
        <w:rPr>
          <w:rFonts w:ascii="Times New Roman" w:hAnsi="Times New Roman"/>
          <w:sz w:val="24"/>
          <w:szCs w:val="24"/>
        </w:rPr>
        <w:tab/>
      </w:r>
      <w:r w:rsidR="004744FC">
        <w:rPr>
          <w:rFonts w:ascii="Times New Roman" w:hAnsi="Times New Roman"/>
          <w:sz w:val="24"/>
          <w:szCs w:val="24"/>
        </w:rPr>
        <w:tab/>
        <w:t xml:space="preserve">     </w:t>
      </w:r>
      <w:r w:rsidR="009E1DFB" w:rsidRPr="009E1DFB">
        <w:rPr>
          <w:rFonts w:ascii="Times New Roman" w:hAnsi="Times New Roman"/>
          <w:sz w:val="24"/>
          <w:szCs w:val="24"/>
        </w:rPr>
        <w:t>Bundesverband der Energie- und Wasserwirtschaft</w:t>
      </w:r>
    </w:p>
    <w:p w:rsidR="00CA4971" w:rsidRPr="004744FC" w:rsidRDefault="004744FC" w:rsidP="004744FC">
      <w:pPr>
        <w:ind w:left="1418" w:right="-2"/>
        <w:rPr>
          <w:rFonts w:ascii="Times New Roman" w:hAnsi="Times New Roman"/>
          <w:sz w:val="24"/>
          <w:szCs w:val="24"/>
          <w:lang w:val="en-US"/>
        </w:rPr>
      </w:pPr>
      <w:r w:rsidRPr="00F201CD">
        <w:rPr>
          <w:rFonts w:ascii="Times New Roman" w:hAnsi="Times New Roman"/>
          <w:sz w:val="24"/>
          <w:szCs w:val="24"/>
        </w:rPr>
        <w:t xml:space="preserve">          </w:t>
      </w:r>
      <w:r w:rsidR="009E1DFB" w:rsidRPr="004744FC">
        <w:rPr>
          <w:rFonts w:ascii="Times New Roman" w:hAnsi="Times New Roman"/>
          <w:sz w:val="24"/>
          <w:szCs w:val="24"/>
          <w:lang w:val="en-US"/>
        </w:rPr>
        <w:t>(Eng. German Federal</w:t>
      </w:r>
      <w:r w:rsidRPr="004744FC">
        <w:rPr>
          <w:rFonts w:ascii="Times New Roman" w:hAnsi="Times New Roman"/>
          <w:sz w:val="24"/>
          <w:szCs w:val="24"/>
          <w:lang w:val="en-US"/>
        </w:rPr>
        <w:t xml:space="preserve"> </w:t>
      </w:r>
      <w:r w:rsidR="009E1DFB" w:rsidRPr="004744FC">
        <w:rPr>
          <w:rFonts w:ascii="Times New Roman" w:hAnsi="Times New Roman"/>
          <w:sz w:val="24"/>
          <w:szCs w:val="24"/>
          <w:lang w:val="en-US"/>
        </w:rPr>
        <w:t>Association of the Energy and Water Industries</w:t>
      </w:r>
    </w:p>
    <w:p w:rsidR="008945DE" w:rsidRDefault="008945DE" w:rsidP="008B1821">
      <w:pPr>
        <w:ind w:right="-2"/>
        <w:rPr>
          <w:rFonts w:ascii="Times New Roman" w:hAnsi="Times New Roman"/>
          <w:sz w:val="24"/>
          <w:szCs w:val="24"/>
          <w:lang w:val="en-US"/>
        </w:rPr>
      </w:pPr>
      <w:r>
        <w:rPr>
          <w:rFonts w:ascii="Times New Roman" w:hAnsi="Times New Roman"/>
          <w:sz w:val="24"/>
          <w:szCs w:val="24"/>
          <w:lang w:val="en-US"/>
        </w:rPr>
        <w:t>CI</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Confidence Interval</w:t>
      </w:r>
    </w:p>
    <w:p w:rsidR="009F3C4B" w:rsidRDefault="009F3C4B" w:rsidP="008B1821">
      <w:pPr>
        <w:ind w:right="-2"/>
        <w:rPr>
          <w:rFonts w:ascii="Times New Roman" w:hAnsi="Times New Roman"/>
          <w:sz w:val="24"/>
          <w:szCs w:val="24"/>
          <w:lang w:val="en-US"/>
        </w:rPr>
      </w:pPr>
      <w:r>
        <w:rPr>
          <w:rFonts w:ascii="Times New Roman" w:hAnsi="Times New Roman"/>
          <w:sz w:val="24"/>
          <w:szCs w:val="24"/>
          <w:lang w:val="en-US"/>
        </w:rPr>
        <w:t>CO2</w:t>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t xml:space="preserve">   Carbon dioxide</w:t>
      </w:r>
    </w:p>
    <w:p w:rsidR="00CA4971" w:rsidRDefault="00CA4971" w:rsidP="008B1821">
      <w:pPr>
        <w:ind w:right="-2"/>
        <w:rPr>
          <w:rFonts w:ascii="Times New Roman" w:hAnsi="Times New Roman"/>
          <w:sz w:val="24"/>
          <w:szCs w:val="24"/>
          <w:lang w:val="en-US"/>
        </w:rPr>
      </w:pPr>
      <w:r>
        <w:rPr>
          <w:rFonts w:ascii="Times New Roman" w:hAnsi="Times New Roman"/>
          <w:sz w:val="24"/>
          <w:szCs w:val="24"/>
          <w:lang w:val="en-US"/>
        </w:rPr>
        <w:t>DOE</w:t>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r w:rsidR="00D64F20">
        <w:rPr>
          <w:rFonts w:ascii="Times New Roman" w:hAnsi="Times New Roman"/>
          <w:sz w:val="24"/>
          <w:szCs w:val="24"/>
          <w:lang w:val="en-US"/>
        </w:rPr>
        <w:tab/>
      </w:r>
      <w:proofErr w:type="gramStart"/>
      <w:r w:rsidR="00D64F20">
        <w:rPr>
          <w:rFonts w:ascii="Times New Roman" w:hAnsi="Times New Roman"/>
          <w:sz w:val="24"/>
          <w:szCs w:val="24"/>
          <w:lang w:val="en-US"/>
        </w:rPr>
        <w:tab/>
        <w:t xml:space="preserve">  T</w:t>
      </w:r>
      <w:r w:rsidR="00D64F20" w:rsidRPr="00D64F20">
        <w:rPr>
          <w:rFonts w:ascii="Times New Roman" w:hAnsi="Times New Roman"/>
          <w:sz w:val="24"/>
          <w:szCs w:val="24"/>
          <w:lang w:val="en-US"/>
        </w:rPr>
        <w:t>he</w:t>
      </w:r>
      <w:proofErr w:type="gramEnd"/>
      <w:r w:rsidR="00D64F20" w:rsidRPr="00D64F20">
        <w:rPr>
          <w:rFonts w:ascii="Times New Roman" w:hAnsi="Times New Roman"/>
          <w:sz w:val="24"/>
          <w:szCs w:val="24"/>
          <w:lang w:val="en-US"/>
        </w:rPr>
        <w:t xml:space="preserve"> U.S. department of energy</w:t>
      </w:r>
    </w:p>
    <w:p w:rsidR="008C3B50" w:rsidRDefault="008C3B50" w:rsidP="008B1821">
      <w:pPr>
        <w:ind w:right="-2"/>
        <w:rPr>
          <w:rFonts w:ascii="Times New Roman" w:hAnsi="Times New Roman"/>
          <w:sz w:val="24"/>
          <w:szCs w:val="24"/>
          <w:lang w:val="en-US"/>
        </w:rPr>
      </w:pPr>
      <w:r>
        <w:rPr>
          <w:rFonts w:ascii="Times New Roman" w:hAnsi="Times New Roman"/>
          <w:sz w:val="24"/>
          <w:szCs w:val="24"/>
          <w:lang w:val="en-US"/>
        </w:rPr>
        <w:t>DF</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Degrees of freedom</w:t>
      </w:r>
    </w:p>
    <w:p w:rsidR="00E42DF0" w:rsidRDefault="00E42DF0" w:rsidP="008B1821">
      <w:pPr>
        <w:ind w:right="-2"/>
        <w:rPr>
          <w:rFonts w:ascii="Times New Roman" w:hAnsi="Times New Roman"/>
          <w:sz w:val="24"/>
          <w:szCs w:val="24"/>
          <w:lang w:val="en-US"/>
        </w:rPr>
      </w:pPr>
      <w:r>
        <w:rPr>
          <w:rFonts w:ascii="Times New Roman" w:hAnsi="Times New Roman"/>
          <w:sz w:val="24"/>
          <w:szCs w:val="24"/>
          <w:lang w:val="en-US"/>
        </w:rPr>
        <w:t>EAFO</w:t>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t xml:space="preserve">          </w:t>
      </w:r>
      <w:r w:rsidR="00722862" w:rsidRPr="00722862">
        <w:rPr>
          <w:rFonts w:ascii="Times New Roman" w:hAnsi="Times New Roman"/>
          <w:sz w:val="24"/>
          <w:szCs w:val="24"/>
          <w:lang w:val="en-US"/>
        </w:rPr>
        <w:t>European Alternative Fuels Observatory</w:t>
      </w:r>
    </w:p>
    <w:p w:rsidR="00722862" w:rsidRDefault="00722862" w:rsidP="00722862">
      <w:pPr>
        <w:ind w:right="-2"/>
        <w:rPr>
          <w:rFonts w:ascii="Times New Roman" w:hAnsi="Times New Roman"/>
          <w:sz w:val="24"/>
          <w:szCs w:val="24"/>
          <w:lang w:val="en-US"/>
        </w:rPr>
      </w:pPr>
      <w:r w:rsidRPr="00CA4971">
        <w:rPr>
          <w:rFonts w:ascii="Times New Roman" w:hAnsi="Times New Roman"/>
          <w:sz w:val="24"/>
          <w:szCs w:val="24"/>
          <w:lang w:val="en-US"/>
        </w:rPr>
        <w:t>EERE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Pr>
          <w:rFonts w:ascii="Times New Roman" w:hAnsi="Times New Roman"/>
          <w:sz w:val="22"/>
          <w:szCs w:val="22"/>
          <w:lang w:val="en-US"/>
        </w:rPr>
        <w:t>T</w:t>
      </w:r>
      <w:r w:rsidRPr="008C3B50">
        <w:rPr>
          <w:rFonts w:ascii="Times New Roman" w:hAnsi="Times New Roman"/>
          <w:sz w:val="22"/>
          <w:szCs w:val="22"/>
          <w:lang w:val="en-US"/>
        </w:rPr>
        <w:t>he U.S. Office of Energy Efficiency and Renewable Energy</w:t>
      </w:r>
    </w:p>
    <w:p w:rsidR="0049067B" w:rsidRDefault="0049067B" w:rsidP="008B1821">
      <w:pPr>
        <w:ind w:right="-2"/>
        <w:rPr>
          <w:rFonts w:ascii="Times New Roman" w:hAnsi="Times New Roman"/>
          <w:sz w:val="24"/>
          <w:szCs w:val="24"/>
          <w:lang w:val="en-US"/>
        </w:rPr>
      </w:pPr>
      <w:r>
        <w:rPr>
          <w:rFonts w:ascii="Times New Roman" w:hAnsi="Times New Roman"/>
          <w:sz w:val="24"/>
          <w:szCs w:val="24"/>
          <w:lang w:val="en-US"/>
        </w:rPr>
        <w:t>EESI</w:t>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t xml:space="preserve">        </w:t>
      </w:r>
      <w:r w:rsidR="00722862" w:rsidRPr="00722862">
        <w:rPr>
          <w:rFonts w:ascii="Times New Roman" w:hAnsi="Times New Roman"/>
          <w:sz w:val="24"/>
          <w:szCs w:val="24"/>
          <w:lang w:val="en-US"/>
        </w:rPr>
        <w:t>Environmental and Energy Study Institute</w:t>
      </w:r>
    </w:p>
    <w:p w:rsidR="00E42DF0" w:rsidRDefault="00E42DF0" w:rsidP="008B1821">
      <w:pPr>
        <w:ind w:right="-2"/>
        <w:rPr>
          <w:rFonts w:ascii="Times New Roman" w:hAnsi="Times New Roman"/>
          <w:sz w:val="24"/>
          <w:szCs w:val="24"/>
          <w:lang w:val="en-US"/>
        </w:rPr>
      </w:pPr>
      <w:r>
        <w:rPr>
          <w:rFonts w:ascii="Times New Roman" w:hAnsi="Times New Roman"/>
          <w:sz w:val="24"/>
          <w:szCs w:val="24"/>
          <w:lang w:val="en-US"/>
        </w:rPr>
        <w:t>EPA</w:t>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r>
      <w:r w:rsidR="00722862">
        <w:rPr>
          <w:rFonts w:ascii="Times New Roman" w:hAnsi="Times New Roman"/>
          <w:sz w:val="24"/>
          <w:szCs w:val="24"/>
          <w:lang w:val="en-US"/>
        </w:rPr>
        <w:tab/>
        <w:t xml:space="preserve">     T</w:t>
      </w:r>
      <w:r w:rsidR="00722862" w:rsidRPr="00722862">
        <w:rPr>
          <w:rFonts w:ascii="Times New Roman" w:hAnsi="Times New Roman"/>
          <w:sz w:val="24"/>
          <w:szCs w:val="24"/>
          <w:lang w:val="en-US"/>
        </w:rPr>
        <w:t>he U.S. Environmental Protection Agency</w:t>
      </w:r>
    </w:p>
    <w:p w:rsidR="00E65C14" w:rsidRDefault="00DC5C59" w:rsidP="008B1821">
      <w:pPr>
        <w:ind w:right="-2"/>
        <w:rPr>
          <w:rFonts w:ascii="Times New Roman" w:hAnsi="Times New Roman"/>
          <w:sz w:val="24"/>
          <w:szCs w:val="24"/>
          <w:lang w:val="en-US"/>
        </w:rPr>
      </w:pPr>
      <w:r>
        <w:rPr>
          <w:rFonts w:ascii="Times New Roman" w:hAnsi="Times New Roman"/>
          <w:sz w:val="24"/>
          <w:szCs w:val="24"/>
          <w:lang w:val="en-US"/>
        </w:rPr>
        <w:t>EV</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sidR="00F201CD">
        <w:rPr>
          <w:rFonts w:ascii="Times New Roman" w:hAnsi="Times New Roman"/>
          <w:sz w:val="24"/>
          <w:szCs w:val="24"/>
          <w:lang w:val="en-US"/>
        </w:rPr>
        <w:t xml:space="preserve"> </w:t>
      </w:r>
      <w:r>
        <w:rPr>
          <w:rFonts w:ascii="Times New Roman" w:hAnsi="Times New Roman"/>
          <w:sz w:val="24"/>
          <w:szCs w:val="24"/>
          <w:lang w:val="en-US"/>
        </w:rPr>
        <w:t>E</w:t>
      </w:r>
      <w:r w:rsidR="00D97C87">
        <w:rPr>
          <w:rFonts w:ascii="Times New Roman" w:hAnsi="Times New Roman"/>
          <w:sz w:val="24"/>
          <w:szCs w:val="24"/>
          <w:lang w:val="en-US"/>
        </w:rPr>
        <w:t>lectric vehicle</w:t>
      </w:r>
    </w:p>
    <w:p w:rsidR="00D97C87" w:rsidRDefault="00D97C87" w:rsidP="008B1821">
      <w:pPr>
        <w:ind w:right="-2"/>
        <w:rPr>
          <w:rFonts w:ascii="Times New Roman" w:hAnsi="Times New Roman"/>
          <w:sz w:val="24"/>
          <w:szCs w:val="24"/>
          <w:lang w:val="en-US"/>
        </w:rPr>
      </w:pPr>
      <w:r>
        <w:rPr>
          <w:rFonts w:ascii="Times New Roman" w:hAnsi="Times New Roman"/>
          <w:sz w:val="24"/>
          <w:szCs w:val="24"/>
          <w:lang w:val="en-US"/>
        </w:rPr>
        <w:t>EU</w:t>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t xml:space="preserve"> European Union</w:t>
      </w:r>
    </w:p>
    <w:p w:rsidR="00924A76" w:rsidRPr="00924A76" w:rsidRDefault="00924A76" w:rsidP="00CA4971">
      <w:pPr>
        <w:ind w:right="-2"/>
        <w:rPr>
          <w:rFonts w:ascii="Times New Roman" w:hAnsi="Times New Roman"/>
          <w:sz w:val="24"/>
          <w:szCs w:val="24"/>
          <w:lang w:val="en-US"/>
        </w:rPr>
      </w:pPr>
      <w:r>
        <w:rPr>
          <w:rFonts w:ascii="Times New Roman" w:hAnsi="Times New Roman"/>
          <w:sz w:val="24"/>
          <w:szCs w:val="24"/>
          <w:lang w:val="en-US"/>
        </w:rPr>
        <w:t>Eurostat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sidRPr="00924A76">
        <w:rPr>
          <w:rFonts w:ascii="Times New Roman" w:hAnsi="Times New Roman"/>
          <w:sz w:val="24"/>
          <w:szCs w:val="24"/>
          <w:lang w:val="en-US"/>
        </w:rPr>
        <w:t>Statistical Office of the European Communities</w:t>
      </w:r>
    </w:p>
    <w:p w:rsidR="00CA4971" w:rsidRDefault="00CA4971" w:rsidP="00CA4971">
      <w:pPr>
        <w:ind w:right="-2"/>
        <w:rPr>
          <w:rFonts w:ascii="Times New Roman" w:hAnsi="Times New Roman"/>
          <w:sz w:val="24"/>
          <w:szCs w:val="24"/>
          <w:lang w:val="en-US"/>
        </w:rPr>
      </w:pPr>
      <w:r>
        <w:rPr>
          <w:rFonts w:ascii="Times New Roman" w:hAnsi="Times New Roman"/>
          <w:sz w:val="24"/>
          <w:szCs w:val="24"/>
          <w:lang w:val="en-US"/>
        </w:rPr>
        <w:t>FCEV</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Fuel cell electric vehicle</w:t>
      </w:r>
    </w:p>
    <w:p w:rsidR="00D97C87" w:rsidRDefault="00D97C87" w:rsidP="008B1821">
      <w:pPr>
        <w:ind w:right="-2"/>
        <w:rPr>
          <w:rFonts w:ascii="Times New Roman" w:hAnsi="Times New Roman"/>
          <w:sz w:val="24"/>
          <w:szCs w:val="24"/>
          <w:lang w:val="en-US"/>
        </w:rPr>
      </w:pPr>
      <w:r>
        <w:rPr>
          <w:rFonts w:ascii="Times New Roman" w:hAnsi="Times New Roman"/>
          <w:sz w:val="24"/>
          <w:szCs w:val="24"/>
          <w:lang w:val="en-US"/>
        </w:rPr>
        <w:t>ICE</w:t>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t xml:space="preserve">        Internal combustion engine</w:t>
      </w:r>
    </w:p>
    <w:p w:rsidR="00D97C87" w:rsidRPr="005943CC" w:rsidRDefault="00D97C87" w:rsidP="008B1821">
      <w:pPr>
        <w:ind w:right="-2"/>
        <w:rPr>
          <w:rFonts w:ascii="Times New Roman" w:hAnsi="Times New Roman"/>
          <w:sz w:val="24"/>
          <w:szCs w:val="24"/>
          <w:lang w:val="en-US"/>
        </w:rPr>
      </w:pPr>
      <w:r>
        <w:rPr>
          <w:rFonts w:ascii="Times New Roman" w:hAnsi="Times New Roman"/>
          <w:sz w:val="24"/>
          <w:szCs w:val="24"/>
          <w:lang w:val="en-US"/>
        </w:rPr>
        <w:t>IEA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t xml:space="preserve">     </w:t>
      </w:r>
      <w:r>
        <w:rPr>
          <w:rFonts w:ascii="Times New Roman" w:hAnsi="Times New Roman"/>
          <w:sz w:val="24"/>
          <w:szCs w:val="24"/>
          <w:lang w:val="en-US"/>
        </w:rPr>
        <w:t>International Energy Agency</w:t>
      </w:r>
    </w:p>
    <w:p w:rsidR="00D97C87" w:rsidRDefault="00D97C87" w:rsidP="00D97C87">
      <w:pPr>
        <w:ind w:right="-2"/>
        <w:rPr>
          <w:rFonts w:ascii="Times New Roman" w:hAnsi="Times New Roman"/>
          <w:sz w:val="24"/>
          <w:szCs w:val="24"/>
          <w:lang w:val="en-US"/>
        </w:rPr>
      </w:pPr>
      <w:r>
        <w:rPr>
          <w:rFonts w:ascii="Times New Roman" w:hAnsi="Times New Roman"/>
          <w:sz w:val="24"/>
          <w:szCs w:val="24"/>
          <w:lang w:val="en-US"/>
        </w:rPr>
        <w:t>IPCC</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D97C87">
        <w:rPr>
          <w:rFonts w:ascii="Times New Roman" w:hAnsi="Times New Roman"/>
          <w:sz w:val="24"/>
          <w:szCs w:val="24"/>
          <w:lang w:val="en-US"/>
        </w:rPr>
        <w:t xml:space="preserve"> </w:t>
      </w:r>
      <w:r w:rsidR="00DC5C59">
        <w:rPr>
          <w:rFonts w:ascii="Times New Roman" w:hAnsi="Times New Roman"/>
          <w:sz w:val="24"/>
          <w:szCs w:val="24"/>
          <w:lang w:val="en-US"/>
        </w:rPr>
        <w:t xml:space="preserve">   </w:t>
      </w:r>
      <w:r w:rsidRPr="00A20CF6">
        <w:rPr>
          <w:rFonts w:ascii="Times New Roman" w:hAnsi="Times New Roman"/>
          <w:sz w:val="24"/>
          <w:szCs w:val="24"/>
          <w:lang w:val="en-US"/>
        </w:rPr>
        <w:t>Intergovernmental Panel on Climate Change</w:t>
      </w:r>
    </w:p>
    <w:p w:rsidR="00DF5F42" w:rsidRPr="005509F2" w:rsidRDefault="00DF5F42" w:rsidP="002F72B8">
      <w:pPr>
        <w:rPr>
          <w:rFonts w:ascii="Times New Roman" w:hAnsi="Times New Roman"/>
          <w:sz w:val="24"/>
          <w:szCs w:val="24"/>
        </w:rPr>
      </w:pPr>
      <w:r w:rsidRPr="003163AE">
        <w:rPr>
          <w:rFonts w:ascii="Times New Roman" w:hAnsi="Times New Roman"/>
          <w:sz w:val="24"/>
          <w:szCs w:val="24"/>
        </w:rPr>
        <w:t>km</w:t>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3163AE">
        <w:rPr>
          <w:rFonts w:ascii="Times New Roman" w:hAnsi="Times New Roman"/>
          <w:sz w:val="24"/>
          <w:szCs w:val="24"/>
        </w:rPr>
        <w:tab/>
      </w:r>
      <w:r w:rsidRPr="005509F2">
        <w:rPr>
          <w:rFonts w:ascii="Times New Roman" w:hAnsi="Times New Roman"/>
          <w:sz w:val="24"/>
          <w:szCs w:val="24"/>
        </w:rPr>
        <w:t>Kilometer</w:t>
      </w:r>
    </w:p>
    <w:p w:rsidR="00DF5F42" w:rsidRPr="005509F2" w:rsidRDefault="00DF5F42" w:rsidP="002F72B8">
      <w:pPr>
        <w:rPr>
          <w:rFonts w:ascii="Times New Roman" w:hAnsi="Times New Roman"/>
          <w:sz w:val="24"/>
          <w:szCs w:val="24"/>
        </w:rPr>
      </w:pPr>
      <w:r w:rsidRPr="005509F2">
        <w:rPr>
          <w:rFonts w:ascii="Times New Roman" w:hAnsi="Times New Roman"/>
          <w:sz w:val="24"/>
          <w:szCs w:val="24"/>
        </w:rPr>
        <w:t>kW</w:t>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t xml:space="preserve">              Kilowatt</w:t>
      </w:r>
    </w:p>
    <w:p w:rsidR="005509F2" w:rsidRPr="005509F2" w:rsidRDefault="005509F2" w:rsidP="002F72B8">
      <w:pPr>
        <w:rPr>
          <w:rFonts w:ascii="Times New Roman" w:hAnsi="Times New Roman"/>
          <w:sz w:val="24"/>
          <w:szCs w:val="24"/>
        </w:rPr>
      </w:pPr>
      <w:r w:rsidRPr="005509F2">
        <w:rPr>
          <w:rFonts w:ascii="Times New Roman" w:hAnsi="Times New Roman"/>
          <w:sz w:val="24"/>
          <w:szCs w:val="24"/>
        </w:rPr>
        <w:t>kWh</w:t>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sidRPr="005509F2">
        <w:rPr>
          <w:rFonts w:ascii="Times New Roman" w:hAnsi="Times New Roman"/>
          <w:sz w:val="24"/>
          <w:szCs w:val="24"/>
        </w:rPr>
        <w:tab/>
      </w:r>
      <w:r>
        <w:rPr>
          <w:rFonts w:ascii="Times New Roman" w:hAnsi="Times New Roman"/>
          <w:sz w:val="24"/>
          <w:szCs w:val="24"/>
        </w:rPr>
        <w:t xml:space="preserve">     </w:t>
      </w:r>
      <w:r w:rsidRPr="005509F2">
        <w:rPr>
          <w:rFonts w:ascii="Times New Roman" w:hAnsi="Times New Roman"/>
          <w:sz w:val="24"/>
          <w:szCs w:val="24"/>
        </w:rPr>
        <w:t>Ki</w:t>
      </w:r>
      <w:r>
        <w:rPr>
          <w:rFonts w:ascii="Times New Roman" w:hAnsi="Times New Roman"/>
          <w:sz w:val="24"/>
          <w:szCs w:val="24"/>
        </w:rPr>
        <w:t>lowatt-</w:t>
      </w:r>
      <w:proofErr w:type="spellStart"/>
      <w:r>
        <w:rPr>
          <w:rFonts w:ascii="Times New Roman" w:hAnsi="Times New Roman"/>
          <w:sz w:val="24"/>
          <w:szCs w:val="24"/>
        </w:rPr>
        <w:t>hour</w:t>
      </w:r>
      <w:proofErr w:type="spellEnd"/>
    </w:p>
    <w:p w:rsidR="000B3C38" w:rsidRDefault="000B3C38" w:rsidP="002F72B8">
      <w:pPr>
        <w:rPr>
          <w:rFonts w:ascii="Times New Roman" w:hAnsi="Times New Roman"/>
          <w:sz w:val="24"/>
          <w:szCs w:val="24"/>
          <w:lang w:val="en-US"/>
        </w:rPr>
      </w:pPr>
      <w:r>
        <w:rPr>
          <w:rFonts w:ascii="Times New Roman" w:hAnsi="Times New Roman"/>
          <w:sz w:val="24"/>
          <w:szCs w:val="24"/>
          <w:lang w:val="en-US"/>
        </w:rPr>
        <w:t>HOV</w:t>
      </w:r>
      <w:r w:rsidR="00DC5C59">
        <w:rPr>
          <w:rFonts w:ascii="Times New Roman" w:hAnsi="Times New Roman"/>
          <w:sz w:val="24"/>
          <w:szCs w:val="24"/>
          <w:lang w:val="en-US"/>
        </w:rPr>
        <w:t xml:space="preserve"> lane</w:t>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t xml:space="preserve">     High-occupancy vehicle lane</w:t>
      </w:r>
    </w:p>
    <w:p w:rsidR="00451DEE" w:rsidRPr="003163AE" w:rsidRDefault="002F2979" w:rsidP="002F72B8">
      <w:pPr>
        <w:rPr>
          <w:rFonts w:ascii="Times New Roman" w:hAnsi="Times New Roman"/>
          <w:sz w:val="24"/>
          <w:szCs w:val="24"/>
          <w:lang w:val="en-US"/>
        </w:rPr>
      </w:pPr>
      <w:r w:rsidRPr="003163AE">
        <w:rPr>
          <w:rFonts w:ascii="Times New Roman" w:hAnsi="Times New Roman"/>
          <w:sz w:val="24"/>
          <w:szCs w:val="24"/>
          <w:lang w:val="en-US"/>
        </w:rPr>
        <w:t>n</w:t>
      </w:r>
      <w:r w:rsidR="00451DEE" w:rsidRPr="003163AE">
        <w:rPr>
          <w:rFonts w:ascii="Times New Roman" w:hAnsi="Times New Roman"/>
          <w:sz w:val="24"/>
          <w:szCs w:val="24"/>
          <w:lang w:val="en-US"/>
        </w:rPr>
        <w:tab/>
      </w:r>
      <w:r w:rsidR="00451DEE" w:rsidRPr="003163AE">
        <w:rPr>
          <w:rFonts w:ascii="Times New Roman" w:hAnsi="Times New Roman"/>
          <w:sz w:val="24"/>
          <w:szCs w:val="24"/>
          <w:lang w:val="en-US"/>
        </w:rPr>
        <w:tab/>
      </w:r>
      <w:r w:rsidR="00451DEE" w:rsidRPr="003163AE">
        <w:rPr>
          <w:rFonts w:ascii="Times New Roman" w:hAnsi="Times New Roman"/>
          <w:sz w:val="24"/>
          <w:szCs w:val="24"/>
          <w:lang w:val="en-US"/>
        </w:rPr>
        <w:tab/>
      </w:r>
      <w:r w:rsidR="00451DEE" w:rsidRPr="003163AE">
        <w:rPr>
          <w:rFonts w:ascii="Times New Roman" w:hAnsi="Times New Roman"/>
          <w:sz w:val="24"/>
          <w:szCs w:val="24"/>
          <w:lang w:val="en-US"/>
        </w:rPr>
        <w:tab/>
      </w:r>
      <w:r w:rsidR="00451DEE" w:rsidRPr="003163AE">
        <w:rPr>
          <w:rFonts w:ascii="Times New Roman" w:hAnsi="Times New Roman"/>
          <w:sz w:val="24"/>
          <w:szCs w:val="24"/>
          <w:lang w:val="en-US"/>
        </w:rPr>
        <w:tab/>
      </w:r>
      <w:r w:rsidR="00451DEE" w:rsidRPr="003163AE">
        <w:rPr>
          <w:rFonts w:ascii="Times New Roman" w:hAnsi="Times New Roman"/>
          <w:sz w:val="24"/>
          <w:szCs w:val="24"/>
          <w:lang w:val="en-US"/>
        </w:rPr>
        <w:tab/>
      </w:r>
      <w:r w:rsidR="00451DEE" w:rsidRPr="003163AE">
        <w:rPr>
          <w:rFonts w:ascii="Times New Roman" w:hAnsi="Times New Roman"/>
          <w:sz w:val="24"/>
          <w:szCs w:val="24"/>
          <w:lang w:val="en-US"/>
        </w:rPr>
        <w:tab/>
      </w:r>
      <w:r w:rsidR="00451DEE" w:rsidRPr="003163AE">
        <w:rPr>
          <w:rFonts w:ascii="Times New Roman" w:hAnsi="Times New Roman"/>
          <w:sz w:val="24"/>
          <w:szCs w:val="24"/>
          <w:lang w:val="en-US"/>
        </w:rPr>
        <w:tab/>
      </w:r>
      <w:r w:rsidRPr="003163AE">
        <w:rPr>
          <w:rFonts w:ascii="Times New Roman" w:hAnsi="Times New Roman"/>
          <w:sz w:val="24"/>
          <w:szCs w:val="24"/>
          <w:lang w:val="en-US"/>
        </w:rPr>
        <w:tab/>
      </w:r>
      <w:r w:rsidR="00F201CD" w:rsidRPr="003163AE">
        <w:rPr>
          <w:rFonts w:ascii="Times New Roman" w:hAnsi="Times New Roman"/>
          <w:sz w:val="24"/>
          <w:szCs w:val="24"/>
          <w:lang w:val="en-US"/>
        </w:rPr>
        <w:t xml:space="preserve"> </w:t>
      </w:r>
      <w:r w:rsidR="00451DEE" w:rsidRPr="003163AE">
        <w:rPr>
          <w:rFonts w:ascii="Times New Roman" w:hAnsi="Times New Roman"/>
          <w:sz w:val="24"/>
          <w:szCs w:val="24"/>
          <w:lang w:val="en-US"/>
        </w:rPr>
        <w:t>Number of observations</w:t>
      </w:r>
    </w:p>
    <w:p w:rsidR="00BC43D3" w:rsidRPr="003163AE" w:rsidRDefault="00BC43D3" w:rsidP="002F72B8">
      <w:pPr>
        <w:rPr>
          <w:rFonts w:ascii="Times New Roman" w:hAnsi="Times New Roman"/>
          <w:sz w:val="24"/>
          <w:szCs w:val="24"/>
          <w:lang w:val="en-US"/>
        </w:rPr>
      </w:pPr>
      <w:r w:rsidRPr="003163AE">
        <w:rPr>
          <w:rFonts w:ascii="Times New Roman" w:hAnsi="Times New Roman"/>
          <w:sz w:val="24"/>
          <w:szCs w:val="24"/>
          <w:lang w:val="en-US"/>
        </w:rPr>
        <w:t>NOK</w:t>
      </w:r>
      <w:r w:rsidRPr="003163AE">
        <w:rPr>
          <w:rFonts w:ascii="Times New Roman" w:hAnsi="Times New Roman"/>
          <w:sz w:val="24"/>
          <w:szCs w:val="24"/>
          <w:lang w:val="en-US"/>
        </w:rPr>
        <w:tab/>
      </w:r>
      <w:r w:rsidRPr="003163AE">
        <w:rPr>
          <w:rFonts w:ascii="Times New Roman" w:hAnsi="Times New Roman"/>
          <w:sz w:val="24"/>
          <w:szCs w:val="24"/>
          <w:lang w:val="en-US"/>
        </w:rPr>
        <w:tab/>
      </w:r>
      <w:r w:rsidRPr="003163AE">
        <w:rPr>
          <w:rFonts w:ascii="Times New Roman" w:hAnsi="Times New Roman"/>
          <w:sz w:val="24"/>
          <w:szCs w:val="24"/>
          <w:lang w:val="en-US"/>
        </w:rPr>
        <w:tab/>
      </w:r>
      <w:r w:rsidRPr="003163AE">
        <w:rPr>
          <w:rFonts w:ascii="Times New Roman" w:hAnsi="Times New Roman"/>
          <w:sz w:val="24"/>
          <w:szCs w:val="24"/>
          <w:lang w:val="en-US"/>
        </w:rPr>
        <w:tab/>
      </w:r>
      <w:r w:rsidRPr="003163AE">
        <w:rPr>
          <w:rFonts w:ascii="Times New Roman" w:hAnsi="Times New Roman"/>
          <w:sz w:val="24"/>
          <w:szCs w:val="24"/>
          <w:lang w:val="en-US"/>
        </w:rPr>
        <w:tab/>
      </w:r>
      <w:r w:rsidRPr="003163AE">
        <w:rPr>
          <w:rFonts w:ascii="Times New Roman" w:hAnsi="Times New Roman"/>
          <w:sz w:val="24"/>
          <w:szCs w:val="24"/>
          <w:lang w:val="en-US"/>
        </w:rPr>
        <w:tab/>
      </w:r>
      <w:r w:rsidRPr="003163AE">
        <w:rPr>
          <w:rFonts w:ascii="Times New Roman" w:hAnsi="Times New Roman"/>
          <w:sz w:val="24"/>
          <w:szCs w:val="24"/>
          <w:lang w:val="en-US"/>
        </w:rPr>
        <w:tab/>
      </w:r>
      <w:r w:rsidRPr="003163AE">
        <w:rPr>
          <w:rFonts w:ascii="Times New Roman" w:hAnsi="Times New Roman"/>
          <w:sz w:val="24"/>
          <w:szCs w:val="24"/>
          <w:lang w:val="en-US"/>
        </w:rPr>
        <w:tab/>
      </w:r>
      <w:r w:rsidRPr="003163AE">
        <w:rPr>
          <w:rFonts w:ascii="Times New Roman" w:hAnsi="Times New Roman"/>
          <w:sz w:val="24"/>
          <w:szCs w:val="24"/>
          <w:lang w:val="en-US"/>
        </w:rPr>
        <w:tab/>
        <w:t xml:space="preserve">           Norwegian Krone</w:t>
      </w:r>
    </w:p>
    <w:p w:rsidR="000B3C38" w:rsidRDefault="000B3C38" w:rsidP="002F72B8">
      <w:pPr>
        <w:rPr>
          <w:rFonts w:ascii="Times New Roman" w:hAnsi="Times New Roman"/>
          <w:sz w:val="24"/>
          <w:szCs w:val="24"/>
          <w:lang w:val="en-US"/>
        </w:rPr>
      </w:pPr>
      <w:r>
        <w:rPr>
          <w:rFonts w:ascii="Times New Roman" w:hAnsi="Times New Roman"/>
          <w:sz w:val="24"/>
          <w:szCs w:val="24"/>
          <w:lang w:val="en-US"/>
        </w:rPr>
        <w:t>OLS</w:t>
      </w:r>
      <w:r w:rsidR="00DC5C59">
        <w:rPr>
          <w:rFonts w:ascii="Times New Roman" w:hAnsi="Times New Roman"/>
          <w:sz w:val="24"/>
          <w:szCs w:val="24"/>
          <w:lang w:val="en-US"/>
        </w:rPr>
        <w:t xml:space="preserve"> regression</w:t>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t xml:space="preserve">          Ordinary least squares regression</w:t>
      </w:r>
    </w:p>
    <w:p w:rsidR="000B3C38" w:rsidRDefault="000B3C38" w:rsidP="002F72B8">
      <w:pPr>
        <w:rPr>
          <w:rFonts w:ascii="Times New Roman" w:hAnsi="Times New Roman"/>
          <w:sz w:val="24"/>
          <w:szCs w:val="24"/>
          <w:lang w:val="en-US"/>
        </w:rPr>
      </w:pPr>
      <w:r>
        <w:rPr>
          <w:rFonts w:ascii="Times New Roman" w:hAnsi="Times New Roman"/>
          <w:sz w:val="24"/>
          <w:szCs w:val="24"/>
          <w:lang w:val="en-US"/>
        </w:rPr>
        <w:t>PHEV</w:t>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t xml:space="preserve">             P</w:t>
      </w:r>
      <w:r w:rsidR="00DC5C59" w:rsidRPr="00DC5C59">
        <w:rPr>
          <w:rFonts w:ascii="Times New Roman" w:hAnsi="Times New Roman"/>
          <w:sz w:val="24"/>
          <w:szCs w:val="24"/>
          <w:lang w:val="en-US"/>
        </w:rPr>
        <w:t>lug-in hybrid electric vehicles</w:t>
      </w:r>
    </w:p>
    <w:p w:rsidR="009F7CC4" w:rsidRPr="00CF77BD" w:rsidRDefault="009F7CC4" w:rsidP="002F72B8">
      <w:pPr>
        <w:rPr>
          <w:rFonts w:ascii="Times New Roman" w:hAnsi="Times New Roman"/>
          <w:sz w:val="24"/>
          <w:szCs w:val="24"/>
          <w:lang w:val="en-US"/>
        </w:rPr>
      </w:pPr>
      <w:r>
        <w:rPr>
          <w:rFonts w:ascii="Times New Roman" w:hAnsi="Times New Roman"/>
          <w:sz w:val="24"/>
          <w:szCs w:val="24"/>
          <w:lang w:val="en-US"/>
        </w:rPr>
        <w:t>PWC</w:t>
      </w:r>
      <w:r w:rsidR="00CF77BD">
        <w:rPr>
          <w:rFonts w:ascii="Times New Roman" w:hAnsi="Times New Roman"/>
          <w:sz w:val="24"/>
          <w:szCs w:val="24"/>
          <w:lang w:val="en-US"/>
        </w:rPr>
        <w:tab/>
      </w:r>
      <w:r w:rsidR="00CF77BD">
        <w:rPr>
          <w:rFonts w:ascii="Times New Roman" w:hAnsi="Times New Roman"/>
          <w:sz w:val="24"/>
          <w:szCs w:val="24"/>
          <w:lang w:val="en-US"/>
        </w:rPr>
        <w:tab/>
      </w:r>
      <w:r w:rsidR="00CF77BD">
        <w:rPr>
          <w:rFonts w:ascii="Times New Roman" w:hAnsi="Times New Roman"/>
          <w:sz w:val="24"/>
          <w:szCs w:val="24"/>
          <w:lang w:val="en-US"/>
        </w:rPr>
        <w:tab/>
      </w:r>
      <w:r w:rsidR="00CF77BD">
        <w:rPr>
          <w:rFonts w:ascii="Times New Roman" w:hAnsi="Times New Roman"/>
          <w:sz w:val="24"/>
          <w:szCs w:val="24"/>
          <w:lang w:val="en-US"/>
        </w:rPr>
        <w:tab/>
      </w:r>
      <w:r w:rsidR="00CF77BD">
        <w:rPr>
          <w:rFonts w:ascii="Times New Roman" w:hAnsi="Times New Roman"/>
          <w:sz w:val="24"/>
          <w:szCs w:val="24"/>
          <w:lang w:val="en-US"/>
        </w:rPr>
        <w:tab/>
      </w:r>
      <w:r w:rsidR="00CF77BD">
        <w:rPr>
          <w:rFonts w:ascii="Times New Roman" w:hAnsi="Times New Roman"/>
          <w:sz w:val="24"/>
          <w:szCs w:val="24"/>
          <w:lang w:val="en-US"/>
        </w:rPr>
        <w:tab/>
      </w:r>
      <w:r w:rsidR="00CF77BD">
        <w:rPr>
          <w:rFonts w:ascii="Times New Roman" w:hAnsi="Times New Roman"/>
          <w:sz w:val="24"/>
          <w:szCs w:val="24"/>
          <w:lang w:val="en-US"/>
        </w:rPr>
        <w:tab/>
      </w:r>
      <w:r w:rsidR="00CF77BD">
        <w:rPr>
          <w:rFonts w:ascii="Times New Roman" w:hAnsi="Times New Roman"/>
          <w:sz w:val="24"/>
          <w:szCs w:val="24"/>
          <w:lang w:val="en-US"/>
        </w:rPr>
        <w:tab/>
      </w:r>
      <w:r w:rsidR="00CF77BD">
        <w:rPr>
          <w:rFonts w:ascii="Times New Roman" w:hAnsi="Times New Roman"/>
          <w:sz w:val="24"/>
          <w:szCs w:val="24"/>
          <w:lang w:val="en-US"/>
        </w:rPr>
        <w:tab/>
      </w:r>
      <w:r w:rsidR="00CF77BD" w:rsidRPr="00CF77BD">
        <w:rPr>
          <w:rFonts w:ascii="Times New Roman" w:hAnsi="Times New Roman"/>
          <w:sz w:val="24"/>
          <w:szCs w:val="24"/>
          <w:lang w:val="en-US"/>
        </w:rPr>
        <w:t>PricewaterhouseCoopers</w:t>
      </w:r>
    </w:p>
    <w:p w:rsidR="008945DE" w:rsidRDefault="008945DE" w:rsidP="002F72B8">
      <w:pPr>
        <w:rPr>
          <w:rFonts w:ascii="Times New Roman" w:hAnsi="Times New Roman"/>
          <w:sz w:val="24"/>
          <w:szCs w:val="24"/>
          <w:lang w:val="en-US"/>
        </w:rPr>
      </w:pPr>
      <w:r>
        <w:rPr>
          <w:rFonts w:ascii="Times New Roman" w:hAnsi="Times New Roman"/>
          <w:sz w:val="24"/>
          <w:szCs w:val="24"/>
          <w:lang w:val="en-US"/>
        </w:rPr>
        <w:t>R-</w:t>
      </w:r>
      <w:proofErr w:type="spellStart"/>
      <w:r>
        <w:rPr>
          <w:rFonts w:ascii="Times New Roman" w:hAnsi="Times New Roman"/>
          <w:sz w:val="24"/>
          <w:szCs w:val="24"/>
          <w:lang w:val="en-US"/>
        </w:rPr>
        <w:t>sq</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0A3D18">
        <w:rPr>
          <w:rFonts w:ascii="Times New Roman" w:hAnsi="Times New Roman"/>
          <w:sz w:val="24"/>
          <w:szCs w:val="24"/>
          <w:lang w:val="en-US"/>
        </w:rPr>
        <w:t xml:space="preserve">        </w:t>
      </w:r>
      <w:r>
        <w:rPr>
          <w:rFonts w:ascii="Times New Roman" w:hAnsi="Times New Roman"/>
          <w:sz w:val="24"/>
          <w:szCs w:val="24"/>
          <w:lang w:val="en-US"/>
        </w:rPr>
        <w:t>R-squared, or coefficient of determination</w:t>
      </w:r>
    </w:p>
    <w:p w:rsidR="000A3D18" w:rsidRDefault="000A3D18" w:rsidP="002F72B8">
      <w:pPr>
        <w:rPr>
          <w:rFonts w:ascii="Times New Roman" w:hAnsi="Times New Roman"/>
          <w:sz w:val="24"/>
          <w:szCs w:val="24"/>
          <w:lang w:val="en-US"/>
        </w:rPr>
      </w:pPr>
      <w:r>
        <w:rPr>
          <w:rFonts w:ascii="Times New Roman" w:hAnsi="Times New Roman"/>
          <w:sz w:val="24"/>
          <w:szCs w:val="24"/>
          <w:lang w:val="en-US"/>
        </w:rPr>
        <w:t>R-</w:t>
      </w:r>
      <w:proofErr w:type="spellStart"/>
      <w:r>
        <w:rPr>
          <w:rFonts w:ascii="Times New Roman" w:hAnsi="Times New Roman"/>
          <w:sz w:val="24"/>
          <w:szCs w:val="24"/>
          <w:lang w:val="en-US"/>
        </w:rPr>
        <w:t>sq</w:t>
      </w:r>
      <w:proofErr w:type="spellEnd"/>
      <w:r>
        <w:rPr>
          <w:rFonts w:ascii="Times New Roman" w:hAnsi="Times New Roman"/>
          <w:sz w:val="24"/>
          <w:szCs w:val="24"/>
          <w:lang w:val="en-US"/>
        </w:rPr>
        <w:t xml:space="preserve"> (adj)</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Adjusted R-squared</w:t>
      </w:r>
    </w:p>
    <w:p w:rsidR="000B3C38" w:rsidRDefault="000B3C38" w:rsidP="002F72B8">
      <w:pPr>
        <w:rPr>
          <w:rFonts w:ascii="Times New Roman" w:hAnsi="Times New Roman"/>
          <w:sz w:val="24"/>
          <w:szCs w:val="24"/>
          <w:lang w:val="en-US"/>
        </w:rPr>
      </w:pPr>
      <w:r>
        <w:rPr>
          <w:rFonts w:ascii="Times New Roman" w:hAnsi="Times New Roman"/>
          <w:sz w:val="24"/>
          <w:szCs w:val="24"/>
          <w:lang w:val="en-US"/>
        </w:rPr>
        <w:t>RE model</w:t>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t xml:space="preserve">   Random effects model</w:t>
      </w:r>
    </w:p>
    <w:p w:rsidR="00DE3CC3" w:rsidRDefault="00DE3CC3" w:rsidP="002F72B8">
      <w:pPr>
        <w:rPr>
          <w:rFonts w:ascii="Times New Roman" w:hAnsi="Times New Roman"/>
          <w:sz w:val="24"/>
          <w:szCs w:val="24"/>
          <w:lang w:val="en-US"/>
        </w:rPr>
      </w:pPr>
      <w:r>
        <w:rPr>
          <w:rFonts w:ascii="Times New Roman" w:hAnsi="Times New Roman"/>
          <w:sz w:val="24"/>
          <w:szCs w:val="24"/>
          <w:lang w:val="en-US"/>
        </w:rPr>
        <w:t>RMB</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w:t>
      </w:r>
      <w:r w:rsidRPr="00DE3CC3">
        <w:rPr>
          <w:rFonts w:ascii="Times New Roman" w:hAnsi="Times New Roman"/>
          <w:sz w:val="24"/>
          <w:szCs w:val="24"/>
          <w:lang w:val="en-US"/>
        </w:rPr>
        <w:t>Renminbi</w:t>
      </w:r>
      <w:r>
        <w:rPr>
          <w:rFonts w:ascii="Times New Roman" w:hAnsi="Times New Roman"/>
          <w:sz w:val="24"/>
          <w:szCs w:val="24"/>
          <w:lang w:val="en-US"/>
        </w:rPr>
        <w:t xml:space="preserve"> (Chinese currency)</w:t>
      </w:r>
    </w:p>
    <w:p w:rsidR="008945DE" w:rsidRDefault="008945DE" w:rsidP="002F72B8">
      <w:pPr>
        <w:rPr>
          <w:rFonts w:ascii="Times New Roman" w:hAnsi="Times New Roman"/>
          <w:sz w:val="24"/>
          <w:szCs w:val="24"/>
          <w:lang w:val="en-US"/>
        </w:rPr>
      </w:pPr>
      <w:r>
        <w:rPr>
          <w:rFonts w:ascii="Times New Roman" w:hAnsi="Times New Roman"/>
          <w:sz w:val="24"/>
          <w:szCs w:val="24"/>
          <w:lang w:val="en-US"/>
        </w:rPr>
        <w:t>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Standard error of a regression</w:t>
      </w:r>
    </w:p>
    <w:p w:rsidR="008945DE" w:rsidRDefault="008945DE" w:rsidP="002F72B8">
      <w:pPr>
        <w:rPr>
          <w:rFonts w:ascii="Times New Roman" w:hAnsi="Times New Roman"/>
          <w:sz w:val="24"/>
          <w:szCs w:val="24"/>
          <w:lang w:val="en-US"/>
        </w:rPr>
      </w:pPr>
      <w:r>
        <w:rPr>
          <w:rFonts w:ascii="Times New Roman" w:hAnsi="Times New Roman"/>
          <w:sz w:val="24"/>
          <w:szCs w:val="24"/>
          <w:lang w:val="en-US"/>
        </w:rPr>
        <w:t>SE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Standard error of a coefficient</w:t>
      </w:r>
    </w:p>
    <w:p w:rsidR="000B3C38" w:rsidRDefault="000B3C38" w:rsidP="002F72B8">
      <w:pPr>
        <w:rPr>
          <w:rFonts w:ascii="Times New Roman" w:hAnsi="Times New Roman"/>
          <w:sz w:val="24"/>
          <w:szCs w:val="24"/>
          <w:lang w:val="en-US"/>
        </w:rPr>
      </w:pPr>
      <w:r>
        <w:rPr>
          <w:rFonts w:ascii="Times New Roman" w:hAnsi="Times New Roman"/>
          <w:sz w:val="24"/>
          <w:szCs w:val="24"/>
          <w:lang w:val="en-US"/>
        </w:rPr>
        <w:t>TIS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DC5C59">
        <w:rPr>
          <w:rFonts w:ascii="Times New Roman" w:hAnsi="Times New Roman"/>
          <w:sz w:val="24"/>
          <w:szCs w:val="24"/>
          <w:lang w:val="en-US"/>
        </w:rPr>
        <w:tab/>
        <w:t xml:space="preserve">         </w:t>
      </w:r>
      <w:r w:rsidRPr="00667EC8">
        <w:rPr>
          <w:rFonts w:ascii="Times New Roman" w:hAnsi="Times New Roman"/>
          <w:sz w:val="24"/>
          <w:szCs w:val="24"/>
          <w:lang w:val="en-US"/>
        </w:rPr>
        <w:t>Technological Innovation System</w:t>
      </w:r>
    </w:p>
    <w:p w:rsidR="00D97C87" w:rsidRDefault="00D97C87" w:rsidP="002F72B8">
      <w:pPr>
        <w:rPr>
          <w:rFonts w:ascii="Times New Roman" w:hAnsi="Times New Roman"/>
          <w:sz w:val="24"/>
          <w:szCs w:val="24"/>
          <w:lang w:val="en-US"/>
        </w:rPr>
      </w:pPr>
      <w:r>
        <w:rPr>
          <w:rFonts w:ascii="Times New Roman" w:hAnsi="Times New Roman"/>
          <w:sz w:val="24"/>
          <w:szCs w:val="24"/>
          <w:lang w:val="en-US"/>
        </w:rPr>
        <w:t>UK</w:t>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DC5C59">
        <w:rPr>
          <w:rFonts w:ascii="Times New Roman" w:hAnsi="Times New Roman"/>
          <w:sz w:val="24"/>
          <w:szCs w:val="24"/>
          <w:lang w:val="en-US"/>
        </w:rPr>
        <w:tab/>
      </w:r>
      <w:r w:rsidR="00EE6D85">
        <w:rPr>
          <w:rFonts w:ascii="Times New Roman" w:hAnsi="Times New Roman"/>
          <w:sz w:val="24"/>
          <w:szCs w:val="24"/>
          <w:lang w:val="en-US"/>
        </w:rPr>
        <w:t xml:space="preserve"> </w:t>
      </w:r>
      <w:r w:rsidR="00DC5C59">
        <w:rPr>
          <w:rFonts w:ascii="Times New Roman" w:hAnsi="Times New Roman"/>
          <w:sz w:val="24"/>
          <w:szCs w:val="24"/>
          <w:lang w:val="en-US"/>
        </w:rPr>
        <w:t>United Kingdom</w:t>
      </w:r>
    </w:p>
    <w:p w:rsidR="00BE0E36" w:rsidRDefault="00D97C87" w:rsidP="002F72B8">
      <w:pPr>
        <w:rPr>
          <w:rFonts w:ascii="Times New Roman" w:hAnsi="Times New Roman"/>
          <w:sz w:val="24"/>
          <w:szCs w:val="24"/>
          <w:lang w:val="en-US"/>
        </w:rPr>
      </w:pPr>
      <w:r>
        <w:rPr>
          <w:rFonts w:ascii="Times New Roman" w:hAnsi="Times New Roman"/>
          <w:sz w:val="24"/>
          <w:szCs w:val="24"/>
          <w:lang w:val="en-US"/>
        </w:rPr>
        <w:t>U.S.</w:t>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t xml:space="preserve">      United States</w:t>
      </w:r>
    </w:p>
    <w:p w:rsidR="00D97C87" w:rsidRDefault="00D97C87" w:rsidP="002F72B8">
      <w:pPr>
        <w:rPr>
          <w:rFonts w:ascii="Times New Roman" w:hAnsi="Times New Roman"/>
          <w:sz w:val="24"/>
          <w:szCs w:val="24"/>
          <w:lang w:val="en-US"/>
        </w:rPr>
      </w:pPr>
      <w:r>
        <w:rPr>
          <w:rFonts w:ascii="Times New Roman" w:hAnsi="Times New Roman"/>
          <w:sz w:val="24"/>
          <w:szCs w:val="24"/>
          <w:lang w:val="en-US"/>
        </w:rPr>
        <w:t>USA</w:t>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t xml:space="preserve">           United States of America</w:t>
      </w:r>
    </w:p>
    <w:p w:rsidR="00D97C87" w:rsidRDefault="00D97C87" w:rsidP="002F72B8">
      <w:pPr>
        <w:rPr>
          <w:rFonts w:ascii="Times New Roman" w:hAnsi="Times New Roman"/>
          <w:sz w:val="24"/>
          <w:szCs w:val="24"/>
          <w:lang w:val="en-US"/>
        </w:rPr>
      </w:pPr>
      <w:r>
        <w:rPr>
          <w:rFonts w:ascii="Times New Roman" w:hAnsi="Times New Roman"/>
          <w:sz w:val="24"/>
          <w:szCs w:val="24"/>
          <w:lang w:val="en-US"/>
        </w:rPr>
        <w:t>VAT</w:t>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t xml:space="preserve">           Value Added Tax</w:t>
      </w:r>
    </w:p>
    <w:p w:rsidR="00D97C87" w:rsidRDefault="00EA76A3" w:rsidP="002F72B8">
      <w:pPr>
        <w:rPr>
          <w:rFonts w:ascii="Times New Roman" w:hAnsi="Times New Roman"/>
          <w:sz w:val="24"/>
          <w:szCs w:val="24"/>
          <w:lang w:val="en-US"/>
        </w:rPr>
      </w:pPr>
      <w:r>
        <w:rPr>
          <w:rFonts w:ascii="Times New Roman" w:hAnsi="Times New Roman"/>
          <w:sz w:val="24"/>
          <w:szCs w:val="24"/>
          <w:lang w:val="en-US"/>
        </w:rPr>
        <w:t>VIF</w:t>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r>
      <w:r w:rsidR="00EE6D85">
        <w:rPr>
          <w:rFonts w:ascii="Times New Roman" w:hAnsi="Times New Roman"/>
          <w:sz w:val="24"/>
          <w:szCs w:val="24"/>
          <w:lang w:val="en-US"/>
        </w:rPr>
        <w:tab/>
        <w:t xml:space="preserve">           Variance Inflation Factor</w:t>
      </w:r>
    </w:p>
    <w:p w:rsidR="000B3C38" w:rsidRDefault="000B3C38" w:rsidP="002F72B8">
      <w:pPr>
        <w:rPr>
          <w:rFonts w:ascii="Times New Roman" w:hAnsi="Times New Roman"/>
          <w:sz w:val="24"/>
          <w:szCs w:val="24"/>
          <w:lang w:val="en-US"/>
        </w:rPr>
      </w:pPr>
    </w:p>
    <w:p w:rsidR="00EA76A3" w:rsidRPr="00147A40" w:rsidRDefault="00EA76A3" w:rsidP="002F72B8">
      <w:pPr>
        <w:rPr>
          <w:rFonts w:ascii="Times New Roman" w:hAnsi="Times New Roman"/>
          <w:sz w:val="24"/>
          <w:szCs w:val="24"/>
          <w:lang w:val="en-US"/>
        </w:rPr>
        <w:sectPr w:rsidR="00EA76A3" w:rsidRPr="00147A40" w:rsidSect="005943CC">
          <w:pgSz w:w="11906" w:h="16838"/>
          <w:pgMar w:top="1418" w:right="1418" w:bottom="1418" w:left="1701" w:header="709" w:footer="709" w:gutter="0"/>
          <w:pgNumType w:fmt="lowerRoman"/>
          <w:cols w:space="708"/>
          <w:docGrid w:linePitch="360"/>
        </w:sectPr>
      </w:pPr>
    </w:p>
    <w:p w:rsidR="004A3BE7" w:rsidRDefault="001D79B5" w:rsidP="00F84058">
      <w:pPr>
        <w:pStyle w:val="1"/>
        <w:numPr>
          <w:ilvl w:val="0"/>
          <w:numId w:val="0"/>
        </w:numPr>
        <w:ind w:left="431"/>
        <w:rPr>
          <w:lang w:val="en-US"/>
        </w:rPr>
      </w:pPr>
      <w:bookmarkStart w:id="5" w:name="_Toc535248644"/>
      <w:r w:rsidRPr="005943CC">
        <w:rPr>
          <w:lang w:val="en-US"/>
        </w:rPr>
        <w:lastRenderedPageBreak/>
        <w:t xml:space="preserve">List of </w:t>
      </w:r>
      <w:r w:rsidR="004A2446">
        <w:rPr>
          <w:lang w:val="en-US"/>
        </w:rPr>
        <w:t>figures</w:t>
      </w:r>
      <w:bookmarkEnd w:id="5"/>
    </w:p>
    <w:p w:rsidR="00EA6F0C" w:rsidRPr="00EA6F0C" w:rsidRDefault="00EA6F0C" w:rsidP="00EA6F0C">
      <w:pPr>
        <w:spacing w:line="360" w:lineRule="auto"/>
        <w:rPr>
          <w:rFonts w:ascii="Times New Roman" w:hAnsi="Times New Roman"/>
          <w:b/>
          <w:sz w:val="24"/>
          <w:szCs w:val="24"/>
          <w:lang w:val="en-US"/>
        </w:rPr>
      </w:pPr>
    </w:p>
    <w:p w:rsidR="00722862" w:rsidRPr="00722862" w:rsidRDefault="00722862" w:rsidP="00EA6F0C">
      <w:pPr>
        <w:spacing w:line="360" w:lineRule="auto"/>
        <w:rPr>
          <w:sz w:val="24"/>
          <w:szCs w:val="24"/>
          <w:lang w:val="en-US"/>
        </w:rPr>
      </w:pPr>
      <w:r w:rsidRPr="00722862">
        <w:rPr>
          <w:rFonts w:ascii="Times New Roman" w:hAnsi="Times New Roman"/>
          <w:sz w:val="24"/>
          <w:szCs w:val="24"/>
          <w:lang w:val="en-US"/>
        </w:rPr>
        <w:t xml:space="preserve">Fig. 1.1 Number of BEV registrations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7</w:t>
      </w:r>
    </w:p>
    <w:p w:rsidR="00722862" w:rsidRPr="00722862" w:rsidRDefault="00722862" w:rsidP="00EA6F0C">
      <w:pPr>
        <w:spacing w:line="360" w:lineRule="auto"/>
        <w:rPr>
          <w:sz w:val="24"/>
          <w:szCs w:val="24"/>
          <w:lang w:val="en-US"/>
        </w:rPr>
      </w:pPr>
      <w:r w:rsidRPr="00722862">
        <w:rPr>
          <w:rFonts w:ascii="Times New Roman" w:hAnsi="Times New Roman"/>
          <w:sz w:val="24"/>
          <w:szCs w:val="24"/>
          <w:lang w:val="en-US"/>
        </w:rPr>
        <w:t xml:space="preserve">Fig. 1.2 Total number of passenger car registrations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7</w:t>
      </w:r>
    </w:p>
    <w:p w:rsidR="00DC3288" w:rsidRDefault="00722862" w:rsidP="00EA6F0C">
      <w:pPr>
        <w:spacing w:line="360" w:lineRule="auto"/>
        <w:rPr>
          <w:rFonts w:ascii="Times New Roman" w:hAnsi="Times New Roman"/>
          <w:sz w:val="24"/>
          <w:szCs w:val="24"/>
          <w:lang w:val="en-US"/>
        </w:rPr>
      </w:pPr>
      <w:r w:rsidRPr="00722862">
        <w:rPr>
          <w:rFonts w:ascii="Times New Roman" w:hAnsi="Times New Roman"/>
          <w:sz w:val="24"/>
          <w:szCs w:val="24"/>
          <w:lang w:val="en-US"/>
        </w:rPr>
        <w:t xml:space="preserve">Fig. 2. Public charging infrastructure </w:t>
      </w:r>
    </w:p>
    <w:p w:rsidR="00722862" w:rsidRPr="00722862" w:rsidRDefault="00722862" w:rsidP="00EA6F0C">
      <w:pPr>
        <w:spacing w:line="360" w:lineRule="auto"/>
        <w:rPr>
          <w:rFonts w:ascii="Times New Roman" w:hAnsi="Times New Roman"/>
          <w:sz w:val="24"/>
          <w:szCs w:val="24"/>
          <w:lang w:val="en-US"/>
        </w:rPr>
      </w:pPr>
      <w:r w:rsidRPr="00722862">
        <w:rPr>
          <w:rFonts w:ascii="Times New Roman" w:hAnsi="Times New Roman"/>
          <w:sz w:val="24"/>
          <w:szCs w:val="24"/>
          <w:lang w:val="en-US"/>
        </w:rPr>
        <w:t xml:space="preserve">and respective BEV market share by country </w:t>
      </w:r>
      <w:r>
        <w:rPr>
          <w:rFonts w:ascii="Times New Roman" w:hAnsi="Times New Roman"/>
          <w:sz w:val="24"/>
          <w:szCs w:val="24"/>
          <w:lang w:val="en-US"/>
        </w:rPr>
        <w:t xml:space="preserve">       </w:t>
      </w:r>
      <w:r w:rsidR="00DC3288">
        <w:rPr>
          <w:rFonts w:ascii="Times New Roman" w:hAnsi="Times New Roman"/>
          <w:sz w:val="24"/>
          <w:szCs w:val="24"/>
          <w:lang w:val="en-US"/>
        </w:rPr>
        <w:tab/>
      </w:r>
      <w:r w:rsidR="00DC3288">
        <w:rPr>
          <w:rFonts w:ascii="Times New Roman" w:hAnsi="Times New Roman"/>
          <w:sz w:val="24"/>
          <w:szCs w:val="24"/>
          <w:lang w:val="en-US"/>
        </w:rPr>
        <w:tab/>
      </w:r>
      <w:r w:rsidR="00DC3288">
        <w:rPr>
          <w:rFonts w:ascii="Times New Roman" w:hAnsi="Times New Roman"/>
          <w:sz w:val="24"/>
          <w:szCs w:val="24"/>
          <w:lang w:val="en-US"/>
        </w:rPr>
        <w:tab/>
      </w:r>
      <w:r w:rsidR="00DC3288">
        <w:rPr>
          <w:rFonts w:ascii="Times New Roman" w:hAnsi="Times New Roman"/>
          <w:sz w:val="24"/>
          <w:szCs w:val="24"/>
          <w:lang w:val="en-US"/>
        </w:rPr>
        <w:tab/>
      </w:r>
      <w:r w:rsidR="00DC3288">
        <w:rPr>
          <w:rFonts w:ascii="Times New Roman" w:hAnsi="Times New Roman"/>
          <w:sz w:val="24"/>
          <w:szCs w:val="24"/>
          <w:lang w:val="en-US"/>
        </w:rPr>
        <w:tab/>
        <w:t xml:space="preserve">          </w:t>
      </w:r>
      <w:r>
        <w:rPr>
          <w:rFonts w:ascii="Times New Roman" w:hAnsi="Times New Roman"/>
          <w:sz w:val="24"/>
          <w:szCs w:val="24"/>
          <w:lang w:val="en-US"/>
        </w:rPr>
        <w:t>16</w:t>
      </w:r>
    </w:p>
    <w:p w:rsidR="00722862" w:rsidRDefault="00722862" w:rsidP="00EA6F0C">
      <w:pPr>
        <w:spacing w:line="360" w:lineRule="auto"/>
        <w:rPr>
          <w:rFonts w:ascii="Times New Roman" w:hAnsi="Times New Roman"/>
          <w:sz w:val="24"/>
          <w:szCs w:val="24"/>
          <w:lang w:val="en-US"/>
        </w:rPr>
      </w:pPr>
      <w:r w:rsidRPr="00722862">
        <w:rPr>
          <w:rFonts w:ascii="Times New Roman" w:hAnsi="Times New Roman"/>
          <w:sz w:val="24"/>
          <w:szCs w:val="24"/>
          <w:lang w:val="en-US"/>
        </w:rPr>
        <w:t>Fig. 3. Public fast</w:t>
      </w:r>
      <w:r w:rsidR="00287DC8">
        <w:rPr>
          <w:rFonts w:ascii="Times New Roman" w:hAnsi="Times New Roman"/>
          <w:sz w:val="24"/>
          <w:szCs w:val="24"/>
          <w:lang w:val="en-US"/>
        </w:rPr>
        <w:t>-</w:t>
      </w:r>
      <w:r w:rsidRPr="00722862">
        <w:rPr>
          <w:rFonts w:ascii="Times New Roman" w:hAnsi="Times New Roman"/>
          <w:sz w:val="24"/>
          <w:szCs w:val="24"/>
          <w:lang w:val="en-US"/>
        </w:rPr>
        <w:t xml:space="preserve">charging infrastructure </w:t>
      </w:r>
    </w:p>
    <w:p w:rsidR="00722862" w:rsidRPr="00722862" w:rsidRDefault="00722862" w:rsidP="00EA6F0C">
      <w:pPr>
        <w:spacing w:line="360" w:lineRule="auto"/>
        <w:rPr>
          <w:rFonts w:ascii="Times New Roman" w:hAnsi="Times New Roman"/>
          <w:sz w:val="24"/>
          <w:szCs w:val="24"/>
          <w:lang w:val="en-US"/>
        </w:rPr>
      </w:pPr>
      <w:r w:rsidRPr="00722862">
        <w:rPr>
          <w:rFonts w:ascii="Times New Roman" w:hAnsi="Times New Roman"/>
          <w:sz w:val="24"/>
          <w:szCs w:val="24"/>
          <w:lang w:val="en-US"/>
        </w:rPr>
        <w:t xml:space="preserve">and respective BEV market share by country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16</w:t>
      </w:r>
    </w:p>
    <w:p w:rsidR="00722862" w:rsidRPr="00722862" w:rsidRDefault="00722862" w:rsidP="00EA6F0C">
      <w:pPr>
        <w:spacing w:line="360" w:lineRule="auto"/>
        <w:rPr>
          <w:rFonts w:ascii="Times New Roman" w:hAnsi="Times New Roman"/>
          <w:sz w:val="24"/>
          <w:szCs w:val="24"/>
          <w:lang w:val="en-US"/>
        </w:rPr>
      </w:pPr>
      <w:r w:rsidRPr="00722862">
        <w:rPr>
          <w:rFonts w:ascii="Times New Roman" w:hAnsi="Times New Roman"/>
          <w:sz w:val="24"/>
          <w:szCs w:val="24"/>
          <w:lang w:val="en-US"/>
        </w:rPr>
        <w:t xml:space="preserve">Fig. 4. Government grant and respective BEV market share by country </w:t>
      </w:r>
      <w:r w:rsidR="00DC3288">
        <w:rPr>
          <w:rFonts w:ascii="Times New Roman" w:hAnsi="Times New Roman"/>
          <w:sz w:val="24"/>
          <w:szCs w:val="24"/>
          <w:lang w:val="en-US"/>
        </w:rPr>
        <w:tab/>
      </w:r>
      <w:r w:rsidR="00DC3288">
        <w:rPr>
          <w:rFonts w:ascii="Times New Roman" w:hAnsi="Times New Roman"/>
          <w:sz w:val="24"/>
          <w:szCs w:val="24"/>
          <w:lang w:val="en-US"/>
        </w:rPr>
        <w:tab/>
        <w:t xml:space="preserve">          17</w:t>
      </w:r>
    </w:p>
    <w:p w:rsidR="001D79B5" w:rsidRDefault="00722862" w:rsidP="00EA6F0C">
      <w:pPr>
        <w:spacing w:line="360" w:lineRule="auto"/>
        <w:rPr>
          <w:rFonts w:ascii="Times New Roman" w:hAnsi="Times New Roman"/>
          <w:sz w:val="24"/>
          <w:szCs w:val="24"/>
          <w:lang w:val="en-US"/>
        </w:rPr>
      </w:pPr>
      <w:r w:rsidRPr="00722862">
        <w:rPr>
          <w:rFonts w:ascii="Times New Roman" w:hAnsi="Times New Roman"/>
          <w:sz w:val="24"/>
          <w:szCs w:val="24"/>
          <w:lang w:val="en-US"/>
        </w:rPr>
        <w:t>Fig. 5. Breakdown of tax incentives by country</w:t>
      </w:r>
      <w:r w:rsidR="00DC3288">
        <w:rPr>
          <w:rFonts w:ascii="Times New Roman" w:hAnsi="Times New Roman"/>
          <w:sz w:val="24"/>
          <w:szCs w:val="24"/>
          <w:lang w:val="en-US"/>
        </w:rPr>
        <w:tab/>
      </w:r>
      <w:r w:rsidR="00DC3288">
        <w:rPr>
          <w:rFonts w:ascii="Times New Roman" w:hAnsi="Times New Roman"/>
          <w:sz w:val="24"/>
          <w:szCs w:val="24"/>
          <w:lang w:val="en-US"/>
        </w:rPr>
        <w:tab/>
      </w:r>
      <w:r w:rsidR="00DC3288">
        <w:rPr>
          <w:rFonts w:ascii="Times New Roman" w:hAnsi="Times New Roman"/>
          <w:sz w:val="24"/>
          <w:szCs w:val="24"/>
          <w:lang w:val="en-US"/>
        </w:rPr>
        <w:tab/>
      </w:r>
      <w:r w:rsidR="00DC3288">
        <w:rPr>
          <w:rFonts w:ascii="Times New Roman" w:hAnsi="Times New Roman"/>
          <w:sz w:val="24"/>
          <w:szCs w:val="24"/>
          <w:lang w:val="en-US"/>
        </w:rPr>
        <w:tab/>
      </w:r>
      <w:r w:rsidR="00DC3288">
        <w:rPr>
          <w:rFonts w:ascii="Times New Roman" w:hAnsi="Times New Roman"/>
          <w:sz w:val="24"/>
          <w:szCs w:val="24"/>
          <w:lang w:val="en-US"/>
        </w:rPr>
        <w:tab/>
        <w:t xml:space="preserve">          17</w:t>
      </w:r>
    </w:p>
    <w:p w:rsidR="00DC3288" w:rsidRPr="005943CC" w:rsidRDefault="00DC3288" w:rsidP="00EA6F0C">
      <w:pPr>
        <w:spacing w:line="360" w:lineRule="auto"/>
        <w:rPr>
          <w:rFonts w:ascii="Times New Roman" w:hAnsi="Times New Roman"/>
          <w:b/>
          <w:sz w:val="24"/>
          <w:szCs w:val="24"/>
          <w:lang w:val="en-US"/>
        </w:rPr>
      </w:pPr>
    </w:p>
    <w:p w:rsidR="006A0807" w:rsidRDefault="006A0807" w:rsidP="002F72B8">
      <w:pPr>
        <w:rPr>
          <w:rFonts w:ascii="Times New Roman" w:hAnsi="Times New Roman"/>
          <w:sz w:val="24"/>
          <w:szCs w:val="24"/>
          <w:lang w:val="en-US"/>
        </w:rPr>
      </w:pPr>
    </w:p>
    <w:p w:rsidR="006A0807" w:rsidRPr="006A0807" w:rsidRDefault="006A0807" w:rsidP="002F72B8">
      <w:pPr>
        <w:rPr>
          <w:rFonts w:ascii="Times New Roman" w:hAnsi="Times New Roman"/>
          <w:sz w:val="24"/>
          <w:szCs w:val="24"/>
          <w:lang w:val="en-US"/>
        </w:rPr>
        <w:sectPr w:rsidR="006A0807" w:rsidRPr="006A0807" w:rsidSect="00B25040">
          <w:pgSz w:w="11906" w:h="16838"/>
          <w:pgMar w:top="1418" w:right="1558" w:bottom="1418" w:left="1701" w:header="709" w:footer="709" w:gutter="0"/>
          <w:pgNumType w:fmt="lowerRoman"/>
          <w:cols w:space="708"/>
          <w:docGrid w:linePitch="360"/>
        </w:sectPr>
      </w:pPr>
    </w:p>
    <w:p w:rsidR="00855767" w:rsidRDefault="00855767" w:rsidP="00F84058">
      <w:pPr>
        <w:pStyle w:val="1"/>
        <w:numPr>
          <w:ilvl w:val="0"/>
          <w:numId w:val="0"/>
        </w:numPr>
        <w:ind w:left="431"/>
        <w:rPr>
          <w:lang w:val="en-US"/>
        </w:rPr>
      </w:pPr>
      <w:bookmarkStart w:id="6" w:name="_Toc535248645"/>
      <w:r w:rsidRPr="005943CC">
        <w:rPr>
          <w:lang w:val="en-US"/>
        </w:rPr>
        <w:lastRenderedPageBreak/>
        <w:t xml:space="preserve">List of </w:t>
      </w:r>
      <w:r w:rsidR="004D2B61">
        <w:rPr>
          <w:lang w:val="en-US"/>
        </w:rPr>
        <w:t>graphs</w:t>
      </w:r>
      <w:bookmarkEnd w:id="6"/>
    </w:p>
    <w:p w:rsidR="00EA6F0C" w:rsidRPr="00EA6F0C" w:rsidRDefault="00EA6F0C" w:rsidP="00EA6F0C">
      <w:pPr>
        <w:spacing w:line="360" w:lineRule="auto"/>
        <w:rPr>
          <w:rFonts w:ascii="Times New Roman" w:hAnsi="Times New Roman"/>
          <w:sz w:val="24"/>
          <w:szCs w:val="24"/>
          <w:lang w:val="en-US"/>
        </w:rPr>
      </w:pP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1.1 Histogram of ‘BEV registrations’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32</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1.2 Probability plot of ‘BEV registrations’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32</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1.3 Box-Cox Plot of ‘BEV registrations’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32</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 xml:space="preserve">Graph 1.4 Histogram of ‘ln BEV registrations’ </w:t>
      </w:r>
      <w:proofErr w:type="gramStart"/>
      <w:r w:rsidRPr="00DC3288">
        <w:rPr>
          <w:rFonts w:ascii="Times New Roman" w:hAnsi="Times New Roman"/>
          <w:sz w:val="24"/>
          <w:szCs w:val="24"/>
          <w:lang w:val="en-US"/>
        </w:rPr>
        <w:tab/>
        <w:t xml:space="preserve">  </w:t>
      </w:r>
      <w:r>
        <w:rPr>
          <w:rFonts w:ascii="Times New Roman" w:hAnsi="Times New Roman"/>
          <w:sz w:val="24"/>
          <w:szCs w:val="24"/>
          <w:lang w:val="en-US"/>
        </w:rPr>
        <w:tab/>
      </w:r>
      <w:proofErr w:type="gram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33</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1.5 Probability plot of ‘ln BEV registrations’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33</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1.6 Residual plots for ‘BEV registrations’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33</w:t>
      </w:r>
    </w:p>
    <w:p w:rsidR="00855767"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1.7 Residual plots for ‘ln BEV registrations’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33</w:t>
      </w:r>
    </w:p>
    <w:p w:rsid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 xml:space="preserve">Graph </w:t>
      </w:r>
      <w:r w:rsidR="00F201CD">
        <w:rPr>
          <w:rFonts w:ascii="Times New Roman" w:hAnsi="Times New Roman"/>
          <w:sz w:val="24"/>
          <w:szCs w:val="24"/>
          <w:lang w:val="en-US"/>
        </w:rPr>
        <w:t>2</w:t>
      </w:r>
      <w:r w:rsidRPr="00DC3288">
        <w:rPr>
          <w:rFonts w:ascii="Times New Roman" w:hAnsi="Times New Roman"/>
          <w:sz w:val="24"/>
          <w:szCs w:val="24"/>
          <w:lang w:val="en-US"/>
        </w:rPr>
        <w:t>.1. Residual plots for model specification</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with charging infrastructure (Step 5)</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41</w:t>
      </w:r>
    </w:p>
    <w:p w:rsid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 xml:space="preserve">Graph </w:t>
      </w:r>
      <w:r w:rsidR="00F201CD">
        <w:rPr>
          <w:rFonts w:ascii="Times New Roman" w:hAnsi="Times New Roman"/>
          <w:sz w:val="24"/>
          <w:szCs w:val="24"/>
          <w:lang w:val="en-US"/>
        </w:rPr>
        <w:t>2</w:t>
      </w:r>
      <w:r w:rsidRPr="00DC3288">
        <w:rPr>
          <w:rFonts w:ascii="Times New Roman" w:hAnsi="Times New Roman"/>
          <w:sz w:val="24"/>
          <w:szCs w:val="24"/>
          <w:lang w:val="en-US"/>
        </w:rPr>
        <w:t>.2. Anderson-Darling test of residuals</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for model specification with charging infrastructure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41</w:t>
      </w:r>
    </w:p>
    <w:p w:rsid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3.</w:t>
      </w:r>
      <w:r w:rsidR="00F201CD">
        <w:rPr>
          <w:rFonts w:ascii="Times New Roman" w:hAnsi="Times New Roman"/>
          <w:sz w:val="24"/>
          <w:szCs w:val="24"/>
          <w:lang w:val="en-US"/>
        </w:rPr>
        <w:t>1</w:t>
      </w:r>
      <w:r w:rsidRPr="00DC3288">
        <w:rPr>
          <w:rFonts w:ascii="Times New Roman" w:hAnsi="Times New Roman"/>
          <w:sz w:val="24"/>
          <w:szCs w:val="24"/>
          <w:lang w:val="en-US"/>
        </w:rPr>
        <w:t xml:space="preserve">. Residual plots for model specification </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with fast</w:t>
      </w:r>
      <w:r w:rsidR="00287DC8">
        <w:rPr>
          <w:rFonts w:ascii="Times New Roman" w:hAnsi="Times New Roman"/>
          <w:sz w:val="24"/>
          <w:szCs w:val="24"/>
          <w:lang w:val="en-US"/>
        </w:rPr>
        <w:t>-</w:t>
      </w:r>
      <w:r w:rsidRPr="00DC3288">
        <w:rPr>
          <w:rFonts w:ascii="Times New Roman" w:hAnsi="Times New Roman"/>
          <w:sz w:val="24"/>
          <w:szCs w:val="24"/>
          <w:lang w:val="en-US"/>
        </w:rPr>
        <w:t>charging infrastructure (Step 5)</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44</w:t>
      </w:r>
    </w:p>
    <w:p w:rsid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Graph 3.</w:t>
      </w:r>
      <w:r w:rsidR="00F201CD">
        <w:rPr>
          <w:rFonts w:ascii="Times New Roman" w:hAnsi="Times New Roman"/>
          <w:sz w:val="24"/>
          <w:szCs w:val="24"/>
          <w:lang w:val="en-US"/>
        </w:rPr>
        <w:t>2</w:t>
      </w:r>
      <w:r w:rsidRPr="00DC3288">
        <w:rPr>
          <w:rFonts w:ascii="Times New Roman" w:hAnsi="Times New Roman"/>
          <w:sz w:val="24"/>
          <w:szCs w:val="24"/>
          <w:lang w:val="en-US"/>
        </w:rPr>
        <w:t>. Anderson-Darling test of residuals</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for model specification with fast</w:t>
      </w:r>
      <w:r w:rsidR="00287DC8">
        <w:rPr>
          <w:rFonts w:ascii="Times New Roman" w:hAnsi="Times New Roman"/>
          <w:sz w:val="24"/>
          <w:szCs w:val="24"/>
          <w:lang w:val="en-US"/>
        </w:rPr>
        <w:t>-</w:t>
      </w:r>
      <w:r w:rsidRPr="00DC3288">
        <w:rPr>
          <w:rFonts w:ascii="Times New Roman" w:hAnsi="Times New Roman"/>
          <w:sz w:val="24"/>
          <w:szCs w:val="24"/>
          <w:lang w:val="en-US"/>
        </w:rPr>
        <w:t>charging infrastructure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44</w:t>
      </w:r>
    </w:p>
    <w:p w:rsidR="00855767" w:rsidRDefault="00855767">
      <w:pPr>
        <w:rPr>
          <w:rFonts w:ascii="Times New Roman" w:hAnsi="Times New Roman"/>
          <w:sz w:val="24"/>
          <w:szCs w:val="24"/>
          <w:lang w:val="en-US"/>
        </w:rPr>
      </w:pPr>
      <w:r>
        <w:rPr>
          <w:rFonts w:ascii="Times New Roman" w:hAnsi="Times New Roman"/>
          <w:sz w:val="24"/>
          <w:szCs w:val="24"/>
          <w:lang w:val="en-US"/>
        </w:rPr>
        <w:br w:type="page"/>
      </w:r>
    </w:p>
    <w:p w:rsidR="00605B1F" w:rsidRDefault="00605B1F" w:rsidP="00F84058">
      <w:pPr>
        <w:pStyle w:val="1"/>
        <w:numPr>
          <w:ilvl w:val="0"/>
          <w:numId w:val="0"/>
        </w:numPr>
        <w:ind w:left="431"/>
        <w:rPr>
          <w:lang w:val="en-US"/>
        </w:rPr>
      </w:pPr>
      <w:bookmarkStart w:id="7" w:name="_Toc535248646"/>
      <w:r>
        <w:rPr>
          <w:lang w:val="en-US"/>
        </w:rPr>
        <w:lastRenderedPageBreak/>
        <w:t>List of tables</w:t>
      </w:r>
      <w:bookmarkEnd w:id="7"/>
    </w:p>
    <w:p w:rsidR="00EA6F0C" w:rsidRDefault="00EA6F0C" w:rsidP="00EA6F0C">
      <w:pPr>
        <w:spacing w:line="360" w:lineRule="auto"/>
        <w:rPr>
          <w:rFonts w:ascii="Times New Roman" w:hAnsi="Times New Roman"/>
          <w:sz w:val="24"/>
          <w:szCs w:val="24"/>
          <w:lang w:val="en-US"/>
        </w:rPr>
      </w:pP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Table 1. Model variables: descriptions and sources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30</w:t>
      </w:r>
    </w:p>
    <w:p w:rsidR="00DC3288" w:rsidRP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Table 2. Summary: EV promotion policies worldwide in 2016</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31</w:t>
      </w:r>
    </w:p>
    <w:p w:rsidR="00605B1F"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Table 3. Regression output: linear vs polynomial model</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w:t>
      </w:r>
      <w:r w:rsidR="006F79C7">
        <w:rPr>
          <w:rFonts w:ascii="Times New Roman" w:hAnsi="Times New Roman"/>
          <w:sz w:val="24"/>
          <w:szCs w:val="24"/>
          <w:lang w:val="en-US"/>
        </w:rPr>
        <w:t>2</w:t>
      </w:r>
    </w:p>
    <w:p w:rsidR="00DC3288" w:rsidRDefault="00DC3288" w:rsidP="00EA6F0C">
      <w:pPr>
        <w:spacing w:line="360" w:lineRule="auto"/>
        <w:rPr>
          <w:rFonts w:ascii="Times New Roman" w:hAnsi="Times New Roman"/>
          <w:sz w:val="24"/>
          <w:szCs w:val="24"/>
          <w:lang w:val="en-US"/>
        </w:rPr>
      </w:pPr>
      <w:r w:rsidRPr="00DC3288">
        <w:rPr>
          <w:rFonts w:ascii="Times New Roman" w:hAnsi="Times New Roman"/>
          <w:sz w:val="24"/>
          <w:szCs w:val="24"/>
          <w:lang w:val="en-US"/>
        </w:rPr>
        <w:t xml:space="preserve">Table 4. </w:t>
      </w:r>
      <w:proofErr w:type="spellStart"/>
      <w:r w:rsidRPr="00DC3288">
        <w:rPr>
          <w:rFonts w:ascii="Times New Roman" w:hAnsi="Times New Roman"/>
          <w:sz w:val="24"/>
          <w:szCs w:val="24"/>
          <w:lang w:val="en-US"/>
        </w:rPr>
        <w:t>Levene’s</w:t>
      </w:r>
      <w:proofErr w:type="spellEnd"/>
      <w:r w:rsidRPr="00DC3288">
        <w:rPr>
          <w:rFonts w:ascii="Times New Roman" w:hAnsi="Times New Roman"/>
          <w:sz w:val="24"/>
          <w:szCs w:val="24"/>
          <w:lang w:val="en-US"/>
        </w:rPr>
        <w:t xml:space="preserve"> test calculation</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32</w:t>
      </w:r>
    </w:p>
    <w:p w:rsidR="00841623" w:rsidRPr="00841623" w:rsidRDefault="00841623" w:rsidP="00EA6F0C">
      <w:pPr>
        <w:spacing w:line="360" w:lineRule="auto"/>
        <w:rPr>
          <w:rFonts w:ascii="Times New Roman" w:hAnsi="Times New Roman"/>
          <w:sz w:val="24"/>
          <w:szCs w:val="24"/>
          <w:lang w:val="en-US"/>
        </w:rPr>
      </w:pPr>
      <w:r w:rsidRPr="00841623">
        <w:rPr>
          <w:rFonts w:ascii="Times New Roman" w:hAnsi="Times New Roman"/>
          <w:sz w:val="24"/>
          <w:szCs w:val="24"/>
          <w:lang w:val="en-US"/>
        </w:rPr>
        <w:t>Table 5. Welch’s test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34</w:t>
      </w:r>
    </w:p>
    <w:p w:rsidR="00841623" w:rsidRPr="00841623" w:rsidRDefault="00841623" w:rsidP="00EA6F0C">
      <w:pPr>
        <w:spacing w:line="360" w:lineRule="auto"/>
        <w:rPr>
          <w:rFonts w:ascii="Times New Roman" w:hAnsi="Times New Roman"/>
          <w:sz w:val="24"/>
          <w:szCs w:val="24"/>
          <w:lang w:val="en-US"/>
        </w:rPr>
      </w:pPr>
      <w:r w:rsidRPr="00841623">
        <w:rPr>
          <w:rFonts w:ascii="Times New Roman" w:hAnsi="Times New Roman"/>
          <w:sz w:val="24"/>
          <w:szCs w:val="24"/>
          <w:lang w:val="en-US"/>
        </w:rPr>
        <w:t>Table 6. Games-Howell pairwise comparisons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38</w:t>
      </w:r>
    </w:p>
    <w:p w:rsidR="00DC3288" w:rsidRPr="00DC3288" w:rsidRDefault="00841623" w:rsidP="00EA6F0C">
      <w:pPr>
        <w:spacing w:line="360" w:lineRule="auto"/>
        <w:rPr>
          <w:rFonts w:ascii="Times New Roman" w:hAnsi="Times New Roman"/>
          <w:sz w:val="24"/>
          <w:szCs w:val="24"/>
          <w:lang w:val="en-US"/>
        </w:rPr>
      </w:pPr>
      <w:r w:rsidRPr="00841623">
        <w:rPr>
          <w:rFonts w:ascii="Times New Roman" w:hAnsi="Times New Roman"/>
          <w:sz w:val="24"/>
          <w:szCs w:val="24"/>
          <w:lang w:val="en-US"/>
        </w:rPr>
        <w:t>Table 7. Pearson correlations between model variables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38</w:t>
      </w:r>
    </w:p>
    <w:p w:rsidR="00605B1F" w:rsidRDefault="00841623" w:rsidP="00553A46">
      <w:pPr>
        <w:spacing w:line="360" w:lineRule="auto"/>
        <w:rPr>
          <w:rFonts w:ascii="Times New Roman" w:hAnsi="Times New Roman"/>
          <w:sz w:val="24"/>
          <w:szCs w:val="24"/>
          <w:lang w:val="en-US"/>
        </w:rPr>
      </w:pPr>
      <w:r w:rsidRPr="00841623">
        <w:rPr>
          <w:rFonts w:ascii="Times New Roman" w:hAnsi="Times New Roman"/>
          <w:sz w:val="24"/>
          <w:szCs w:val="24"/>
          <w:lang w:val="en-US"/>
        </w:rPr>
        <w:t>Table 8. Regression outputs with charging infrastructure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40</w:t>
      </w:r>
    </w:p>
    <w:p w:rsidR="00841623" w:rsidRPr="00841623" w:rsidRDefault="00841623" w:rsidP="00841623">
      <w:pPr>
        <w:spacing w:line="360" w:lineRule="auto"/>
        <w:rPr>
          <w:rFonts w:ascii="Times New Roman" w:hAnsi="Times New Roman"/>
          <w:sz w:val="24"/>
          <w:szCs w:val="24"/>
          <w:lang w:val="en-US"/>
        </w:rPr>
      </w:pPr>
      <w:r w:rsidRPr="00841623">
        <w:rPr>
          <w:rFonts w:ascii="Times New Roman" w:hAnsi="Times New Roman"/>
          <w:sz w:val="24"/>
          <w:szCs w:val="24"/>
          <w:lang w:val="en-US"/>
        </w:rPr>
        <w:t xml:space="preserve">Table 9. Sensitivity tests of the model with charging stations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42</w:t>
      </w:r>
    </w:p>
    <w:p w:rsidR="00841623" w:rsidRPr="00841623" w:rsidRDefault="00841623" w:rsidP="00841623">
      <w:pPr>
        <w:spacing w:line="360" w:lineRule="auto"/>
        <w:rPr>
          <w:rFonts w:ascii="Times New Roman" w:hAnsi="Times New Roman"/>
          <w:sz w:val="24"/>
          <w:szCs w:val="24"/>
          <w:lang w:val="en-US"/>
        </w:rPr>
      </w:pPr>
      <w:r w:rsidRPr="00841623">
        <w:rPr>
          <w:rFonts w:ascii="Times New Roman" w:hAnsi="Times New Roman"/>
          <w:sz w:val="24"/>
          <w:szCs w:val="24"/>
          <w:lang w:val="en-US"/>
        </w:rPr>
        <w:t>Table 10. Regression outputs with fast</w:t>
      </w:r>
      <w:r w:rsidR="00287DC8">
        <w:rPr>
          <w:rFonts w:ascii="Times New Roman" w:hAnsi="Times New Roman"/>
          <w:sz w:val="24"/>
          <w:szCs w:val="24"/>
          <w:lang w:val="en-US"/>
        </w:rPr>
        <w:t>-</w:t>
      </w:r>
      <w:r w:rsidRPr="00841623">
        <w:rPr>
          <w:rFonts w:ascii="Times New Roman" w:hAnsi="Times New Roman"/>
          <w:sz w:val="24"/>
          <w:szCs w:val="24"/>
          <w:lang w:val="en-US"/>
        </w:rPr>
        <w:t xml:space="preserve">charging infrastructure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43</w:t>
      </w:r>
    </w:p>
    <w:p w:rsidR="00841623" w:rsidRPr="00DC3288" w:rsidRDefault="00841623" w:rsidP="00841623">
      <w:pPr>
        <w:spacing w:line="360" w:lineRule="auto"/>
        <w:rPr>
          <w:rFonts w:ascii="Times New Roman" w:hAnsi="Times New Roman"/>
          <w:sz w:val="24"/>
          <w:szCs w:val="24"/>
          <w:lang w:val="en-US"/>
        </w:rPr>
      </w:pPr>
      <w:r w:rsidRPr="00841623">
        <w:rPr>
          <w:rFonts w:ascii="Times New Roman" w:hAnsi="Times New Roman"/>
          <w:sz w:val="24"/>
          <w:szCs w:val="24"/>
          <w:lang w:val="en-US"/>
        </w:rPr>
        <w:t>Table 11. Sensitivity tests of the model with fast</w:t>
      </w:r>
      <w:r w:rsidR="00287DC8">
        <w:rPr>
          <w:rFonts w:ascii="Times New Roman" w:hAnsi="Times New Roman"/>
          <w:sz w:val="24"/>
          <w:szCs w:val="24"/>
          <w:lang w:val="en-US"/>
        </w:rPr>
        <w:t>-</w:t>
      </w:r>
      <w:r w:rsidRPr="00841623">
        <w:rPr>
          <w:rFonts w:ascii="Times New Roman" w:hAnsi="Times New Roman"/>
          <w:sz w:val="24"/>
          <w:szCs w:val="24"/>
          <w:lang w:val="en-US"/>
        </w:rPr>
        <w:t>charging stations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45</w:t>
      </w:r>
    </w:p>
    <w:p w:rsidR="00605B1F" w:rsidRDefault="00605B1F" w:rsidP="002F72B8">
      <w:pPr>
        <w:rPr>
          <w:rFonts w:ascii="Times New Roman" w:hAnsi="Times New Roman"/>
          <w:b/>
          <w:sz w:val="24"/>
          <w:szCs w:val="24"/>
          <w:lang w:val="en-US"/>
        </w:rPr>
      </w:pPr>
    </w:p>
    <w:p w:rsidR="00841623" w:rsidRDefault="00841623" w:rsidP="002F72B8">
      <w:pPr>
        <w:rPr>
          <w:rFonts w:ascii="Times New Roman" w:hAnsi="Times New Roman"/>
          <w:b/>
          <w:sz w:val="24"/>
          <w:szCs w:val="24"/>
          <w:lang w:val="en-US"/>
        </w:rPr>
        <w:sectPr w:rsidR="00841623" w:rsidSect="005943CC">
          <w:pgSz w:w="11906" w:h="16838"/>
          <w:pgMar w:top="1418" w:right="1418" w:bottom="1418" w:left="1701" w:header="709" w:footer="709" w:gutter="0"/>
          <w:pgNumType w:fmt="lowerRoman"/>
          <w:cols w:space="708"/>
          <w:docGrid w:linePitch="360"/>
        </w:sectPr>
      </w:pPr>
    </w:p>
    <w:p w:rsidR="00972D49" w:rsidRPr="00F84058" w:rsidRDefault="00972D49" w:rsidP="00F84058">
      <w:pPr>
        <w:pStyle w:val="1"/>
      </w:pPr>
      <w:bookmarkStart w:id="8" w:name="_Toc535248647"/>
      <w:bookmarkStart w:id="9" w:name="_Hlk535247789"/>
      <w:bookmarkStart w:id="10" w:name="_Hlk532681439"/>
      <w:proofErr w:type="spellStart"/>
      <w:r w:rsidRPr="00F84058">
        <w:lastRenderedPageBreak/>
        <w:t>Introduction</w:t>
      </w:r>
      <w:bookmarkEnd w:id="8"/>
      <w:proofErr w:type="spellEnd"/>
    </w:p>
    <w:bookmarkEnd w:id="9"/>
    <w:p w:rsidR="00972D49" w:rsidRDefault="00125ACB" w:rsidP="00CE182C">
      <w:pPr>
        <w:spacing w:after="120" w:line="360" w:lineRule="auto"/>
        <w:jc w:val="both"/>
        <w:rPr>
          <w:rFonts w:ascii="Times New Roman" w:hAnsi="Times New Roman"/>
          <w:sz w:val="24"/>
          <w:szCs w:val="24"/>
          <w:lang w:val="en-US"/>
        </w:rPr>
      </w:pPr>
      <w:r w:rsidRPr="00125ACB">
        <w:rPr>
          <w:rFonts w:ascii="Times New Roman" w:hAnsi="Times New Roman"/>
          <w:sz w:val="24"/>
          <w:szCs w:val="24"/>
          <w:lang w:val="en-US"/>
        </w:rPr>
        <w:t>G</w:t>
      </w:r>
      <w:r w:rsidR="00882815">
        <w:rPr>
          <w:rFonts w:ascii="Times New Roman" w:hAnsi="Times New Roman"/>
          <w:sz w:val="24"/>
          <w:szCs w:val="24"/>
          <w:lang w:val="en-US"/>
        </w:rPr>
        <w:t>lobal warming caused by g</w:t>
      </w:r>
      <w:r w:rsidRPr="00125ACB">
        <w:rPr>
          <w:rFonts w:ascii="Times New Roman" w:hAnsi="Times New Roman"/>
          <w:sz w:val="24"/>
          <w:szCs w:val="24"/>
          <w:lang w:val="en-US"/>
        </w:rPr>
        <w:t>reenhouse gas emissions ha</w:t>
      </w:r>
      <w:r w:rsidR="00882815">
        <w:rPr>
          <w:rFonts w:ascii="Times New Roman" w:hAnsi="Times New Roman"/>
          <w:sz w:val="24"/>
          <w:szCs w:val="24"/>
          <w:lang w:val="en-US"/>
        </w:rPr>
        <w:t>s</w:t>
      </w:r>
      <w:r w:rsidRPr="00125ACB">
        <w:rPr>
          <w:rFonts w:ascii="Times New Roman" w:hAnsi="Times New Roman"/>
          <w:sz w:val="24"/>
          <w:szCs w:val="24"/>
          <w:lang w:val="en-US"/>
        </w:rPr>
        <w:t xml:space="preserve"> devastating </w:t>
      </w:r>
      <w:r w:rsidR="00882815">
        <w:rPr>
          <w:rFonts w:ascii="Times New Roman" w:hAnsi="Times New Roman"/>
          <w:sz w:val="24"/>
          <w:szCs w:val="24"/>
          <w:lang w:val="en-US"/>
        </w:rPr>
        <w:t>consequences</w:t>
      </w:r>
      <w:r w:rsidR="000415DC">
        <w:rPr>
          <w:rFonts w:ascii="Times New Roman" w:hAnsi="Times New Roman"/>
          <w:sz w:val="24"/>
          <w:szCs w:val="24"/>
          <w:lang w:val="en-US"/>
        </w:rPr>
        <w:t xml:space="preserve">. </w:t>
      </w:r>
      <w:r w:rsidR="00882815">
        <w:rPr>
          <w:rFonts w:ascii="Times New Roman" w:hAnsi="Times New Roman"/>
          <w:sz w:val="24"/>
          <w:szCs w:val="24"/>
          <w:lang w:val="en-US"/>
        </w:rPr>
        <w:t xml:space="preserve">According to the latest </w:t>
      </w:r>
      <w:r w:rsidR="00A20CF6" w:rsidRPr="00A20CF6">
        <w:rPr>
          <w:rFonts w:ascii="Times New Roman" w:hAnsi="Times New Roman"/>
          <w:sz w:val="24"/>
          <w:szCs w:val="24"/>
          <w:lang w:val="en-US"/>
        </w:rPr>
        <w:t>Intergovernmental Panel on Climate Change</w:t>
      </w:r>
      <w:r w:rsidR="00A20CF6">
        <w:rPr>
          <w:rFonts w:ascii="Times New Roman" w:hAnsi="Times New Roman"/>
          <w:sz w:val="24"/>
          <w:szCs w:val="24"/>
          <w:lang w:val="en-US"/>
        </w:rPr>
        <w:t xml:space="preserve"> (IPCC)</w:t>
      </w:r>
      <w:r w:rsidR="00882815">
        <w:rPr>
          <w:rFonts w:ascii="Times New Roman" w:hAnsi="Times New Roman"/>
          <w:sz w:val="24"/>
          <w:szCs w:val="24"/>
          <w:lang w:val="en-US"/>
        </w:rPr>
        <w:t xml:space="preserve"> report, </w:t>
      </w:r>
      <w:r w:rsidR="003E111D">
        <w:rPr>
          <w:rFonts w:ascii="Times New Roman" w:hAnsi="Times New Roman"/>
          <w:sz w:val="24"/>
          <w:szCs w:val="24"/>
          <w:lang w:val="en-US"/>
        </w:rPr>
        <w:t>temperature increase</w:t>
      </w:r>
      <w:r w:rsidR="00DE12D5">
        <w:rPr>
          <w:rFonts w:ascii="Times New Roman" w:hAnsi="Times New Roman"/>
          <w:sz w:val="24"/>
          <w:szCs w:val="24"/>
          <w:lang w:val="en-US"/>
        </w:rPr>
        <w:t xml:space="preserve"> must be kept to a maximum of 1.5C, because even 0.5C </w:t>
      </w:r>
      <w:r w:rsidR="003E111D">
        <w:rPr>
          <w:rFonts w:ascii="Times New Roman" w:hAnsi="Times New Roman"/>
          <w:sz w:val="24"/>
          <w:szCs w:val="24"/>
          <w:lang w:val="en-US"/>
        </w:rPr>
        <w:t>beyond</w:t>
      </w:r>
      <w:r w:rsidR="00DE12D5">
        <w:rPr>
          <w:rFonts w:ascii="Times New Roman" w:hAnsi="Times New Roman"/>
          <w:sz w:val="24"/>
          <w:szCs w:val="24"/>
          <w:lang w:val="en-US"/>
        </w:rPr>
        <w:t xml:space="preserve"> would put millions of people under risks of drought, flood, extreme heat and food scarcity</w:t>
      </w:r>
      <w:r w:rsidR="00EB2503">
        <w:rPr>
          <w:rFonts w:ascii="Times New Roman" w:hAnsi="Times New Roman"/>
          <w:sz w:val="24"/>
          <w:szCs w:val="24"/>
          <w:lang w:val="en-US"/>
        </w:rPr>
        <w:t xml:space="preserve"> </w:t>
      </w:r>
      <w:r w:rsidR="00EB2503">
        <w:rPr>
          <w:rFonts w:ascii="Times New Roman" w:hAnsi="Times New Roman"/>
          <w:sz w:val="24"/>
          <w:szCs w:val="24"/>
          <w:lang w:val="en-US"/>
        </w:rPr>
        <w:fldChar w:fldCharType="begin" w:fldLock="1"/>
      </w:r>
      <w:r w:rsidR="007C2B90">
        <w:rPr>
          <w:rFonts w:ascii="Times New Roman" w:hAnsi="Times New Roman"/>
          <w:sz w:val="24"/>
          <w:szCs w:val="24"/>
          <w:lang w:val="en-US"/>
        </w:rPr>
        <w:instrText>ADDIN CSL_CITATION {"citationItems":[{"id":"ITEM-1","itemData":{"abstract":"The world’s leading climate scientists have warned there is only a dozen years for global warming to be kept to a maximum of 1.5C, beyond which even half a degree will significantly worsen the risks of drought, floods, extreme heat and poverty for hundreds of millions of people. The authors of the landmark report by the UN Intergovernmental Panel on Climate Change (IPCC) released on Monday say urgent and unprecedented changes are needed to reach the target, which they say is affordable and feasible although it lies at the most ambitious end of the Paris agreement pledge to keep temperatures between 1.5C and 2C. The half-degree difference could also prevent corals from being completely eradicated and ease pressure on the Arctic, according to the 1.5C study, which was launched after approval at a final plenary of all 195 countries in Incheon in South Korea that saw delegates hugging one another, with some in tears.","author":[{"dropping-particle":"","family":"Watts","given":"Jonathan","non-dropping-particle":"","parse-names":false,"suffix":""}],"container-title":"The Guardian","id":"ITEM-1","issued":{"date-parts":[["2018"]]},"title":"We have 12 years to limit climate change catastrophe, warns UN","type":"article-newspaper"},"uris":["http://www.mendeley.com/documents/?uuid=9250f1c4-e0a7-3eb0-aabd-b04c28bb92fd"]}],"mendeley":{"formattedCitation":"(Watts, 2018)","plainTextFormattedCitation":"(Watts, 2018)","previouslyFormattedCitation":"(Watts, 2018)"},"properties":{"noteIndex":0},"schema":"https://github.com/citation-style-language/schema/raw/master/csl-citation.json"}</w:instrText>
      </w:r>
      <w:r w:rsidR="00EB2503">
        <w:rPr>
          <w:rFonts w:ascii="Times New Roman" w:hAnsi="Times New Roman"/>
          <w:sz w:val="24"/>
          <w:szCs w:val="24"/>
          <w:lang w:val="en-US"/>
        </w:rPr>
        <w:fldChar w:fldCharType="separate"/>
      </w:r>
      <w:r w:rsidR="00EB2503" w:rsidRPr="00EB2503">
        <w:rPr>
          <w:rFonts w:ascii="Times New Roman" w:hAnsi="Times New Roman"/>
          <w:noProof/>
          <w:sz w:val="24"/>
          <w:szCs w:val="24"/>
          <w:lang w:val="en-US"/>
        </w:rPr>
        <w:t>(Watts, 2018)</w:t>
      </w:r>
      <w:r w:rsidR="00EB2503">
        <w:rPr>
          <w:rFonts w:ascii="Times New Roman" w:hAnsi="Times New Roman"/>
          <w:sz w:val="24"/>
          <w:szCs w:val="24"/>
          <w:lang w:val="en-US"/>
        </w:rPr>
        <w:fldChar w:fldCharType="end"/>
      </w:r>
      <w:r w:rsidR="00DE12D5">
        <w:rPr>
          <w:rFonts w:ascii="Times New Roman" w:hAnsi="Times New Roman"/>
          <w:sz w:val="24"/>
          <w:szCs w:val="24"/>
          <w:lang w:val="en-US"/>
        </w:rPr>
        <w:t xml:space="preserve">. </w:t>
      </w:r>
      <w:r w:rsidR="00FD371C">
        <w:rPr>
          <w:rFonts w:ascii="Times New Roman" w:hAnsi="Times New Roman"/>
          <w:sz w:val="24"/>
          <w:szCs w:val="24"/>
          <w:lang w:val="en-US"/>
        </w:rPr>
        <w:t>T</w:t>
      </w:r>
      <w:r w:rsidR="00513C3E">
        <w:rPr>
          <w:rFonts w:ascii="Times New Roman" w:hAnsi="Times New Roman"/>
          <w:sz w:val="24"/>
          <w:szCs w:val="24"/>
          <w:lang w:val="en-US"/>
        </w:rPr>
        <w:t>he t</w:t>
      </w:r>
      <w:r w:rsidR="00FD371C">
        <w:rPr>
          <w:rFonts w:ascii="Times New Roman" w:hAnsi="Times New Roman"/>
          <w:sz w:val="24"/>
          <w:szCs w:val="24"/>
          <w:lang w:val="en-US"/>
        </w:rPr>
        <w:t>ransport sector is responsible for a</w:t>
      </w:r>
      <w:r w:rsidR="00E32B91">
        <w:rPr>
          <w:rFonts w:ascii="Times New Roman" w:hAnsi="Times New Roman"/>
          <w:sz w:val="24"/>
          <w:szCs w:val="24"/>
          <w:lang w:val="en-US"/>
        </w:rPr>
        <w:t>bout</w:t>
      </w:r>
      <w:r w:rsidR="00FD371C">
        <w:rPr>
          <w:rFonts w:ascii="Times New Roman" w:hAnsi="Times New Roman"/>
          <w:sz w:val="24"/>
          <w:szCs w:val="24"/>
          <w:lang w:val="en-US"/>
        </w:rPr>
        <w:t xml:space="preserve"> </w:t>
      </w:r>
      <w:r w:rsidR="00384214">
        <w:rPr>
          <w:rFonts w:ascii="Times New Roman" w:hAnsi="Times New Roman"/>
          <w:sz w:val="24"/>
          <w:szCs w:val="24"/>
          <w:lang w:val="en-US"/>
        </w:rPr>
        <w:t>2</w:t>
      </w:r>
      <w:r w:rsidR="00FD371C">
        <w:rPr>
          <w:rFonts w:ascii="Times New Roman" w:hAnsi="Times New Roman"/>
          <w:sz w:val="24"/>
          <w:szCs w:val="24"/>
          <w:lang w:val="en-US"/>
        </w:rPr>
        <w:t>3</w:t>
      </w:r>
      <w:r w:rsidR="00384214">
        <w:rPr>
          <w:rFonts w:ascii="Times New Roman" w:hAnsi="Times New Roman"/>
          <w:sz w:val="24"/>
          <w:szCs w:val="24"/>
          <w:lang w:val="en-US"/>
        </w:rPr>
        <w:t xml:space="preserve"> % of </w:t>
      </w:r>
      <w:r w:rsidR="00FD371C">
        <w:rPr>
          <w:rFonts w:ascii="Times New Roman" w:hAnsi="Times New Roman"/>
          <w:sz w:val="24"/>
          <w:szCs w:val="24"/>
          <w:lang w:val="en-US"/>
        </w:rPr>
        <w:t>global</w:t>
      </w:r>
      <w:r w:rsidR="00384214">
        <w:rPr>
          <w:rFonts w:ascii="Times New Roman" w:hAnsi="Times New Roman"/>
          <w:sz w:val="24"/>
          <w:szCs w:val="24"/>
          <w:lang w:val="en-US"/>
        </w:rPr>
        <w:t xml:space="preserve"> emissions, </w:t>
      </w:r>
      <w:r w:rsidR="00FD371C">
        <w:rPr>
          <w:rFonts w:ascii="Times New Roman" w:hAnsi="Times New Roman"/>
          <w:sz w:val="24"/>
          <w:szCs w:val="24"/>
          <w:lang w:val="en-US"/>
        </w:rPr>
        <w:t xml:space="preserve">of which </w:t>
      </w:r>
      <w:r w:rsidR="007C2B90">
        <w:rPr>
          <w:rFonts w:ascii="Times New Roman" w:hAnsi="Times New Roman"/>
          <w:sz w:val="24"/>
          <w:szCs w:val="24"/>
          <w:lang w:val="en-US"/>
        </w:rPr>
        <w:t>6</w:t>
      </w:r>
      <w:r w:rsidR="00FD371C">
        <w:rPr>
          <w:rFonts w:ascii="Times New Roman" w:hAnsi="Times New Roman"/>
          <w:sz w:val="24"/>
          <w:szCs w:val="24"/>
          <w:lang w:val="en-US"/>
        </w:rPr>
        <w:t xml:space="preserve">0 % </w:t>
      </w:r>
      <w:r w:rsidR="00513C3E">
        <w:rPr>
          <w:rFonts w:ascii="Times New Roman" w:hAnsi="Times New Roman"/>
          <w:sz w:val="24"/>
          <w:szCs w:val="24"/>
          <w:lang w:val="en-US"/>
        </w:rPr>
        <w:t xml:space="preserve">are </w:t>
      </w:r>
      <w:r w:rsidR="00975AE6">
        <w:rPr>
          <w:rFonts w:ascii="Times New Roman" w:hAnsi="Times New Roman"/>
          <w:sz w:val="24"/>
          <w:szCs w:val="24"/>
          <w:lang w:val="en-US"/>
        </w:rPr>
        <w:t xml:space="preserve">produced by </w:t>
      </w:r>
      <w:r w:rsidR="007C2B90">
        <w:rPr>
          <w:rFonts w:ascii="Times New Roman" w:hAnsi="Times New Roman"/>
          <w:sz w:val="24"/>
          <w:szCs w:val="24"/>
          <w:lang w:val="en-US"/>
        </w:rPr>
        <w:t>passenger traffic</w:t>
      </w:r>
      <w:r w:rsidR="00F929CE">
        <w:rPr>
          <w:rFonts w:ascii="Times New Roman" w:hAnsi="Times New Roman"/>
          <w:sz w:val="24"/>
          <w:szCs w:val="24"/>
          <w:lang w:val="en-US"/>
        </w:rPr>
        <w:t xml:space="preserve"> </w:t>
      </w:r>
      <w:r w:rsidR="007C2B90">
        <w:rPr>
          <w:rFonts w:ascii="Times New Roman" w:hAnsi="Times New Roman"/>
          <w:sz w:val="24"/>
          <w:szCs w:val="24"/>
          <w:lang w:val="en-US"/>
        </w:rPr>
        <w:fldChar w:fldCharType="begin" w:fldLock="1"/>
      </w:r>
      <w:r w:rsidR="004F258E">
        <w:rPr>
          <w:rFonts w:ascii="Times New Roman" w:hAnsi="Times New Roman"/>
          <w:sz w:val="24"/>
          <w:szCs w:val="24"/>
          <w:lang w:val="en-US"/>
        </w:rPr>
        <w:instrText>ADDIN CSL_CITATION {"citationItems":[{"id":"ITEM-1","itemData":{"DOI":"10.1787/energy_tech-2014-en","ISBN":"978-92-64-17488-7","abstract":"Demonstate how technologies can contribute towards the 2C target; 20 Million electrical vehicles 2020; CLEAN ENERGY MINISTERIAL; SEAD Super Efficient Equipment and Appliance and Deployment Initiative - global best practices in building energy energy codes;","author":[{"dropping-particle":"","family":"IEA","given":"","non-dropping-particle":"","parse-names":false,"suffix":""}],"container-title":"Technology","id":"ITEM-1","issued":{"date-parts":[["2017"]]},"number-of-pages":"1-443","title":"Energy Technology Perspectives 2017","type":"report"},"uris":["http://www.mendeley.com/documents/?uuid=a8abbe07-61cd-3cdc-a121-7d74b7449bb6"]},{"id":"ITEM-2","itemData":{"abstract":"The Global Transportation Sector: CO2 Emissions on the Rise Economic globalization, higher living standards and the boom in tourism have spurred an increase in passenger and freight volumes since the end of the 20th century, a trend that is expected to continue through to 2050. The transportation sector is currently responsible for the fastest growth in CO2 emissions.","author":[{"dropping-particle":"","family":"Planete Energies","given":"","non-dropping-particle":"","parse-names":false,"suffix":""}],"id":"ITEM-2","issued":{"date-parts":[["2017"]]},"title":"Sustainable mobility","type":"report"},"uris":["http://www.mendeley.com/documents/?uuid=4534d923-8c0e-4d5b-9041-ab4a72cba47f"]}],"mendeley":{"formattedCitation":"(IEA, 2017; Planete Energies, 2017)","plainTextFormattedCitation":"(IEA, 2017; Planete Energies, 2017)","previouslyFormattedCitation":"(IEA, 2017; Planete Energies, 2017)"},"properties":{"noteIndex":0},"schema":"https://github.com/citation-style-language/schema/raw/master/csl-citation.json"}</w:instrText>
      </w:r>
      <w:r w:rsidR="007C2B90">
        <w:rPr>
          <w:rFonts w:ascii="Times New Roman" w:hAnsi="Times New Roman"/>
          <w:sz w:val="24"/>
          <w:szCs w:val="24"/>
          <w:lang w:val="en-US"/>
        </w:rPr>
        <w:fldChar w:fldCharType="separate"/>
      </w:r>
      <w:r w:rsidR="00E32B91" w:rsidRPr="00E32B91">
        <w:rPr>
          <w:rFonts w:ascii="Times New Roman" w:hAnsi="Times New Roman"/>
          <w:noProof/>
          <w:sz w:val="24"/>
          <w:szCs w:val="24"/>
          <w:lang w:val="en-US"/>
        </w:rPr>
        <w:t>(IEA, 2017; Planete Energies, 2017)</w:t>
      </w:r>
      <w:r w:rsidR="007C2B90">
        <w:rPr>
          <w:rFonts w:ascii="Times New Roman" w:hAnsi="Times New Roman"/>
          <w:sz w:val="24"/>
          <w:szCs w:val="24"/>
          <w:lang w:val="en-US"/>
        </w:rPr>
        <w:fldChar w:fldCharType="end"/>
      </w:r>
      <w:r w:rsidR="007C2B90">
        <w:rPr>
          <w:rFonts w:ascii="Times New Roman" w:hAnsi="Times New Roman"/>
          <w:sz w:val="24"/>
          <w:szCs w:val="24"/>
          <w:lang w:val="en-US"/>
        </w:rPr>
        <w:t xml:space="preserve">. </w:t>
      </w:r>
      <w:r w:rsidR="001A7F80">
        <w:rPr>
          <w:rFonts w:ascii="Times New Roman" w:hAnsi="Times New Roman"/>
          <w:sz w:val="24"/>
          <w:szCs w:val="24"/>
          <w:lang w:val="en-US"/>
        </w:rPr>
        <w:t>T</w:t>
      </w:r>
      <w:r w:rsidR="0073091D">
        <w:rPr>
          <w:rFonts w:ascii="Times New Roman" w:hAnsi="Times New Roman"/>
          <w:sz w:val="24"/>
          <w:szCs w:val="24"/>
          <w:lang w:val="en-US"/>
        </w:rPr>
        <w:t xml:space="preserve">he shift to e-mobility was introduced by national governments as </w:t>
      </w:r>
      <w:r w:rsidR="00E32B91">
        <w:rPr>
          <w:rFonts w:ascii="Times New Roman" w:hAnsi="Times New Roman"/>
          <w:sz w:val="24"/>
          <w:szCs w:val="24"/>
          <w:lang w:val="en-US"/>
        </w:rPr>
        <w:t>a main</w:t>
      </w:r>
      <w:r w:rsidR="0073091D">
        <w:rPr>
          <w:rFonts w:ascii="Times New Roman" w:hAnsi="Times New Roman"/>
          <w:sz w:val="24"/>
          <w:szCs w:val="24"/>
          <w:lang w:val="en-US"/>
        </w:rPr>
        <w:t xml:space="preserve"> policy measure to decarbonize </w:t>
      </w:r>
      <w:r w:rsidR="00513C3E">
        <w:rPr>
          <w:rFonts w:ascii="Times New Roman" w:hAnsi="Times New Roman"/>
          <w:sz w:val="24"/>
          <w:szCs w:val="24"/>
          <w:lang w:val="en-US"/>
        </w:rPr>
        <w:t xml:space="preserve">the </w:t>
      </w:r>
      <w:r w:rsidR="0073091D">
        <w:rPr>
          <w:rFonts w:ascii="Times New Roman" w:hAnsi="Times New Roman"/>
          <w:sz w:val="24"/>
          <w:szCs w:val="24"/>
          <w:lang w:val="en-US"/>
        </w:rPr>
        <w:t xml:space="preserve">transport sector </w:t>
      </w:r>
      <w:r w:rsidR="00CB6386">
        <w:rPr>
          <w:rFonts w:ascii="Times New Roman" w:hAnsi="Times New Roman"/>
          <w:sz w:val="24"/>
          <w:szCs w:val="24"/>
          <w:lang w:val="en-US"/>
        </w:rPr>
        <w:t xml:space="preserve">and </w:t>
      </w:r>
      <w:r w:rsidR="00B26C42">
        <w:rPr>
          <w:rFonts w:ascii="Times New Roman" w:hAnsi="Times New Roman"/>
          <w:sz w:val="24"/>
          <w:szCs w:val="24"/>
          <w:lang w:val="en-US"/>
        </w:rPr>
        <w:t xml:space="preserve">as </w:t>
      </w:r>
      <w:r w:rsidR="001A7F80">
        <w:rPr>
          <w:rFonts w:ascii="Times New Roman" w:hAnsi="Times New Roman"/>
          <w:sz w:val="24"/>
          <w:szCs w:val="24"/>
          <w:lang w:val="en-US"/>
        </w:rPr>
        <w:t>an important step towards the Paris agreement</w:t>
      </w:r>
      <w:r w:rsidR="00654F3D">
        <w:rPr>
          <w:rFonts w:ascii="Times New Roman" w:hAnsi="Times New Roman"/>
          <w:sz w:val="24"/>
          <w:szCs w:val="24"/>
          <w:lang w:val="en-US"/>
        </w:rPr>
        <w:t xml:space="preserve">. </w:t>
      </w:r>
      <w:r w:rsidR="00CB6386">
        <w:rPr>
          <w:rFonts w:ascii="Times New Roman" w:hAnsi="Times New Roman"/>
          <w:sz w:val="24"/>
          <w:szCs w:val="24"/>
          <w:lang w:val="en-US"/>
        </w:rPr>
        <w:t>Consequently,</w:t>
      </w:r>
      <w:r w:rsidR="003E111D">
        <w:rPr>
          <w:rFonts w:ascii="Times New Roman" w:hAnsi="Times New Roman"/>
          <w:sz w:val="24"/>
          <w:szCs w:val="24"/>
          <w:lang w:val="en-US"/>
        </w:rPr>
        <w:t xml:space="preserve"> o</w:t>
      </w:r>
      <w:r w:rsidR="00444DAA" w:rsidRPr="00593C2C">
        <w:rPr>
          <w:rFonts w:ascii="Times New Roman" w:hAnsi="Times New Roman"/>
          <w:sz w:val="24"/>
          <w:szCs w:val="24"/>
          <w:lang w:val="en-US"/>
        </w:rPr>
        <w:t xml:space="preserve">ver 1 million electric </w:t>
      </w:r>
      <w:r w:rsidR="007551DA">
        <w:rPr>
          <w:rFonts w:ascii="Times New Roman" w:hAnsi="Times New Roman"/>
          <w:sz w:val="24"/>
          <w:szCs w:val="24"/>
          <w:lang w:val="en-US"/>
        </w:rPr>
        <w:t>vehicles (EVs)</w:t>
      </w:r>
      <w:r w:rsidR="00444DAA" w:rsidRPr="00593C2C">
        <w:rPr>
          <w:rFonts w:ascii="Times New Roman" w:hAnsi="Times New Roman"/>
          <w:sz w:val="24"/>
          <w:szCs w:val="24"/>
          <w:lang w:val="en-US"/>
        </w:rPr>
        <w:t xml:space="preserve"> were sold in 2017</w:t>
      </w:r>
      <w:r w:rsidR="00CD2042">
        <w:rPr>
          <w:rFonts w:ascii="Times New Roman" w:hAnsi="Times New Roman"/>
          <w:sz w:val="24"/>
          <w:szCs w:val="24"/>
          <w:lang w:val="en-US"/>
        </w:rPr>
        <w:t>,</w:t>
      </w:r>
      <w:r w:rsidR="00444DAA" w:rsidRPr="00593C2C">
        <w:rPr>
          <w:rFonts w:ascii="Times New Roman" w:hAnsi="Times New Roman"/>
          <w:sz w:val="24"/>
          <w:szCs w:val="24"/>
          <w:lang w:val="en-US"/>
        </w:rPr>
        <w:t xml:space="preserve"> with more than half of global sales in China</w:t>
      </w:r>
      <w:r w:rsidR="00CD2042">
        <w:rPr>
          <w:rFonts w:ascii="Times New Roman" w:hAnsi="Times New Roman"/>
          <w:sz w:val="24"/>
          <w:szCs w:val="24"/>
          <w:lang w:val="en-US"/>
        </w:rPr>
        <w:t xml:space="preserve"> </w:t>
      </w:r>
      <w:r w:rsidR="00CD2042" w:rsidRPr="00593C2C">
        <w:rPr>
          <w:rFonts w:ascii="Times New Roman" w:hAnsi="Times New Roman"/>
          <w:sz w:val="24"/>
          <w:szCs w:val="24"/>
          <w:lang w:val="en-US"/>
        </w:rPr>
        <w:fldChar w:fldCharType="begin" w:fldLock="1"/>
      </w:r>
      <w:r w:rsidR="00CD2042">
        <w:rPr>
          <w:rFonts w:ascii="Times New Roman" w:hAnsi="Times New Roman"/>
          <w:sz w:val="24"/>
          <w:szCs w:val="24"/>
          <w:lang w:val="en-US"/>
        </w:rPr>
        <w:instrText>ADDIN CSL_CITATION {"citationItems":[{"id":"ITEM-1","itemData":{"DOI":"EIA-0383(2016)","ISBN":"9789264278882","author":[{"dropping-particle":"","family":"Bunsen","given":"Till","non-dropping-particle":"","parse-names":false,"suffix":""},{"dropping-particle":"","family":"Cazzola","given":"Pierpaolo","non-dropping-particle":"","parse-names":false,"suffix":""},{"dropping-particle":"","family":"Gorner","given":"Marine","non-dropping-particle":"","parse-names":false,"suffix":""},{"dropping-particle":"","family":"Paoli","given":"Leonardo","non-dropping-particle":"","parse-names":false,"suffix":""},{"dropping-particle":"","family":"Scheffer","given":"Sacha","non-dropping-particle":"","parse-names":false,"suffix":""},{"dropping-particle":"","family":"Schuitmaker","given":"Renske","non-dropping-particle":"","parse-names":false,"suffix":""},{"dropping-particle":"","family":"Tattini","given":"Jacopo","non-dropping-particle":"","parse-names":false,"suffix":""},{"dropping-particle":"","family":"Teter","given":"Jacob","non-dropping-particle":"","parse-names":false,"suffix":""}],"id":"ITEM-1","issued":{"date-parts":[["2018"]]},"number-of-pages":"139","title":"Global EV Outlook 2018. Towards cross-modal electrification","type":"report"},"uris":["http://www.mendeley.com/documents/?uuid=ae29c164-2dad-4027-b10d-78e9967d4e8b"]}],"mendeley":{"formattedCitation":"(Bunsen et al., 2018)","plainTextFormattedCitation":"(Bunsen et al., 2018)","previouslyFormattedCitation":"(Bunsen et al., 2018)"},"properties":{"noteIndex":0},"schema":"https://github.com/citation-style-language/schema/raw/master/csl-citation.json"}</w:instrText>
      </w:r>
      <w:r w:rsidR="00CD2042" w:rsidRPr="00593C2C">
        <w:rPr>
          <w:rFonts w:ascii="Times New Roman" w:hAnsi="Times New Roman"/>
          <w:sz w:val="24"/>
          <w:szCs w:val="24"/>
          <w:lang w:val="en-US"/>
        </w:rPr>
        <w:fldChar w:fldCharType="separate"/>
      </w:r>
      <w:r w:rsidR="00CD2042" w:rsidRPr="00593C2C">
        <w:rPr>
          <w:rFonts w:ascii="Times New Roman" w:hAnsi="Times New Roman"/>
          <w:noProof/>
          <w:sz w:val="24"/>
          <w:szCs w:val="24"/>
          <w:lang w:val="en-US"/>
        </w:rPr>
        <w:t>(Bunsen et al., 2018)</w:t>
      </w:r>
      <w:r w:rsidR="00CD2042" w:rsidRPr="00593C2C">
        <w:rPr>
          <w:rFonts w:ascii="Times New Roman" w:hAnsi="Times New Roman"/>
          <w:sz w:val="24"/>
          <w:szCs w:val="24"/>
          <w:lang w:val="en-US"/>
        </w:rPr>
        <w:fldChar w:fldCharType="end"/>
      </w:r>
      <w:r w:rsidR="00444DAA" w:rsidRPr="00593C2C">
        <w:rPr>
          <w:rFonts w:ascii="Times New Roman" w:hAnsi="Times New Roman"/>
          <w:sz w:val="24"/>
          <w:szCs w:val="24"/>
          <w:lang w:val="en-US"/>
        </w:rPr>
        <w:t xml:space="preserve">. The total number of </w:t>
      </w:r>
      <w:r w:rsidR="007551DA">
        <w:rPr>
          <w:rFonts w:ascii="Times New Roman" w:hAnsi="Times New Roman"/>
          <w:sz w:val="24"/>
          <w:szCs w:val="24"/>
          <w:lang w:val="en-US"/>
        </w:rPr>
        <w:t>EVs</w:t>
      </w:r>
      <w:r w:rsidR="00444DAA" w:rsidRPr="00593C2C">
        <w:rPr>
          <w:rFonts w:ascii="Times New Roman" w:hAnsi="Times New Roman"/>
          <w:sz w:val="24"/>
          <w:szCs w:val="24"/>
          <w:lang w:val="en-US"/>
        </w:rPr>
        <w:t xml:space="preserve"> on the road surpassed 3 million worldwide, an expansion of over 50% from 2016 </w:t>
      </w:r>
      <w:r w:rsidR="00444DAA" w:rsidRPr="00593C2C">
        <w:rPr>
          <w:rFonts w:ascii="Times New Roman" w:hAnsi="Times New Roman"/>
          <w:sz w:val="24"/>
          <w:szCs w:val="24"/>
          <w:lang w:val="en-US"/>
        </w:rPr>
        <w:fldChar w:fldCharType="begin" w:fldLock="1"/>
      </w:r>
      <w:r w:rsidR="001D2A3B">
        <w:rPr>
          <w:rFonts w:ascii="Times New Roman" w:hAnsi="Times New Roman"/>
          <w:sz w:val="24"/>
          <w:szCs w:val="24"/>
          <w:lang w:val="en-US"/>
        </w:rPr>
        <w:instrText>ADDIN CSL_CITATION {"citationItems":[{"id":"ITEM-1","itemData":{"DOI":"EIA-0383(2016)","ISBN":"9789264278882","author":[{"dropping-particle":"","family":"Bunsen","given":"Till","non-dropping-particle":"","parse-names":false,"suffix":""},{"dropping-particle":"","family":"Cazzola","given":"Pierpaolo","non-dropping-particle":"","parse-names":false,"suffix":""},{"dropping-particle":"","family":"Gorner","given":"Marine","non-dropping-particle":"","parse-names":false,"suffix":""},{"dropping-particle":"","family":"Paoli","given":"Leonardo","non-dropping-particle":"","parse-names":false,"suffix":""},{"dropping-particle":"","family":"Scheffer","given":"Sacha","non-dropping-particle":"","parse-names":false,"suffix":""},{"dropping-particle":"","family":"Schuitmaker","given":"Renske","non-dropping-particle":"","parse-names":false,"suffix":""},{"dropping-particle":"","family":"Tattini","given":"Jacopo","non-dropping-particle":"","parse-names":false,"suffix":""},{"dropping-particle":"","family":"Teter","given":"Jacob","non-dropping-particle":"","parse-names":false,"suffix":""}],"id":"ITEM-1","issued":{"date-parts":[["2018"]]},"number-of-pages":"139","title":"Global EV Outlook 2018. Towards cross-modal electrification","type":"report"},"uris":["http://www.mendeley.com/documents/?uuid=ae29c164-2dad-4027-b10d-78e9967d4e8b"]}],"mendeley":{"formattedCitation":"(Bunsen et al., 2018)","plainTextFormattedCitation":"(Bunsen et al., 2018)","previouslyFormattedCitation":"(Bunsen et al., 2018)"},"properties":{"noteIndex":0},"schema":"https://github.com/citation-style-language/schema/raw/master/csl-citation.json"}</w:instrText>
      </w:r>
      <w:r w:rsidR="00444DAA" w:rsidRPr="00593C2C">
        <w:rPr>
          <w:rFonts w:ascii="Times New Roman" w:hAnsi="Times New Roman"/>
          <w:sz w:val="24"/>
          <w:szCs w:val="24"/>
          <w:lang w:val="en-US"/>
        </w:rPr>
        <w:fldChar w:fldCharType="separate"/>
      </w:r>
      <w:r w:rsidR="00444DAA" w:rsidRPr="00593C2C">
        <w:rPr>
          <w:rFonts w:ascii="Times New Roman" w:hAnsi="Times New Roman"/>
          <w:noProof/>
          <w:sz w:val="24"/>
          <w:szCs w:val="24"/>
          <w:lang w:val="en-US"/>
        </w:rPr>
        <w:t>(Bunsen et al., 2018)</w:t>
      </w:r>
      <w:r w:rsidR="00444DAA" w:rsidRPr="00593C2C">
        <w:rPr>
          <w:rFonts w:ascii="Times New Roman" w:hAnsi="Times New Roman"/>
          <w:sz w:val="24"/>
          <w:szCs w:val="24"/>
          <w:lang w:val="en-US"/>
        </w:rPr>
        <w:fldChar w:fldCharType="end"/>
      </w:r>
      <w:r w:rsidR="00444DAA" w:rsidRPr="00593C2C">
        <w:rPr>
          <w:rFonts w:ascii="Times New Roman" w:hAnsi="Times New Roman"/>
          <w:sz w:val="24"/>
          <w:szCs w:val="24"/>
          <w:lang w:val="en-US"/>
        </w:rPr>
        <w:t xml:space="preserve">. </w:t>
      </w:r>
      <w:r w:rsidR="008B4527" w:rsidRPr="00593C2C">
        <w:rPr>
          <w:rFonts w:ascii="Times New Roman" w:hAnsi="Times New Roman"/>
          <w:sz w:val="24"/>
          <w:szCs w:val="24"/>
          <w:lang w:val="en-US"/>
        </w:rPr>
        <w:t xml:space="preserve">While the number of </w:t>
      </w:r>
      <w:r w:rsidR="007551DA">
        <w:rPr>
          <w:rFonts w:ascii="Times New Roman" w:hAnsi="Times New Roman"/>
          <w:sz w:val="24"/>
          <w:szCs w:val="24"/>
          <w:lang w:val="en-US"/>
        </w:rPr>
        <w:t>EVs</w:t>
      </w:r>
      <w:r w:rsidR="008B4527" w:rsidRPr="00593C2C">
        <w:rPr>
          <w:rFonts w:ascii="Times New Roman" w:hAnsi="Times New Roman"/>
          <w:sz w:val="24"/>
          <w:szCs w:val="24"/>
          <w:lang w:val="en-US"/>
        </w:rPr>
        <w:t xml:space="preserve"> is notably on the rise, only </w:t>
      </w:r>
      <w:r w:rsidR="00CD2042">
        <w:rPr>
          <w:rFonts w:ascii="Times New Roman" w:hAnsi="Times New Roman"/>
          <w:sz w:val="24"/>
          <w:szCs w:val="24"/>
          <w:lang w:val="en-US"/>
        </w:rPr>
        <w:t xml:space="preserve">few </w:t>
      </w:r>
      <w:r w:rsidR="008B4527" w:rsidRPr="00593C2C">
        <w:rPr>
          <w:rFonts w:ascii="Times New Roman" w:hAnsi="Times New Roman"/>
          <w:sz w:val="24"/>
          <w:szCs w:val="24"/>
          <w:lang w:val="en-US"/>
        </w:rPr>
        <w:t xml:space="preserve">countries had significant </w:t>
      </w:r>
      <w:r w:rsidR="007551DA">
        <w:rPr>
          <w:rFonts w:ascii="Times New Roman" w:hAnsi="Times New Roman"/>
          <w:sz w:val="24"/>
          <w:szCs w:val="24"/>
          <w:lang w:val="en-US"/>
        </w:rPr>
        <w:t xml:space="preserve">EV </w:t>
      </w:r>
      <w:r w:rsidR="008B4527" w:rsidRPr="00593C2C">
        <w:rPr>
          <w:rFonts w:ascii="Times New Roman" w:hAnsi="Times New Roman"/>
          <w:sz w:val="24"/>
          <w:szCs w:val="24"/>
          <w:lang w:val="en-US"/>
        </w:rPr>
        <w:t>market share in 2017: Norway (39</w:t>
      </w:r>
      <w:r w:rsidR="00AF62F6">
        <w:rPr>
          <w:rFonts w:ascii="Times New Roman" w:hAnsi="Times New Roman"/>
          <w:sz w:val="24"/>
          <w:szCs w:val="24"/>
          <w:lang w:val="en-US"/>
        </w:rPr>
        <w:t>.</w:t>
      </w:r>
      <w:r w:rsidR="008B4527" w:rsidRPr="00593C2C">
        <w:rPr>
          <w:rFonts w:ascii="Times New Roman" w:hAnsi="Times New Roman"/>
          <w:sz w:val="24"/>
          <w:szCs w:val="24"/>
          <w:lang w:val="en-US"/>
        </w:rPr>
        <w:t>2%), Iceland (11.7%) and Sweden (</w:t>
      </w:r>
      <w:r w:rsidR="00593C2C" w:rsidRPr="00593C2C">
        <w:rPr>
          <w:rFonts w:ascii="Times New Roman" w:hAnsi="Times New Roman"/>
          <w:sz w:val="24"/>
          <w:szCs w:val="24"/>
          <w:lang w:val="en-US"/>
        </w:rPr>
        <w:t>6</w:t>
      </w:r>
      <w:r w:rsidR="008B4527" w:rsidRPr="00593C2C">
        <w:rPr>
          <w:rFonts w:ascii="Times New Roman" w:hAnsi="Times New Roman"/>
          <w:sz w:val="24"/>
          <w:szCs w:val="24"/>
          <w:lang w:val="en-US"/>
        </w:rPr>
        <w:t>.</w:t>
      </w:r>
      <w:r w:rsidR="00593C2C" w:rsidRPr="00593C2C">
        <w:rPr>
          <w:rFonts w:ascii="Times New Roman" w:hAnsi="Times New Roman"/>
          <w:sz w:val="24"/>
          <w:szCs w:val="24"/>
          <w:lang w:val="en-US"/>
        </w:rPr>
        <w:t>3</w:t>
      </w:r>
      <w:r w:rsidR="008B4527" w:rsidRPr="00593C2C">
        <w:rPr>
          <w:rFonts w:ascii="Times New Roman" w:hAnsi="Times New Roman"/>
          <w:sz w:val="24"/>
          <w:szCs w:val="24"/>
          <w:lang w:val="en-US"/>
        </w:rPr>
        <w:t>%)</w:t>
      </w:r>
      <w:r w:rsidR="003870F0">
        <w:rPr>
          <w:rFonts w:ascii="Times New Roman" w:hAnsi="Times New Roman"/>
          <w:sz w:val="24"/>
          <w:szCs w:val="24"/>
          <w:lang w:val="en-US"/>
        </w:rPr>
        <w:t xml:space="preserve"> </w:t>
      </w:r>
      <w:r w:rsidR="003870F0">
        <w:rPr>
          <w:rFonts w:ascii="Times New Roman" w:hAnsi="Times New Roman"/>
          <w:sz w:val="24"/>
          <w:szCs w:val="24"/>
          <w:lang w:val="en-US"/>
        </w:rPr>
        <w:fldChar w:fldCharType="begin" w:fldLock="1"/>
      </w:r>
      <w:r w:rsidR="00893B40">
        <w:rPr>
          <w:rFonts w:ascii="Times New Roman" w:hAnsi="Times New Roman"/>
          <w:sz w:val="24"/>
          <w:szCs w:val="24"/>
          <w:lang w:val="en-US"/>
        </w:rPr>
        <w:instrText>ADDIN CSL_CITATION {"citationItems":[{"id":"ITEM-1","itemData":{"DOI":"EIA-0383(2016)","ISBN":"9789264278882","author":[{"dropping-particle":"","family":"Bunsen","given":"Till","non-dropping-particle":"","parse-names":false,"suffix":""},{"dropping-particle":"","family":"Cazzola","given":"Pierpaolo","non-dropping-particle":"","parse-names":false,"suffix":""},{"dropping-particle":"","family":"Gorner","given":"Marine","non-dropping-particle":"","parse-names":false,"suffix":""},{"dropping-particle":"","family":"Paoli","given":"Leonardo","non-dropping-particle":"","parse-names":false,"suffix":""},{"dropping-particle":"","family":"Scheffer","given":"Sacha","non-dropping-particle":"","parse-names":false,"suffix":""},{"dropping-particle":"","family":"Schuitmaker","given":"Renske","non-dropping-particle":"","parse-names":false,"suffix":""},{"dropping-particle":"","family":"Tattini","given":"Jacopo","non-dropping-particle":"","parse-names":false,"suffix":""},{"dropping-particle":"","family":"Teter","given":"Jacob","non-dropping-particle":"","parse-names":false,"suffix":""}],"id":"ITEM-1","issued":{"date-parts":[["2018"]]},"number-of-pages":"139","title":"Global EV Outlook 2018. Towards cross-modal electrification","type":"report"},"uris":["http://www.mendeley.com/documents/?uuid=ae29c164-2dad-4027-b10d-78e9967d4e8b"]}],"mendeley":{"formattedCitation":"(Bunsen et al., 2018)","plainTextFormattedCitation":"(Bunsen et al., 2018)","previouslyFormattedCitation":"(Bunsen et al., 2018)"},"properties":{"noteIndex":0},"schema":"https://github.com/citation-style-language/schema/raw/master/csl-citation.json"}</w:instrText>
      </w:r>
      <w:r w:rsidR="003870F0">
        <w:rPr>
          <w:rFonts w:ascii="Times New Roman" w:hAnsi="Times New Roman"/>
          <w:sz w:val="24"/>
          <w:szCs w:val="24"/>
          <w:lang w:val="en-US"/>
        </w:rPr>
        <w:fldChar w:fldCharType="separate"/>
      </w:r>
      <w:r w:rsidR="003870F0" w:rsidRPr="003870F0">
        <w:rPr>
          <w:rFonts w:ascii="Times New Roman" w:hAnsi="Times New Roman"/>
          <w:noProof/>
          <w:sz w:val="24"/>
          <w:szCs w:val="24"/>
          <w:lang w:val="en-US"/>
        </w:rPr>
        <w:t>(Bunsen et al., 2018)</w:t>
      </w:r>
      <w:r w:rsidR="003870F0">
        <w:rPr>
          <w:rFonts w:ascii="Times New Roman" w:hAnsi="Times New Roman"/>
          <w:sz w:val="24"/>
          <w:szCs w:val="24"/>
          <w:lang w:val="en-US"/>
        </w:rPr>
        <w:fldChar w:fldCharType="end"/>
      </w:r>
      <w:r w:rsidR="008B4527" w:rsidRPr="00593C2C">
        <w:rPr>
          <w:rFonts w:ascii="Times New Roman" w:hAnsi="Times New Roman"/>
          <w:sz w:val="24"/>
          <w:szCs w:val="24"/>
          <w:lang w:val="en-US"/>
        </w:rPr>
        <w:t>.</w:t>
      </w:r>
      <w:r w:rsidR="00593C2C" w:rsidRPr="00593C2C">
        <w:rPr>
          <w:rFonts w:ascii="Times New Roman" w:hAnsi="Times New Roman"/>
          <w:sz w:val="24"/>
          <w:szCs w:val="24"/>
          <w:lang w:val="en-US"/>
        </w:rPr>
        <w:t xml:space="preserve"> </w:t>
      </w:r>
      <w:r w:rsidR="00EB2503">
        <w:rPr>
          <w:rFonts w:ascii="Times New Roman" w:hAnsi="Times New Roman"/>
          <w:sz w:val="24"/>
          <w:szCs w:val="24"/>
          <w:lang w:val="en-US"/>
        </w:rPr>
        <w:t>N</w:t>
      </w:r>
      <w:r w:rsidR="00593C2C" w:rsidRPr="00593C2C">
        <w:rPr>
          <w:rFonts w:ascii="Times New Roman" w:hAnsi="Times New Roman"/>
          <w:sz w:val="24"/>
          <w:szCs w:val="24"/>
          <w:lang w:val="en-US"/>
        </w:rPr>
        <w:t xml:space="preserve">o wonder that e-mobility </w:t>
      </w:r>
      <w:r w:rsidR="000415DC" w:rsidRPr="00593C2C">
        <w:rPr>
          <w:rFonts w:ascii="Times New Roman" w:hAnsi="Times New Roman"/>
          <w:sz w:val="24"/>
          <w:szCs w:val="24"/>
          <w:lang w:val="en-US"/>
        </w:rPr>
        <w:t>profitability barely reaches 3%–4%, as opposed to two-</w:t>
      </w:r>
      <w:r w:rsidR="00975AE6">
        <w:rPr>
          <w:rFonts w:ascii="Times New Roman" w:hAnsi="Times New Roman"/>
          <w:sz w:val="24"/>
          <w:szCs w:val="24"/>
          <w:lang w:val="en-US"/>
        </w:rPr>
        <w:t>digit</w:t>
      </w:r>
      <w:r w:rsidR="000415DC" w:rsidRPr="00593C2C">
        <w:rPr>
          <w:rFonts w:ascii="Times New Roman" w:hAnsi="Times New Roman"/>
          <w:sz w:val="24"/>
          <w:szCs w:val="24"/>
          <w:lang w:val="en-US"/>
        </w:rPr>
        <w:t xml:space="preserve"> </w:t>
      </w:r>
      <w:r w:rsidR="00975AE6">
        <w:rPr>
          <w:rFonts w:ascii="Times New Roman" w:hAnsi="Times New Roman"/>
          <w:sz w:val="24"/>
          <w:szCs w:val="24"/>
          <w:lang w:val="en-US"/>
        </w:rPr>
        <w:t>figures</w:t>
      </w:r>
      <w:r w:rsidR="000415DC" w:rsidRPr="00593C2C">
        <w:rPr>
          <w:rFonts w:ascii="Times New Roman" w:hAnsi="Times New Roman"/>
          <w:sz w:val="24"/>
          <w:szCs w:val="24"/>
          <w:lang w:val="en-US"/>
        </w:rPr>
        <w:t xml:space="preserve"> in other sectors</w:t>
      </w:r>
      <w:r w:rsidR="00593C2C" w:rsidRPr="00593C2C">
        <w:rPr>
          <w:rFonts w:ascii="Times New Roman" w:hAnsi="Times New Roman"/>
          <w:sz w:val="24"/>
          <w:szCs w:val="24"/>
          <w:lang w:val="en-US"/>
        </w:rPr>
        <w:t>, despite government support</w:t>
      </w:r>
      <w:r w:rsidR="001D00DE">
        <w:rPr>
          <w:rFonts w:ascii="Times New Roman" w:hAnsi="Times New Roman"/>
          <w:sz w:val="24"/>
          <w:szCs w:val="24"/>
          <w:lang w:val="en-US"/>
        </w:rPr>
        <w:t xml:space="preserve"> and falling battery prices</w:t>
      </w:r>
      <w:r w:rsidR="00085ECD">
        <w:rPr>
          <w:rFonts w:ascii="Times New Roman" w:hAnsi="Times New Roman"/>
          <w:sz w:val="24"/>
          <w:szCs w:val="24"/>
          <w:lang w:val="en-US"/>
        </w:rPr>
        <w:t xml:space="preserve"> </w:t>
      </w:r>
      <w:r w:rsidR="00EB2503" w:rsidRPr="00593C2C">
        <w:rPr>
          <w:rFonts w:ascii="Times New Roman" w:hAnsi="Times New Roman"/>
          <w:sz w:val="24"/>
          <w:szCs w:val="24"/>
          <w:lang w:val="en-US"/>
        </w:rPr>
        <w:fldChar w:fldCharType="begin" w:fldLock="1"/>
      </w:r>
      <w:r w:rsidR="00EB2503" w:rsidRPr="00593C2C">
        <w:rPr>
          <w:rFonts w:ascii="Times New Roman" w:hAnsi="Times New Roman"/>
          <w:sz w:val="24"/>
          <w:szCs w:val="24"/>
          <w:lang w:val="en-US"/>
        </w:rPr>
        <w:instrText>ADDIN CSL_CITATION {"citationItems":[{"id":"ITEM-1","itemData":{"DOI":"10.1504/IJATM.2015.068545","ISSN":"17415012","PMID":"27349582","abstract":"Today, at the beginning of the 21st century, it is widely accepted by all that the traditional automotive industry has entered a phase of disruptive changes: the disruption of markets and consumers, the disruption of technologies and of business models. In this context, prospective studies offer possible scenarios for the development of a new industry called the electromobility 2.0 industry. Their findings shed light on the myriad issues that have to be taken into account, and in particular whether the variety of stakeholders involved have the ability to create the necessary radical innovations. Following a systems approach in order to better grasp the complexity of the situation, this paper aims to contribute conceptual considerations to these studies. It explores how appropriate decentralised and open industrial ecosystems organisational structures are for creating the conditions which would foster the emergence of radical innovations for the electromobility 2.0 industry. It also highlights the importance of having adequate inter-organisational governance modes to foster the inter-implication of the numerous complementary stakeholders in this process. Reference to this paper should be made as follows: Donada, C. and Attias, D. (2015) 'Food for thought: which organisation and ecosystem governance to boost radical innovation in the electromobility 2.0 industry?', Int.","author":[{"dropping-particle":"","family":"Donada","given":"Carole","non-dropping-particle":"","parse-names":false,"suffix":""},{"dropping-particle":"","family":"Attias","given":"Danielle","non-dropping-particle":"","parse-names":false,"suffix":""}],"container-title":"Int. J. Automotive Technology and Management J. Automotive Technology and Management","id":"ITEM-1","issue":"2","issued":{"date-parts":[["2015"]]},"page":"105-125","title":"Food for thought: which organisation and ecosystem governance to boost radical innovation in the electromobility 2.0 industry?","type":"article-journal","volume":"15"},"uris":["http://www.mendeley.com/documents/?uuid=03bf37c4-aa75-40c8-82c6-9a61b26d5e0d"]}],"mendeley":{"formattedCitation":"(Donada &amp; Attias, 2015)","plainTextFormattedCitation":"(Donada &amp; Attias, 2015)","previouslyFormattedCitation":"(Donada &amp; Attias, 2015)"},"properties":{"noteIndex":0},"schema":"https://github.com/citation-style-language/schema/raw/master/csl-citation.json"}</w:instrText>
      </w:r>
      <w:r w:rsidR="00EB2503" w:rsidRPr="00593C2C">
        <w:rPr>
          <w:rFonts w:ascii="Times New Roman" w:hAnsi="Times New Roman"/>
          <w:sz w:val="24"/>
          <w:szCs w:val="24"/>
          <w:lang w:val="en-US"/>
        </w:rPr>
        <w:fldChar w:fldCharType="separate"/>
      </w:r>
      <w:r w:rsidR="00EB2503" w:rsidRPr="00593C2C">
        <w:rPr>
          <w:rFonts w:ascii="Times New Roman" w:hAnsi="Times New Roman"/>
          <w:noProof/>
          <w:sz w:val="24"/>
          <w:szCs w:val="24"/>
          <w:lang w:val="en-US"/>
        </w:rPr>
        <w:t>(Donada &amp; Attias, 2015)</w:t>
      </w:r>
      <w:r w:rsidR="00EB2503" w:rsidRPr="00593C2C">
        <w:rPr>
          <w:rFonts w:ascii="Times New Roman" w:hAnsi="Times New Roman"/>
          <w:sz w:val="24"/>
          <w:szCs w:val="24"/>
          <w:lang w:val="en-US"/>
        </w:rPr>
        <w:fldChar w:fldCharType="end"/>
      </w:r>
      <w:r w:rsidR="00654F3D" w:rsidRPr="00593C2C">
        <w:rPr>
          <w:rFonts w:ascii="Times New Roman" w:hAnsi="Times New Roman"/>
          <w:sz w:val="24"/>
          <w:szCs w:val="24"/>
          <w:lang w:val="en-US"/>
        </w:rPr>
        <w:t xml:space="preserve">. </w:t>
      </w:r>
    </w:p>
    <w:p w:rsidR="00283E27" w:rsidRDefault="00144056"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By our study, we </w:t>
      </w:r>
      <w:r w:rsidR="0032319E">
        <w:rPr>
          <w:rFonts w:ascii="Times New Roman" w:hAnsi="Times New Roman"/>
          <w:sz w:val="24"/>
          <w:szCs w:val="24"/>
          <w:lang w:val="en-US"/>
        </w:rPr>
        <w:t xml:space="preserve">intend to investigate if government policy has an impact on the EV adoption rates. </w:t>
      </w:r>
      <w:r w:rsidR="00107ECD">
        <w:rPr>
          <w:rFonts w:ascii="Times New Roman" w:hAnsi="Times New Roman"/>
          <w:sz w:val="24"/>
          <w:szCs w:val="24"/>
          <w:lang w:val="en-US"/>
        </w:rPr>
        <w:t>The aim of this paper</w:t>
      </w:r>
      <w:r w:rsidR="00107ECD" w:rsidRPr="00787809">
        <w:rPr>
          <w:rFonts w:ascii="Times New Roman" w:hAnsi="Times New Roman"/>
          <w:sz w:val="24"/>
          <w:szCs w:val="24"/>
          <w:lang w:val="en-US"/>
        </w:rPr>
        <w:t xml:space="preserve"> </w:t>
      </w:r>
      <w:r w:rsidR="00107ECD">
        <w:rPr>
          <w:rFonts w:ascii="Times New Roman" w:hAnsi="Times New Roman"/>
          <w:sz w:val="24"/>
          <w:szCs w:val="24"/>
          <w:lang w:val="en-US"/>
        </w:rPr>
        <w:t>is</w:t>
      </w:r>
      <w:r w:rsidR="0032319E">
        <w:rPr>
          <w:rFonts w:ascii="Times New Roman" w:hAnsi="Times New Roman"/>
          <w:sz w:val="24"/>
          <w:szCs w:val="24"/>
          <w:lang w:val="en-US"/>
        </w:rPr>
        <w:t xml:space="preserve"> thus</w:t>
      </w:r>
      <w:r w:rsidR="00107ECD">
        <w:rPr>
          <w:rFonts w:ascii="Times New Roman" w:hAnsi="Times New Roman"/>
          <w:sz w:val="24"/>
          <w:szCs w:val="24"/>
          <w:lang w:val="en-US"/>
        </w:rPr>
        <w:t xml:space="preserve"> </w:t>
      </w:r>
      <w:r w:rsidR="00107ECD" w:rsidRPr="00787809">
        <w:rPr>
          <w:rFonts w:ascii="Times New Roman" w:hAnsi="Times New Roman"/>
          <w:sz w:val="24"/>
          <w:szCs w:val="24"/>
          <w:lang w:val="en-US"/>
        </w:rPr>
        <w:t xml:space="preserve">to study the relationship between the </w:t>
      </w:r>
      <w:r w:rsidR="00107ECD">
        <w:rPr>
          <w:rFonts w:ascii="Times New Roman" w:hAnsi="Times New Roman"/>
          <w:sz w:val="24"/>
          <w:szCs w:val="24"/>
          <w:lang w:val="en-US"/>
        </w:rPr>
        <w:t>demand-side policy incentives and battery electric vehicle (BEV) market adoption.</w:t>
      </w:r>
      <w:r w:rsidR="00C55BD8">
        <w:rPr>
          <w:rFonts w:ascii="Times New Roman" w:hAnsi="Times New Roman"/>
          <w:sz w:val="24"/>
          <w:szCs w:val="24"/>
          <w:lang w:val="en-US"/>
        </w:rPr>
        <w:t xml:space="preserve"> </w:t>
      </w:r>
      <w:r w:rsidR="006C6678">
        <w:rPr>
          <w:rFonts w:ascii="Times New Roman" w:hAnsi="Times New Roman"/>
          <w:sz w:val="24"/>
          <w:szCs w:val="24"/>
          <w:lang w:val="en-US"/>
        </w:rPr>
        <w:t>S</w:t>
      </w:r>
      <w:r w:rsidR="00C55BD8">
        <w:rPr>
          <w:rFonts w:ascii="Times New Roman" w:hAnsi="Times New Roman"/>
          <w:sz w:val="24"/>
          <w:szCs w:val="24"/>
          <w:lang w:val="en-US"/>
        </w:rPr>
        <w:t xml:space="preserve">ection </w:t>
      </w:r>
      <w:r w:rsidR="006C6678">
        <w:rPr>
          <w:rFonts w:ascii="Times New Roman" w:hAnsi="Times New Roman"/>
          <w:sz w:val="24"/>
          <w:szCs w:val="24"/>
          <w:lang w:val="en-US"/>
        </w:rPr>
        <w:t xml:space="preserve">2 </w:t>
      </w:r>
      <w:r w:rsidR="00C55BD8">
        <w:rPr>
          <w:rFonts w:ascii="Times New Roman" w:hAnsi="Times New Roman"/>
          <w:sz w:val="24"/>
          <w:szCs w:val="24"/>
          <w:lang w:val="en-US"/>
        </w:rPr>
        <w:t xml:space="preserve">reviews existing literature in order to identify </w:t>
      </w:r>
      <w:r w:rsidR="004C1DD1">
        <w:rPr>
          <w:rFonts w:ascii="Times New Roman" w:hAnsi="Times New Roman"/>
          <w:sz w:val="24"/>
          <w:szCs w:val="24"/>
          <w:lang w:val="en-US"/>
        </w:rPr>
        <w:t xml:space="preserve">other influencing factors and research gaps. It also states research questions, introduces hypotheses and explains why the study is novel. </w:t>
      </w:r>
      <w:r w:rsidR="00DE6CEF">
        <w:rPr>
          <w:rFonts w:ascii="Times New Roman" w:hAnsi="Times New Roman"/>
          <w:sz w:val="24"/>
          <w:szCs w:val="24"/>
          <w:lang w:val="en-US"/>
        </w:rPr>
        <w:t xml:space="preserve">Section </w:t>
      </w:r>
      <w:r w:rsidR="006C6678">
        <w:rPr>
          <w:rFonts w:ascii="Times New Roman" w:hAnsi="Times New Roman"/>
          <w:sz w:val="24"/>
          <w:szCs w:val="24"/>
          <w:lang w:val="en-US"/>
        </w:rPr>
        <w:t>3</w:t>
      </w:r>
      <w:r w:rsidR="00CD4688">
        <w:rPr>
          <w:rFonts w:ascii="Times New Roman" w:hAnsi="Times New Roman"/>
          <w:sz w:val="24"/>
          <w:szCs w:val="24"/>
          <w:lang w:val="en-US"/>
        </w:rPr>
        <w:t xml:space="preserve"> explains what data was collected and why, gives a detailed description of the variables included and an overview of existing policy measures. It also describes the method used to analyze the research questions and hypotheses</w:t>
      </w:r>
      <w:r w:rsidR="00DE6CEF">
        <w:rPr>
          <w:rFonts w:ascii="Times New Roman" w:hAnsi="Times New Roman"/>
          <w:sz w:val="24"/>
          <w:szCs w:val="24"/>
          <w:lang w:val="en-US"/>
        </w:rPr>
        <w:t xml:space="preserve">. Section </w:t>
      </w:r>
      <w:r w:rsidR="006C6678">
        <w:rPr>
          <w:rFonts w:ascii="Times New Roman" w:hAnsi="Times New Roman"/>
          <w:sz w:val="24"/>
          <w:szCs w:val="24"/>
          <w:lang w:val="en-US"/>
        </w:rPr>
        <w:t>4</w:t>
      </w:r>
      <w:r w:rsidR="00DE6CEF">
        <w:rPr>
          <w:rFonts w:ascii="Times New Roman" w:hAnsi="Times New Roman"/>
          <w:sz w:val="24"/>
          <w:szCs w:val="24"/>
          <w:lang w:val="en-US"/>
        </w:rPr>
        <w:t xml:space="preserve"> </w:t>
      </w:r>
      <w:r w:rsidR="00CD4688" w:rsidRPr="00CD4688">
        <w:rPr>
          <w:rFonts w:ascii="Times New Roman" w:hAnsi="Times New Roman"/>
          <w:sz w:val="24"/>
          <w:szCs w:val="24"/>
          <w:lang w:val="en-US"/>
        </w:rPr>
        <w:t xml:space="preserve">presents </w:t>
      </w:r>
      <w:r w:rsidR="00DE6CEF">
        <w:rPr>
          <w:rFonts w:ascii="Times New Roman" w:hAnsi="Times New Roman"/>
          <w:sz w:val="24"/>
          <w:szCs w:val="24"/>
          <w:lang w:val="en-US"/>
        </w:rPr>
        <w:t xml:space="preserve">the </w:t>
      </w:r>
      <w:r w:rsidR="00CD4688" w:rsidRPr="00CD4688">
        <w:rPr>
          <w:rFonts w:ascii="Times New Roman" w:hAnsi="Times New Roman"/>
          <w:sz w:val="24"/>
          <w:szCs w:val="24"/>
          <w:lang w:val="en-US"/>
        </w:rPr>
        <w:t xml:space="preserve">statistical </w:t>
      </w:r>
      <w:r w:rsidR="00DE6CEF">
        <w:rPr>
          <w:rFonts w:ascii="Times New Roman" w:hAnsi="Times New Roman"/>
          <w:sz w:val="24"/>
          <w:szCs w:val="24"/>
          <w:lang w:val="en-US"/>
        </w:rPr>
        <w:t xml:space="preserve">and descriptive </w:t>
      </w:r>
      <w:r w:rsidR="00CD4688" w:rsidRPr="00CD4688">
        <w:rPr>
          <w:rFonts w:ascii="Times New Roman" w:hAnsi="Times New Roman"/>
          <w:sz w:val="24"/>
          <w:szCs w:val="24"/>
          <w:lang w:val="en-US"/>
        </w:rPr>
        <w:t xml:space="preserve">analysis, including </w:t>
      </w:r>
      <w:r w:rsidR="00DE6CEF">
        <w:rPr>
          <w:rFonts w:ascii="Times New Roman" w:hAnsi="Times New Roman"/>
          <w:sz w:val="24"/>
          <w:szCs w:val="24"/>
          <w:lang w:val="en-US"/>
        </w:rPr>
        <w:t xml:space="preserve">pairwise comparisons of the countries’ BEV market shares, </w:t>
      </w:r>
      <w:r w:rsidR="00CD4688">
        <w:rPr>
          <w:rFonts w:ascii="Times New Roman" w:hAnsi="Times New Roman"/>
          <w:sz w:val="24"/>
          <w:szCs w:val="24"/>
          <w:lang w:val="en-US"/>
        </w:rPr>
        <w:t>model</w:t>
      </w:r>
      <w:r w:rsidR="00CD4688" w:rsidRPr="00CD4688">
        <w:rPr>
          <w:rFonts w:ascii="Times New Roman" w:hAnsi="Times New Roman"/>
          <w:sz w:val="24"/>
          <w:szCs w:val="24"/>
          <w:lang w:val="en-US"/>
        </w:rPr>
        <w:t xml:space="preserve"> results, their interpretation</w:t>
      </w:r>
      <w:r w:rsidR="00DE6CEF">
        <w:rPr>
          <w:rFonts w:ascii="Times New Roman" w:hAnsi="Times New Roman"/>
          <w:sz w:val="24"/>
          <w:szCs w:val="24"/>
          <w:lang w:val="en-US"/>
        </w:rPr>
        <w:t xml:space="preserve"> and discussion</w:t>
      </w:r>
      <w:r w:rsidR="00CD4688" w:rsidRPr="00CD4688">
        <w:rPr>
          <w:rFonts w:ascii="Times New Roman" w:hAnsi="Times New Roman"/>
          <w:sz w:val="24"/>
          <w:szCs w:val="24"/>
          <w:lang w:val="en-US"/>
        </w:rPr>
        <w:t>.</w:t>
      </w:r>
      <w:r w:rsidR="00DE6CEF">
        <w:rPr>
          <w:rFonts w:ascii="Times New Roman" w:hAnsi="Times New Roman"/>
          <w:sz w:val="24"/>
          <w:szCs w:val="24"/>
          <w:lang w:val="en-US"/>
        </w:rPr>
        <w:t xml:space="preserve"> Section </w:t>
      </w:r>
      <w:r w:rsidR="006C6678">
        <w:rPr>
          <w:rFonts w:ascii="Times New Roman" w:hAnsi="Times New Roman"/>
          <w:sz w:val="24"/>
          <w:szCs w:val="24"/>
          <w:lang w:val="en-US"/>
        </w:rPr>
        <w:t>5</w:t>
      </w:r>
      <w:r w:rsidR="00DE6CEF">
        <w:rPr>
          <w:rFonts w:ascii="Times New Roman" w:hAnsi="Times New Roman"/>
          <w:sz w:val="24"/>
          <w:szCs w:val="24"/>
          <w:lang w:val="en-US"/>
        </w:rPr>
        <w:t xml:space="preserve"> outlines the limitations of this paper.</w:t>
      </w:r>
    </w:p>
    <w:p w:rsidR="0032399E" w:rsidRDefault="0032399E" w:rsidP="00CE182C">
      <w:pPr>
        <w:spacing w:after="120" w:line="360" w:lineRule="auto"/>
        <w:jc w:val="both"/>
        <w:rPr>
          <w:rFonts w:ascii="Times New Roman" w:hAnsi="Times New Roman"/>
          <w:sz w:val="24"/>
          <w:szCs w:val="24"/>
          <w:lang w:val="en-US"/>
        </w:rPr>
      </w:pPr>
    </w:p>
    <w:p w:rsidR="0032399E" w:rsidRDefault="0032399E" w:rsidP="00CE182C">
      <w:pPr>
        <w:spacing w:after="120" w:line="360" w:lineRule="auto"/>
        <w:jc w:val="both"/>
        <w:rPr>
          <w:rFonts w:ascii="Times New Roman" w:hAnsi="Times New Roman"/>
          <w:sz w:val="24"/>
          <w:szCs w:val="24"/>
          <w:lang w:val="en-US"/>
        </w:rPr>
      </w:pPr>
    </w:p>
    <w:p w:rsidR="0032399E" w:rsidRDefault="0032399E" w:rsidP="00CE182C">
      <w:pPr>
        <w:spacing w:after="120" w:line="360" w:lineRule="auto"/>
        <w:jc w:val="both"/>
        <w:rPr>
          <w:rFonts w:ascii="Times New Roman" w:hAnsi="Times New Roman"/>
          <w:sz w:val="24"/>
          <w:szCs w:val="24"/>
          <w:lang w:val="en-US"/>
        </w:rPr>
      </w:pPr>
    </w:p>
    <w:p w:rsidR="00446B43" w:rsidRDefault="00446B43" w:rsidP="00CE182C">
      <w:pPr>
        <w:spacing w:after="120" w:line="360" w:lineRule="auto"/>
        <w:jc w:val="both"/>
        <w:rPr>
          <w:rFonts w:ascii="Times New Roman" w:hAnsi="Times New Roman"/>
          <w:sz w:val="24"/>
          <w:szCs w:val="24"/>
          <w:lang w:val="en-US"/>
        </w:rPr>
        <w:sectPr w:rsidR="00446B43" w:rsidSect="005943CC">
          <w:footerReference w:type="default" r:id="rId14"/>
          <w:pgSz w:w="11906" w:h="16838"/>
          <w:pgMar w:top="1418" w:right="1418" w:bottom="1418" w:left="1701" w:header="709" w:footer="709" w:gutter="0"/>
          <w:pgNumType w:start="1"/>
          <w:cols w:space="708"/>
          <w:docGrid w:linePitch="360"/>
        </w:sectPr>
      </w:pPr>
    </w:p>
    <w:p w:rsidR="0032399E" w:rsidRDefault="00446B43" w:rsidP="00F84058">
      <w:pPr>
        <w:pStyle w:val="1"/>
        <w:rPr>
          <w:lang w:val="en-US"/>
        </w:rPr>
      </w:pPr>
      <w:bookmarkStart w:id="12" w:name="_Toc535248648"/>
      <w:r>
        <w:rPr>
          <w:lang w:val="en-US"/>
        </w:rPr>
        <w:lastRenderedPageBreak/>
        <w:t>Literature review</w:t>
      </w:r>
      <w:bookmarkEnd w:id="12"/>
    </w:p>
    <w:p w:rsidR="00972D49" w:rsidRPr="00B939D6" w:rsidRDefault="00975AE6" w:rsidP="00CE182C">
      <w:pPr>
        <w:pStyle w:val="2"/>
        <w:jc w:val="both"/>
        <w:rPr>
          <w:lang w:val="en-GB"/>
        </w:rPr>
      </w:pPr>
      <w:bookmarkStart w:id="13" w:name="_Toc535248649"/>
      <w:bookmarkEnd w:id="10"/>
      <w:r>
        <w:rPr>
          <w:lang w:val="en-GB"/>
        </w:rPr>
        <w:t>Consumer</w:t>
      </w:r>
      <w:r w:rsidR="00513C3E">
        <w:rPr>
          <w:lang w:val="en-GB"/>
        </w:rPr>
        <w:t>-</w:t>
      </w:r>
      <w:r>
        <w:rPr>
          <w:lang w:val="en-GB"/>
        </w:rPr>
        <w:t>perceived disadvantages of electric vehicles</w:t>
      </w:r>
      <w:bookmarkEnd w:id="13"/>
      <w:r>
        <w:rPr>
          <w:lang w:val="en-GB"/>
        </w:rPr>
        <w:t xml:space="preserve"> </w:t>
      </w:r>
    </w:p>
    <w:p w:rsidR="00B95983" w:rsidRDefault="003870F0" w:rsidP="00CE182C">
      <w:pPr>
        <w:spacing w:after="120" w:line="360" w:lineRule="auto"/>
        <w:jc w:val="both"/>
        <w:rPr>
          <w:rFonts w:ascii="Times New Roman" w:hAnsi="Times New Roman"/>
          <w:sz w:val="24"/>
          <w:szCs w:val="24"/>
          <w:highlight w:val="yellow"/>
          <w:lang w:val="en-US"/>
        </w:rPr>
      </w:pPr>
      <w:r>
        <w:rPr>
          <w:rFonts w:ascii="Times New Roman" w:hAnsi="Times New Roman"/>
          <w:sz w:val="24"/>
          <w:szCs w:val="24"/>
          <w:lang w:val="en-US"/>
        </w:rPr>
        <w:t>T</w:t>
      </w:r>
      <w:r w:rsidR="00B95983">
        <w:rPr>
          <w:rFonts w:ascii="Times New Roman" w:hAnsi="Times New Roman"/>
          <w:sz w:val="24"/>
          <w:szCs w:val="24"/>
          <w:lang w:val="en-US"/>
        </w:rPr>
        <w:t xml:space="preserve">he research on the EV market adoption focuses </w:t>
      </w:r>
      <w:r w:rsidR="00B95983" w:rsidRPr="002763BD">
        <w:rPr>
          <w:rFonts w:ascii="Times New Roman" w:hAnsi="Times New Roman"/>
          <w:sz w:val="24"/>
          <w:szCs w:val="24"/>
          <w:lang w:val="en-US"/>
        </w:rPr>
        <w:t xml:space="preserve">on </w:t>
      </w:r>
      <w:r w:rsidR="00B95983">
        <w:rPr>
          <w:rFonts w:ascii="Times New Roman" w:hAnsi="Times New Roman"/>
          <w:sz w:val="24"/>
          <w:szCs w:val="24"/>
          <w:lang w:val="en-US"/>
        </w:rPr>
        <w:t>the consumer perspective</w:t>
      </w:r>
      <w:r w:rsidR="00B95983" w:rsidRPr="002763BD">
        <w:rPr>
          <w:rFonts w:ascii="Times New Roman" w:hAnsi="Times New Roman"/>
          <w:sz w:val="24"/>
          <w:szCs w:val="24"/>
          <w:lang w:val="en-US"/>
        </w:rPr>
        <w:t xml:space="preserve"> identifying </w:t>
      </w:r>
      <w:r w:rsidR="00B95983">
        <w:rPr>
          <w:rFonts w:ascii="Times New Roman" w:hAnsi="Times New Roman"/>
          <w:sz w:val="24"/>
          <w:szCs w:val="24"/>
          <w:lang w:val="en-US"/>
        </w:rPr>
        <w:t xml:space="preserve">adoption behavior and </w:t>
      </w:r>
      <w:r w:rsidR="00B95983" w:rsidRPr="0036485A">
        <w:rPr>
          <w:rFonts w:ascii="Times New Roman" w:hAnsi="Times New Roman"/>
          <w:sz w:val="24"/>
          <w:szCs w:val="24"/>
          <w:lang w:val="en-US"/>
        </w:rPr>
        <w:t>demand-</w:t>
      </w:r>
      <w:r w:rsidR="00B95983">
        <w:rPr>
          <w:rFonts w:ascii="Times New Roman" w:hAnsi="Times New Roman"/>
          <w:sz w:val="24"/>
          <w:szCs w:val="24"/>
          <w:lang w:val="en-US"/>
        </w:rPr>
        <w:t xml:space="preserve">side </w:t>
      </w:r>
      <w:r w:rsidR="00B95983" w:rsidRPr="0036485A">
        <w:rPr>
          <w:rFonts w:ascii="Times New Roman" w:hAnsi="Times New Roman"/>
          <w:sz w:val="24"/>
          <w:szCs w:val="24"/>
          <w:lang w:val="en-US"/>
        </w:rPr>
        <w:t>barriers</w:t>
      </w:r>
      <w:r w:rsidR="00B95983">
        <w:rPr>
          <w:rFonts w:ascii="Times New Roman" w:hAnsi="Times New Roman"/>
          <w:sz w:val="24"/>
          <w:szCs w:val="24"/>
          <w:lang w:val="en-US"/>
        </w:rPr>
        <w:t xml:space="preserve">. Many studies in the period from </w:t>
      </w:r>
      <w:r w:rsidR="00B95983" w:rsidRPr="005A720C">
        <w:rPr>
          <w:rFonts w:ascii="Times New Roman" w:hAnsi="Times New Roman"/>
          <w:sz w:val="24"/>
          <w:szCs w:val="24"/>
          <w:lang w:val="en-US"/>
        </w:rPr>
        <w:t>2006 to 201</w:t>
      </w:r>
      <w:r w:rsidR="00F33666">
        <w:rPr>
          <w:rFonts w:ascii="Times New Roman" w:hAnsi="Times New Roman"/>
          <w:sz w:val="24"/>
          <w:szCs w:val="24"/>
          <w:lang w:val="en-US"/>
        </w:rPr>
        <w:t>6</w:t>
      </w:r>
      <w:r w:rsidR="00B95983" w:rsidRPr="005A720C">
        <w:rPr>
          <w:rFonts w:ascii="Times New Roman" w:hAnsi="Times New Roman"/>
          <w:sz w:val="24"/>
          <w:szCs w:val="24"/>
          <w:lang w:val="en-US"/>
        </w:rPr>
        <w:t xml:space="preserve"> examined the disadvantages of </w:t>
      </w:r>
      <w:r w:rsidR="00CC6D17">
        <w:rPr>
          <w:rFonts w:ascii="Times New Roman" w:hAnsi="Times New Roman"/>
          <w:sz w:val="24"/>
          <w:szCs w:val="24"/>
          <w:lang w:val="en-US"/>
        </w:rPr>
        <w:t>EVs</w:t>
      </w:r>
      <w:r w:rsidR="00B95983" w:rsidRPr="005A720C">
        <w:rPr>
          <w:rFonts w:ascii="Times New Roman" w:hAnsi="Times New Roman"/>
          <w:sz w:val="24"/>
          <w:szCs w:val="24"/>
          <w:lang w:val="en-US"/>
        </w:rPr>
        <w:t xml:space="preserve"> </w:t>
      </w:r>
      <w:r w:rsidR="00B26C42" w:rsidRPr="005A720C">
        <w:rPr>
          <w:rFonts w:ascii="Times New Roman" w:hAnsi="Times New Roman"/>
          <w:sz w:val="24"/>
          <w:szCs w:val="24"/>
          <w:lang w:val="en-US"/>
        </w:rPr>
        <w:t xml:space="preserve">perceived </w:t>
      </w:r>
      <w:r w:rsidR="00B95983" w:rsidRPr="005A720C">
        <w:rPr>
          <w:rFonts w:ascii="Times New Roman" w:hAnsi="Times New Roman"/>
          <w:sz w:val="24"/>
          <w:szCs w:val="24"/>
          <w:lang w:val="en-US"/>
        </w:rPr>
        <w:t>by consumers from different countries. In Norway</w:t>
      </w:r>
      <w:r w:rsidR="00975AE6" w:rsidRPr="005A720C">
        <w:rPr>
          <w:rFonts w:ascii="Times New Roman" w:hAnsi="Times New Roman"/>
          <w:sz w:val="24"/>
          <w:szCs w:val="24"/>
          <w:lang w:val="en-US"/>
        </w:rPr>
        <w:t>,</w:t>
      </w:r>
      <w:r w:rsidR="00B95983" w:rsidRPr="005A720C">
        <w:rPr>
          <w:rFonts w:ascii="Times New Roman" w:hAnsi="Times New Roman"/>
          <w:sz w:val="24"/>
          <w:szCs w:val="24"/>
          <w:lang w:val="en-US"/>
        </w:rPr>
        <w:t xml:space="preserve"> the range, recharging time and price were emphasized, along with other concerns such as traffic safety, </w:t>
      </w:r>
      <w:r w:rsidR="00A20CF6">
        <w:rPr>
          <w:rFonts w:ascii="Times New Roman" w:hAnsi="Times New Roman"/>
          <w:sz w:val="24"/>
          <w:szCs w:val="24"/>
          <w:lang w:val="en-US"/>
        </w:rPr>
        <w:t xml:space="preserve">resale value, </w:t>
      </w:r>
      <w:r w:rsidR="00286C0D">
        <w:rPr>
          <w:rFonts w:ascii="Times New Roman" w:hAnsi="Times New Roman"/>
          <w:sz w:val="24"/>
          <w:szCs w:val="24"/>
          <w:lang w:val="en-US"/>
        </w:rPr>
        <w:t xml:space="preserve">and </w:t>
      </w:r>
      <w:r w:rsidR="00B95983" w:rsidRPr="005A720C">
        <w:rPr>
          <w:rFonts w:ascii="Times New Roman" w:hAnsi="Times New Roman"/>
          <w:sz w:val="24"/>
          <w:szCs w:val="24"/>
          <w:lang w:val="en-US"/>
        </w:rPr>
        <w:t xml:space="preserve">functionality in winter </w:t>
      </w:r>
      <w:r w:rsidR="00B95983" w:rsidRPr="005A720C">
        <w:rPr>
          <w:rFonts w:ascii="Times New Roman" w:hAnsi="Times New Roman"/>
          <w:sz w:val="24"/>
          <w:szCs w:val="24"/>
          <w:lang w:val="en-US"/>
        </w:rPr>
        <w:fldChar w:fldCharType="begin" w:fldLock="1"/>
      </w:r>
      <w:r w:rsidR="00B95983" w:rsidRPr="005A720C">
        <w:rPr>
          <w:rFonts w:ascii="Times New Roman" w:hAnsi="Times New Roman"/>
          <w:sz w:val="24"/>
          <w:szCs w:val="24"/>
          <w:lang w:val="en-US"/>
        </w:rPr>
        <w:instrText>ADDIN CSL_CITATION {"citationItems":[{"id":"ITEM-1","itemData":{"abstract":"The Norwegian Electrical Vehicle (EV)-policy, with its many incentives and the establishment of Transnova, a body giving financial support to charging facilities, have reduced the barriers for E-mobility. Norwegians were ready to buy EVs when the big automakers launched their models into the Norwegian market. The share of EVs in the new car market in Norway is the largest in the world. The early adopters of EVs are typically men in multi-car households located in the largest City-regions. They are most often used for driving to work. Akershus is the province with the highest EV-share, here EV drivers have access to the bus-lanes and do not have to pay the tolls to get into Oslo city. It is likely that EV-drivers will continue to use EVs in the future and it seems that range is less of an issue for the existing drivers than expected. Most daily trips are within the range capability of modern EVs. The EV-trips in general replace trips with ICE-vehicles but also in some cases public transport. Fleets are lagging behind private consumers in EV-application. Modifying the extensive Norwegian EV-incentives as E-mobility enters the market expansion phase will be a major challenge.","author":[{"dropping-particle":"","family":"Figenbaum","given":"Erik","non-dropping-particle":"","parse-names":false,"suffix":""},{"dropping-particle":"","family":"Kolbenstvedt","given":"Marika","non-dropping-particle":"","parse-names":false,"suffix":""}],"id":"ITEM-1","issued":{"date-parts":[["2013"]]},"number-of-pages":"151","publisher-place":"Oslo","title":"Electromobility in Norway -experiences and opportunities with Electric vehicles","type":"report"},"uris":["http://www.mendeley.com/documents/?uuid=736abe67-d559-4e9e-b067-94fae8033951"]},{"id":"ITEM-2","itemData":{"DOI":"978-82-480-1602-1","ISBN":"9788248016021","abstract":"The results of 13 interviews, two meetings and a workshop undertaken in 2014 with a select group of stakeholders within electromobility in Norway, show that the stakeholders are optimistic as to the future of electromobility in Norway, providing that the incentives be maintained. Almost all stakeholders interviewed support the official policy to reduce the GHG (greenhouse gases) emissions by increasing the number of battery electric vehicles. Nevertheless, the stakeholders realise that the incentives will have to be downsized eventually. However, more charging stations are needed in residential areas without private parking facilities and along the main intercity corridors. Fast-charging stations appear to reduce range anxiety, even though most EV (electric vehicle) owners use them rarely","author":[{"dropping-particle":"","family":"Assum","given":"Terje","non-dropping-particle":"","parse-names":false,"suffix":""},{"dropping-particle":"","family":"Kolbenstvedt","given":"Marika","non-dropping-particle":"","parse-names":false,"suffix":""},{"dropping-particle":"","family":"Figenbaum","given":"Erik","non-dropping-particle":"","parse-names":false,"suffix":""}],"id":"ITEM-2","issued":{"date-parts":[["2014"]]},"number-of-pages":"59","publisher-place":"Oslo","title":"The future of electromobility in Norway – some stakeholder perspectives","type":"report"},"uris":["http://www.mendeley.com/documents/?uuid=ca40de2d-f982-3d6e-b876-249af064aaa8"]}],"mendeley":{"formattedCitation":"(Assum, Kolbenstvedt, &amp; Figenbaum, 2014; Figenbaum &amp; Kolbenstvedt, 2013)","plainTextFormattedCitation":"(Assum, Kolbenstvedt, &amp; Figenbaum, 2014; Figenbaum &amp; Kolbenstvedt, 2013)","previouslyFormattedCitation":"(Assum, Kolbenstvedt, &amp; Figenbaum, 2014; Figenbaum &amp; Kolbenstvedt, 2013)"},"properties":{"noteIndex":0},"schema":"https://github.com/citation-style-language/schema/raw/master/csl-citation.json"}</w:instrText>
      </w:r>
      <w:r w:rsidR="00B95983" w:rsidRPr="005A720C">
        <w:rPr>
          <w:rFonts w:ascii="Times New Roman" w:hAnsi="Times New Roman"/>
          <w:sz w:val="24"/>
          <w:szCs w:val="24"/>
          <w:lang w:val="en-US"/>
        </w:rPr>
        <w:fldChar w:fldCharType="separate"/>
      </w:r>
      <w:r w:rsidR="00B95983" w:rsidRPr="005A720C">
        <w:rPr>
          <w:rFonts w:ascii="Times New Roman" w:hAnsi="Times New Roman"/>
          <w:noProof/>
          <w:sz w:val="24"/>
          <w:szCs w:val="24"/>
          <w:lang w:val="en-US"/>
        </w:rPr>
        <w:t>(Assum, Kolbenstvedt, &amp; Figenbaum, 2014; Figenbaum &amp; Kolbenstvedt, 2013)</w:t>
      </w:r>
      <w:r w:rsidR="00B95983" w:rsidRPr="005A720C">
        <w:rPr>
          <w:rFonts w:ascii="Times New Roman" w:hAnsi="Times New Roman"/>
          <w:sz w:val="24"/>
          <w:szCs w:val="24"/>
          <w:lang w:val="en-US"/>
        </w:rPr>
        <w:fldChar w:fldCharType="end"/>
      </w:r>
      <w:r w:rsidR="00B95983" w:rsidRPr="005A720C">
        <w:rPr>
          <w:rFonts w:ascii="Times New Roman" w:hAnsi="Times New Roman"/>
          <w:sz w:val="24"/>
          <w:szCs w:val="24"/>
          <w:lang w:val="en-US"/>
        </w:rPr>
        <w:t xml:space="preserve">. In Germany, the barriers </w:t>
      </w:r>
      <w:r w:rsidR="00513C3E">
        <w:rPr>
          <w:rFonts w:ascii="Times New Roman" w:hAnsi="Times New Roman"/>
          <w:sz w:val="24"/>
          <w:szCs w:val="24"/>
          <w:lang w:val="en-US"/>
        </w:rPr>
        <w:t xml:space="preserve">are </w:t>
      </w:r>
      <w:r w:rsidR="00B95983" w:rsidRPr="005A720C">
        <w:rPr>
          <w:rFonts w:ascii="Times New Roman" w:hAnsi="Times New Roman"/>
          <w:sz w:val="24"/>
          <w:szCs w:val="24"/>
          <w:lang w:val="en-US"/>
        </w:rPr>
        <w:t>related to the topics of costs,</w:t>
      </w:r>
      <w:r w:rsidR="00AD1F21">
        <w:rPr>
          <w:rFonts w:ascii="Times New Roman" w:hAnsi="Times New Roman"/>
          <w:sz w:val="24"/>
          <w:szCs w:val="24"/>
          <w:lang w:val="en-US"/>
        </w:rPr>
        <w:t xml:space="preserve"> price, range,</w:t>
      </w:r>
      <w:r w:rsidR="00B95983" w:rsidRPr="005A720C">
        <w:rPr>
          <w:rFonts w:ascii="Times New Roman" w:hAnsi="Times New Roman"/>
          <w:sz w:val="24"/>
          <w:szCs w:val="24"/>
          <w:lang w:val="en-US"/>
        </w:rPr>
        <w:t xml:space="preserve"> infrastructure, security of the technology, and practicability (</w:t>
      </w:r>
      <w:proofErr w:type="spellStart"/>
      <w:r w:rsidR="00B95983" w:rsidRPr="005A720C">
        <w:rPr>
          <w:rFonts w:ascii="Times New Roman" w:hAnsi="Times New Roman"/>
          <w:sz w:val="24"/>
          <w:szCs w:val="24"/>
          <w:lang w:val="en-US"/>
        </w:rPr>
        <w:t>Zaunbrecher</w:t>
      </w:r>
      <w:proofErr w:type="spellEnd"/>
      <w:r w:rsidR="00B95983" w:rsidRPr="005A720C">
        <w:rPr>
          <w:rFonts w:ascii="Times New Roman" w:hAnsi="Times New Roman"/>
          <w:sz w:val="24"/>
          <w:szCs w:val="24"/>
          <w:lang w:val="en-US"/>
        </w:rPr>
        <w:t xml:space="preserve">, </w:t>
      </w:r>
      <w:proofErr w:type="spellStart"/>
      <w:r w:rsidR="00B95983" w:rsidRPr="005A720C">
        <w:rPr>
          <w:rFonts w:ascii="Times New Roman" w:hAnsi="Times New Roman"/>
          <w:sz w:val="24"/>
          <w:szCs w:val="24"/>
          <w:lang w:val="en-US"/>
        </w:rPr>
        <w:t>Beul-Leusmann</w:t>
      </w:r>
      <w:proofErr w:type="spellEnd"/>
      <w:r w:rsidR="00B95983" w:rsidRPr="005A720C">
        <w:rPr>
          <w:rFonts w:ascii="Times New Roman" w:hAnsi="Times New Roman"/>
          <w:sz w:val="24"/>
          <w:szCs w:val="24"/>
          <w:lang w:val="en-US"/>
        </w:rPr>
        <w:t xml:space="preserve">, &amp; </w:t>
      </w:r>
      <w:proofErr w:type="spellStart"/>
      <w:r w:rsidR="00B95983" w:rsidRPr="005A720C">
        <w:rPr>
          <w:rFonts w:ascii="Times New Roman" w:hAnsi="Times New Roman"/>
          <w:sz w:val="24"/>
          <w:szCs w:val="24"/>
          <w:lang w:val="en-US"/>
        </w:rPr>
        <w:t>Ziefle</w:t>
      </w:r>
      <w:proofErr w:type="spellEnd"/>
      <w:r w:rsidR="00B95983" w:rsidRPr="005A720C">
        <w:rPr>
          <w:rFonts w:ascii="Times New Roman" w:hAnsi="Times New Roman"/>
          <w:sz w:val="24"/>
          <w:szCs w:val="24"/>
          <w:lang w:val="en-US"/>
        </w:rPr>
        <w:t>, 2015</w:t>
      </w:r>
      <w:r w:rsidR="00AD1F21">
        <w:rPr>
          <w:rFonts w:ascii="Times New Roman" w:hAnsi="Times New Roman"/>
          <w:sz w:val="24"/>
          <w:szCs w:val="24"/>
          <w:lang w:val="en-US"/>
        </w:rPr>
        <w:t>;</w:t>
      </w:r>
      <w:r w:rsidR="00B95983" w:rsidRPr="005A720C">
        <w:rPr>
          <w:rFonts w:ascii="Times New Roman" w:hAnsi="Times New Roman"/>
          <w:sz w:val="24"/>
          <w:szCs w:val="24"/>
          <w:lang w:val="en-US"/>
        </w:rPr>
        <w:t xml:space="preserve"> </w:t>
      </w:r>
      <w:r w:rsidR="00B95983" w:rsidRPr="005A720C">
        <w:rPr>
          <w:rFonts w:ascii="Times New Roman" w:hAnsi="Times New Roman"/>
          <w:sz w:val="24"/>
          <w:szCs w:val="24"/>
          <w:lang w:val="en-US"/>
        </w:rPr>
        <w:fldChar w:fldCharType="begin" w:fldLock="1"/>
      </w:r>
      <w:r w:rsidR="00AD1F21">
        <w:rPr>
          <w:rFonts w:ascii="Times New Roman" w:hAnsi="Times New Roman"/>
          <w:sz w:val="24"/>
          <w:szCs w:val="24"/>
          <w:lang w:val="en-US"/>
        </w:rPr>
        <w:instrText>ADDIN CSL_CITATION {"citationItems":[{"id":"ITEM-1","itemData":{"DOI":"10.1016/j.trd.2010.12.001","ISBN":"1361-9209","ISSN":"13619209","abstract":"This study forecasts the market potential of electric vehicles by looking at 14 categories of vehicle. It weighs the individual priorities against social preferences and a selection process is used to analyse priorities and barriers to allow individuals considered potential electric vehicle buyers to be identified. © 2010 Elsevier Ltd.","author":[{"dropping-particle":"","family":"Lieven","given":"Theo","non-dropping-particle":"","parse-names":false,"suffix":""},{"dropping-particle":"","family":"Mühlmeier","given":"Silke","non-dropping-particle":"","parse-names":false,"suffix":""},{"dropping-particle":"","family":"Henkel","given":"Sven","non-dropping-particle":"","parse-names":false,"suffix":""},{"dropping-particle":"","family":"Waller","given":"Johann F.","non-dropping-particle":"","parse-names":false,"suffix":""}],"container-title":"Transportation Research Part D: Transport and Environment","id":"ITEM-1","issue":"3","issued":{"date-parts":[["2011"]]},"page":"236-243","publisher":"Elsevier Ltd","title":"Who will buy electric cars? An empirical study in Germany","type":"article-journal","volume":"16"},"uris":["http://www.mendeley.com/documents/?uuid=404166b0-d4aa-4acb-8767-47f8a1587708"]}],"mendeley":{"formattedCitation":"(Lieven, Mühlmeier, Henkel, &amp; Waller, 2011)","manualFormatting":"Lieven, Mühlmeier, Henkel, &amp; Waller, 2011)","plainTextFormattedCitation":"(Lieven, Mühlmeier, Henkel, &amp; Waller, 2011)","previouslyFormattedCitation":"(Lieven, Mühlmeier, Henkel, &amp; Waller, 2011)"},"properties":{"noteIndex":0},"schema":"https://github.com/citation-style-language/schema/raw/master/csl-citation.json"}</w:instrText>
      </w:r>
      <w:r w:rsidR="00B95983" w:rsidRPr="005A720C">
        <w:rPr>
          <w:rFonts w:ascii="Times New Roman" w:hAnsi="Times New Roman"/>
          <w:sz w:val="24"/>
          <w:szCs w:val="24"/>
          <w:lang w:val="en-US"/>
        </w:rPr>
        <w:fldChar w:fldCharType="separate"/>
      </w:r>
      <w:r w:rsidR="00B95983" w:rsidRPr="005A720C">
        <w:rPr>
          <w:rFonts w:ascii="Times New Roman" w:hAnsi="Times New Roman"/>
          <w:noProof/>
          <w:sz w:val="24"/>
          <w:szCs w:val="24"/>
          <w:lang w:val="en-US"/>
        </w:rPr>
        <w:t>Lieven, Mühlmeier, Henkel, &amp; Waller, 2011)</w:t>
      </w:r>
      <w:r w:rsidR="00B95983" w:rsidRPr="005A720C">
        <w:rPr>
          <w:rFonts w:ascii="Times New Roman" w:hAnsi="Times New Roman"/>
          <w:sz w:val="24"/>
          <w:szCs w:val="24"/>
          <w:lang w:val="en-US"/>
        </w:rPr>
        <w:fldChar w:fldCharType="end"/>
      </w:r>
      <w:r w:rsidR="00B95983" w:rsidRPr="005A720C">
        <w:rPr>
          <w:rFonts w:ascii="Times New Roman" w:hAnsi="Times New Roman"/>
          <w:sz w:val="24"/>
          <w:szCs w:val="24"/>
          <w:lang w:val="en-US"/>
        </w:rPr>
        <w:t xml:space="preserve">. </w:t>
      </w:r>
      <w:r w:rsidR="00513C3E">
        <w:rPr>
          <w:rFonts w:ascii="Times New Roman" w:hAnsi="Times New Roman"/>
          <w:sz w:val="24"/>
          <w:szCs w:val="24"/>
          <w:lang w:val="en-US"/>
        </w:rPr>
        <w:t xml:space="preserve">A </w:t>
      </w:r>
      <w:proofErr w:type="spellStart"/>
      <w:r w:rsidR="00513C3E">
        <w:rPr>
          <w:rFonts w:ascii="Times New Roman" w:hAnsi="Times New Roman"/>
          <w:sz w:val="24"/>
          <w:szCs w:val="24"/>
          <w:lang w:val="en-US"/>
        </w:rPr>
        <w:t>e</w:t>
      </w:r>
      <w:r w:rsidR="00B95983" w:rsidRPr="005A720C">
        <w:rPr>
          <w:rFonts w:ascii="Times New Roman" w:hAnsi="Times New Roman"/>
          <w:sz w:val="24"/>
          <w:szCs w:val="24"/>
          <w:lang w:val="en-US"/>
        </w:rPr>
        <w:t>urope-wide</w:t>
      </w:r>
      <w:proofErr w:type="spellEnd"/>
      <w:r w:rsidR="00B95983" w:rsidRPr="005A720C">
        <w:rPr>
          <w:rFonts w:ascii="Times New Roman" w:hAnsi="Times New Roman"/>
          <w:sz w:val="24"/>
          <w:szCs w:val="24"/>
          <w:lang w:val="en-US"/>
        </w:rPr>
        <w:t xml:space="preserve"> survey found out that </w:t>
      </w:r>
      <w:r w:rsidR="00513C3E">
        <w:rPr>
          <w:rFonts w:ascii="Times New Roman" w:hAnsi="Times New Roman"/>
          <w:sz w:val="24"/>
          <w:szCs w:val="24"/>
          <w:lang w:val="en-US"/>
        </w:rPr>
        <w:t xml:space="preserve">the </w:t>
      </w:r>
      <w:r w:rsidR="00B95983">
        <w:rPr>
          <w:rFonts w:ascii="Times New Roman" w:hAnsi="Times New Roman"/>
          <w:sz w:val="24"/>
          <w:szCs w:val="24"/>
          <w:lang w:val="en-US"/>
        </w:rPr>
        <w:t>high purchase price is the main obstacle for the</w:t>
      </w:r>
      <w:r w:rsidR="00513C3E">
        <w:rPr>
          <w:rFonts w:ascii="Times New Roman" w:hAnsi="Times New Roman"/>
          <w:sz w:val="24"/>
          <w:szCs w:val="24"/>
          <w:lang w:val="en-US"/>
        </w:rPr>
        <w:t xml:space="preserve"> </w:t>
      </w:r>
      <w:r w:rsidR="00B95983">
        <w:rPr>
          <w:rFonts w:ascii="Times New Roman" w:hAnsi="Times New Roman"/>
          <w:sz w:val="24"/>
          <w:szCs w:val="24"/>
          <w:lang w:val="en-US"/>
        </w:rPr>
        <w:t>adoption</w:t>
      </w:r>
      <w:r w:rsidR="00513C3E">
        <w:rPr>
          <w:rFonts w:ascii="Times New Roman" w:hAnsi="Times New Roman"/>
          <w:sz w:val="24"/>
          <w:szCs w:val="24"/>
          <w:lang w:val="en-US"/>
        </w:rPr>
        <w:t xml:space="preserve"> of EVs</w:t>
      </w:r>
      <w:r w:rsidR="00B95983">
        <w:rPr>
          <w:rFonts w:ascii="Times New Roman" w:hAnsi="Times New Roman"/>
          <w:sz w:val="24"/>
          <w:szCs w:val="24"/>
          <w:lang w:val="en-US"/>
        </w:rPr>
        <w:t xml:space="preserve">, since respondents </w:t>
      </w:r>
      <w:r w:rsidR="00AD1F21">
        <w:rPr>
          <w:rFonts w:ascii="Times New Roman" w:hAnsi="Times New Roman"/>
          <w:sz w:val="24"/>
          <w:szCs w:val="24"/>
          <w:lang w:val="en-US"/>
        </w:rPr>
        <w:t>were</w:t>
      </w:r>
      <w:r w:rsidR="00B95983">
        <w:rPr>
          <w:rFonts w:ascii="Times New Roman" w:hAnsi="Times New Roman"/>
          <w:sz w:val="24"/>
          <w:szCs w:val="24"/>
          <w:lang w:val="en-US"/>
        </w:rPr>
        <w:t xml:space="preserve"> </w:t>
      </w:r>
      <w:r w:rsidR="00DF4261">
        <w:rPr>
          <w:rFonts w:ascii="Times New Roman" w:hAnsi="Times New Roman"/>
          <w:sz w:val="24"/>
          <w:szCs w:val="24"/>
          <w:lang w:val="en-US"/>
        </w:rPr>
        <w:t xml:space="preserve">not </w:t>
      </w:r>
      <w:r w:rsidR="00286C0D">
        <w:rPr>
          <w:rFonts w:ascii="Times New Roman" w:hAnsi="Times New Roman"/>
          <w:sz w:val="24"/>
          <w:szCs w:val="24"/>
          <w:lang w:val="en-US"/>
        </w:rPr>
        <w:t>aware of</w:t>
      </w:r>
      <w:r w:rsidR="00B95983">
        <w:rPr>
          <w:rFonts w:ascii="Times New Roman" w:hAnsi="Times New Roman"/>
          <w:sz w:val="24"/>
          <w:szCs w:val="24"/>
          <w:lang w:val="en-US"/>
        </w:rPr>
        <w:t xml:space="preserve"> the </w:t>
      </w:r>
      <w:proofErr w:type="spellStart"/>
      <w:r w:rsidR="00B95983">
        <w:rPr>
          <w:rFonts w:ascii="Times New Roman" w:hAnsi="Times New Roman"/>
          <w:sz w:val="24"/>
          <w:szCs w:val="24"/>
          <w:lang w:val="en-US"/>
        </w:rPr>
        <w:t>EVs’</w:t>
      </w:r>
      <w:proofErr w:type="spellEnd"/>
      <w:r w:rsidR="00B95983">
        <w:rPr>
          <w:rFonts w:ascii="Times New Roman" w:hAnsi="Times New Roman"/>
          <w:sz w:val="24"/>
          <w:szCs w:val="24"/>
          <w:lang w:val="en-US"/>
        </w:rPr>
        <w:t xml:space="preserve"> lower operating costs</w:t>
      </w:r>
      <w:r w:rsidR="00AD1F21">
        <w:rPr>
          <w:rFonts w:ascii="Times New Roman" w:hAnsi="Times New Roman"/>
          <w:sz w:val="24"/>
          <w:szCs w:val="24"/>
          <w:lang w:val="en-US"/>
        </w:rPr>
        <w:t xml:space="preserve"> (</w:t>
      </w:r>
      <w:proofErr w:type="spellStart"/>
      <w:r w:rsidR="00AD1F21" w:rsidRPr="005A720C">
        <w:rPr>
          <w:rFonts w:ascii="Times New Roman" w:hAnsi="Times New Roman"/>
          <w:sz w:val="24"/>
          <w:szCs w:val="24"/>
          <w:lang w:val="en-US"/>
        </w:rPr>
        <w:fldChar w:fldCharType="begin" w:fldLock="1"/>
      </w:r>
      <w:r w:rsidR="00AD1F21" w:rsidRPr="005A720C">
        <w:rPr>
          <w:rFonts w:ascii="Times New Roman" w:hAnsi="Times New Roman"/>
          <w:sz w:val="24"/>
          <w:szCs w:val="24"/>
          <w:lang w:val="en-US"/>
        </w:rPr>
        <w:instrText>ADDIN CSL_CITATION {"citationItems":[{"id":"ITEM-1","itemData":{"DOI":"10.1007/s12544-015-0178-0","ISSN":"18668887","abstract":"Introduction: Electric vehicles can be a successful mobility alternative, but several obstacles and challenges have to be overcome first. Especially the customers’ purchase decision determines whether an innovation like electromobility will be eventually successful. The objective of this paper covers the investigation of consumer’s attitude towards electric vehicles and their opinion on potential promotion measures and its impact on market penetration scenarios in different countries. Methods: The aforementioned issues were investigated via a European wide online consumer survey. It was designed to identify the awareness of potential consumers of electric cars as well as to discover their attitude towards this new technology. In addition to the picture of potential demand-related obstacles, the consumers were asked to evaluate the suitability of various promotion measures. Finally, the findings were included in an agent based vehicle market model which specifies consumer demand and market supply of electromobility scenarios. Results: The results show that the consumer attitude towards electromobility is rather positive and electric vehicles are generally perceived as environment-friendly and secure. But the high acquisition costs and the uncertainty about the operating costs deter consumers from purchasing an electric car. First results of the inclusion of potential promotion measures such as financial incentives in a scenario based market model show a significant increase of the electric vehicle uptake in Germany. Conclusions: Potential customers have high expectations regarding the comfort and range of an electric vehicle. One of the most important barriers and obstacles for a broad market uptake are the currently high purchase prices for this new technology. Therefore, it seems quite necessary to make electric vehicles from a customer’s standpoint more attractive. From the customer’s perspective a dense network of charging stations and financial measures such as tax and energy cost reductions are vital prerequisites in order to convince them to buy an electric vehicle. Finally, it has been proven within a scenario based market model for Germany that the use of different promotion measures by the national government can enhance the market share of electric vehicles substantially until 2030.","author":[{"dropping-particle":"","family":"Bühne","given":"Jan André","non-dropping-particle":"","parse-names":false,"suffix":""},{"dropping-particle":"","family":"Gruschwitz","given":"Dana","non-dropping-particle":"","parse-names":false,"suffix":""},{"dropping-particle":"","family":"Hölscher","given":"Jana","non-dropping-particle":"","parse-names":false,"suffix":""},{"dropping-particle":"","family":"Klötzke","given":"Matthias","non-dropping-particle":"","parse-names":false,"suffix":""},{"dropping-particle":"","family":"Kugler","given":"Ulrike","non-dropping-particle":"","parse-names":false,"suffix":""},{"dropping-particle":"","family":"Schimeczek","given":"Christoph","non-dropping-particle":"","parse-names":false,"suffix":""}],"container-title":"European Transport Research Review","id":"ITEM-1","issue":"3","issued":{"date-parts":[["2015"]]},"title":"How to promote electromobility for European car drivers? Obstacles to overcome for a broad market penetration","type":"article-journal","volume":"7"},"uris":["http://www.mendeley.com/documents/?uuid=c06371a2-73dc-47f0-91f9-6fbe4c5f6f10"]}],"mendeley":{"formattedCitation":"(Bühne et al., 2015)","manualFormatting":"Bühne et al., 2015","plainTextFormattedCitation":"(Bühne et al., 2015)","previouslyFormattedCitation":"(Bühne et al., 2015)"},"properties":{"noteIndex":0},"schema":"https://github.com/citation-style-language/schema/raw/master/csl-citation.json"}</w:instrText>
      </w:r>
      <w:r w:rsidR="00AD1F21" w:rsidRPr="005A720C">
        <w:rPr>
          <w:rFonts w:ascii="Times New Roman" w:hAnsi="Times New Roman"/>
          <w:sz w:val="24"/>
          <w:szCs w:val="24"/>
          <w:lang w:val="en-US"/>
        </w:rPr>
        <w:fldChar w:fldCharType="separate"/>
      </w:r>
      <w:r w:rsidR="00AD1F21" w:rsidRPr="005A720C">
        <w:rPr>
          <w:rFonts w:ascii="Times New Roman" w:hAnsi="Times New Roman"/>
          <w:noProof/>
          <w:sz w:val="24"/>
          <w:szCs w:val="24"/>
          <w:lang w:val="en-US"/>
        </w:rPr>
        <w:t>Bühne</w:t>
      </w:r>
      <w:proofErr w:type="spellEnd"/>
      <w:r w:rsidR="00AD1F21" w:rsidRPr="005A720C">
        <w:rPr>
          <w:rFonts w:ascii="Times New Roman" w:hAnsi="Times New Roman"/>
          <w:noProof/>
          <w:sz w:val="24"/>
          <w:szCs w:val="24"/>
          <w:lang w:val="en-US"/>
        </w:rPr>
        <w:t xml:space="preserve"> et al., 2015</w:t>
      </w:r>
      <w:r w:rsidR="00AD1F21" w:rsidRPr="005A720C">
        <w:rPr>
          <w:rFonts w:ascii="Times New Roman" w:hAnsi="Times New Roman"/>
          <w:sz w:val="24"/>
          <w:szCs w:val="24"/>
          <w:lang w:val="en-US"/>
        </w:rPr>
        <w:fldChar w:fldCharType="end"/>
      </w:r>
      <w:r w:rsidR="00AD1F21">
        <w:rPr>
          <w:rFonts w:ascii="Times New Roman" w:hAnsi="Times New Roman"/>
          <w:sz w:val="24"/>
          <w:szCs w:val="24"/>
          <w:lang w:val="en-US"/>
        </w:rPr>
        <w:t>)</w:t>
      </w:r>
      <w:r w:rsidR="00B95983">
        <w:rPr>
          <w:rFonts w:ascii="Times New Roman" w:hAnsi="Times New Roman"/>
          <w:sz w:val="24"/>
          <w:szCs w:val="24"/>
          <w:lang w:val="en-US"/>
        </w:rPr>
        <w:t xml:space="preserve">. </w:t>
      </w:r>
      <w:r w:rsidR="00513C3E">
        <w:rPr>
          <w:rFonts w:ascii="Times New Roman" w:hAnsi="Times New Roman"/>
          <w:sz w:val="24"/>
          <w:szCs w:val="24"/>
          <w:lang w:val="en-US"/>
        </w:rPr>
        <w:t>S</w:t>
      </w:r>
      <w:r w:rsidR="00B95983">
        <w:rPr>
          <w:rFonts w:ascii="Times New Roman" w:hAnsi="Times New Roman"/>
          <w:sz w:val="24"/>
          <w:szCs w:val="24"/>
          <w:lang w:val="en-US"/>
        </w:rPr>
        <w:t xml:space="preserve">urveys </w:t>
      </w:r>
      <w:r w:rsidR="003B099E">
        <w:rPr>
          <w:rFonts w:ascii="Times New Roman" w:hAnsi="Times New Roman"/>
          <w:sz w:val="24"/>
          <w:szCs w:val="24"/>
          <w:lang w:val="en-US"/>
        </w:rPr>
        <w:t>from</w:t>
      </w:r>
      <w:r w:rsidR="00B95983">
        <w:rPr>
          <w:rFonts w:ascii="Times New Roman" w:hAnsi="Times New Roman"/>
          <w:sz w:val="24"/>
          <w:szCs w:val="24"/>
          <w:lang w:val="en-US"/>
        </w:rPr>
        <w:t xml:space="preserve"> the U.S. and China showed that </w:t>
      </w:r>
      <w:r w:rsidR="005B2BAE">
        <w:rPr>
          <w:rFonts w:ascii="Times New Roman" w:hAnsi="Times New Roman"/>
          <w:sz w:val="24"/>
          <w:szCs w:val="24"/>
          <w:lang w:val="en-US"/>
        </w:rPr>
        <w:t xml:space="preserve">consumers do not prefer EVs over other alternatives, with issues </w:t>
      </w:r>
      <w:r w:rsidR="00C94149">
        <w:rPr>
          <w:rFonts w:ascii="Times New Roman" w:hAnsi="Times New Roman"/>
          <w:sz w:val="24"/>
          <w:szCs w:val="24"/>
          <w:lang w:val="en-US"/>
        </w:rPr>
        <w:t xml:space="preserve">in terms </w:t>
      </w:r>
      <w:r w:rsidR="005B2BAE">
        <w:rPr>
          <w:rFonts w:ascii="Times New Roman" w:hAnsi="Times New Roman"/>
          <w:sz w:val="24"/>
          <w:szCs w:val="24"/>
          <w:lang w:val="en-US"/>
        </w:rPr>
        <w:t>of price</w:t>
      </w:r>
      <w:r w:rsidR="00B95983" w:rsidRPr="009A5DFD">
        <w:rPr>
          <w:rFonts w:ascii="Times New Roman" w:hAnsi="Times New Roman"/>
          <w:sz w:val="24"/>
          <w:szCs w:val="24"/>
          <w:lang w:val="en-US"/>
        </w:rPr>
        <w:t xml:space="preserve">, operating cost, </w:t>
      </w:r>
      <w:r w:rsidR="005B2BAE">
        <w:rPr>
          <w:rFonts w:ascii="Times New Roman" w:hAnsi="Times New Roman"/>
          <w:sz w:val="24"/>
          <w:szCs w:val="24"/>
          <w:lang w:val="en-US"/>
        </w:rPr>
        <w:t xml:space="preserve">recharging, driving range, and </w:t>
      </w:r>
      <w:r w:rsidR="00B95983" w:rsidRPr="009A5DFD">
        <w:rPr>
          <w:rFonts w:ascii="Times New Roman" w:hAnsi="Times New Roman"/>
          <w:sz w:val="24"/>
          <w:szCs w:val="24"/>
          <w:lang w:val="en-US"/>
        </w:rPr>
        <w:t>acceleration time</w:t>
      </w:r>
      <w:r w:rsidR="005B2BAE">
        <w:rPr>
          <w:rFonts w:ascii="Times New Roman" w:hAnsi="Times New Roman"/>
          <w:sz w:val="24"/>
          <w:szCs w:val="24"/>
          <w:lang w:val="en-US"/>
        </w:rPr>
        <w:t xml:space="preserve"> diminishing interest in EVs</w:t>
      </w:r>
      <w:r w:rsidR="00B95983" w:rsidRPr="009A5DFD">
        <w:rPr>
          <w:rFonts w:ascii="Times New Roman" w:hAnsi="Times New Roman"/>
          <w:sz w:val="24"/>
          <w:szCs w:val="24"/>
          <w:lang w:val="en-US"/>
        </w:rPr>
        <w:t xml:space="preserve"> </w:t>
      </w:r>
      <w:r w:rsidR="00B95983">
        <w:rPr>
          <w:rFonts w:ascii="Times New Roman" w:hAnsi="Times New Roman"/>
          <w:sz w:val="24"/>
          <w:szCs w:val="24"/>
          <w:lang w:val="en-US"/>
        </w:rPr>
        <w:fldChar w:fldCharType="begin" w:fldLock="1"/>
      </w:r>
      <w:r w:rsidR="005B2BAE">
        <w:rPr>
          <w:rFonts w:ascii="Times New Roman" w:hAnsi="Times New Roman"/>
          <w:sz w:val="24"/>
          <w:szCs w:val="24"/>
          <w:lang w:val="en-US"/>
        </w:rPr>
        <w:instrText>ADDIN CSL_CITATION {"citationItems":[{"id":"ITEM-1","itemData":{"DOI":"10.1016/j.tra.2015.01.002","ISBN":"0965-8564","ISSN":"09658564","PMID":"14419462","abstract":"We model consumer preferences for conventional, hybrid electric, plug-in hybrid electric (PHEV), and battery electric (BEV) vehicle technologies in China and the U.S. using data from choice-based conjoint surveys fielded in 2012-2013 in both countries. We find that with the combined bundle of attributes offered by vehicles available today, gasoline vehicles continue in both countries to be most attractive to consumers, and American respondents have significantly lower relative willingness-to-pay for BEV technology than Chinese respondents. While U.S. and Chinese subsidies are similar, favoring vehicles with larger battery packs, differences in consumer preferences lead to different outcomes. Our results suggest that with or without each country's 2012-2013 subsidies, Chinese consumers are willing to adopt today's BEVs and mid-range PHEVs at similar rates relative to their respective gasoline counterparts, whereas American consumers prefer low-range PHEVs despite subsidies. This implies potential for earlier BEV adoption in China, given adequate supply. While there are clear national security benefits for adoption of BEVs in China, the local and global social impact is unclear: With higher electricity generation emissions in China, a transition to BEVs may reduce oil consumption at the expense of increased air pollution and/or greenhouse gas emissions. On the other hand, demand from China could increase global incentives for electric vehicle technology development with the potential to reduce emissions in countries where electricity generation is associated with lower emissions.","author":[{"dropping-particle":"","family":"Helveston","given":"John Paul","non-dropping-particle":"","parse-names":false,"suffix":""},{"dropping-particle":"","family":"Liu","given":"Yimin","non-dropping-particle":"","parse-names":false,"suffix":""},{"dropping-particle":"","family":"Feit","given":"Elea Mc Donnell","non-dropping-particle":"","parse-names":false,"suffix":""},{"dropping-particle":"","family":"Fuchs","given":"Erica","non-dropping-particle":"","parse-names":false,"suffix":""},{"dropping-particle":"","family":"Klampfl","given":"Erica","non-dropping-particle":"","parse-names":false,"suffix":""},{"dropping-particle":"","family":"Michalek","given":"Jeremy J.","non-dropping-particle":"","parse-names":false,"suffix":""}],"container-title":"Transportation Research Part A: Policy and Practice","id":"ITEM-1","issued":{"date-parts":[["2015"]]},"page":"96-112","publisher":"Elsevier Ltd","title":"Will subsidies drive electric vehicle adoption? Measuring consumer preferences in the U.S. and China","type":"article-journal","volume":"73"},"uris":["http://www.mendeley.com/documents/?uuid=3ec70b39-4272-41c0-bba3-8a0383b3d5f9"]}],"mendeley":{"formattedCitation":"(Helveston et al., 2015)","manualFormatting":"(Helveston et al., 2015; Carley, Krause, Lane, &amp; Graham, 2013)","plainTextFormattedCitation":"(Helveston et al., 2015)","previouslyFormattedCitation":"(Helveston et al., 2015)"},"properties":{"noteIndex":0},"schema":"https://github.com/citation-style-language/schema/raw/master/csl-citation.json"}</w:instrText>
      </w:r>
      <w:r w:rsidR="00B95983">
        <w:rPr>
          <w:rFonts w:ascii="Times New Roman" w:hAnsi="Times New Roman"/>
          <w:sz w:val="24"/>
          <w:szCs w:val="24"/>
          <w:lang w:val="en-US"/>
        </w:rPr>
        <w:fldChar w:fldCharType="separate"/>
      </w:r>
      <w:r w:rsidR="00B95983" w:rsidRPr="007A1506">
        <w:rPr>
          <w:rFonts w:ascii="Times New Roman" w:hAnsi="Times New Roman"/>
          <w:noProof/>
          <w:sz w:val="24"/>
          <w:szCs w:val="24"/>
          <w:lang w:val="en-US"/>
        </w:rPr>
        <w:t>(Helveston et al., 2015</w:t>
      </w:r>
      <w:r w:rsidR="005B2BAE">
        <w:rPr>
          <w:rFonts w:ascii="Times New Roman" w:hAnsi="Times New Roman"/>
          <w:noProof/>
          <w:sz w:val="24"/>
          <w:szCs w:val="24"/>
          <w:lang w:val="en-US"/>
        </w:rPr>
        <w:t xml:space="preserve">; </w:t>
      </w:r>
      <w:r w:rsidR="005B2BAE" w:rsidRPr="00FB60B4">
        <w:rPr>
          <w:rFonts w:ascii="Times New Roman" w:hAnsi="Times New Roman"/>
          <w:noProof/>
          <w:sz w:val="24"/>
          <w:szCs w:val="24"/>
          <w:lang w:val="en-US"/>
        </w:rPr>
        <w:t>Carley, Krause, Lane, &amp; Graham, 2013</w:t>
      </w:r>
      <w:r w:rsidR="00B95983" w:rsidRPr="007A1506">
        <w:rPr>
          <w:rFonts w:ascii="Times New Roman" w:hAnsi="Times New Roman"/>
          <w:noProof/>
          <w:sz w:val="24"/>
          <w:szCs w:val="24"/>
          <w:lang w:val="en-US"/>
        </w:rPr>
        <w:t>)</w:t>
      </w:r>
      <w:r w:rsidR="00B95983">
        <w:rPr>
          <w:rFonts w:ascii="Times New Roman" w:hAnsi="Times New Roman"/>
          <w:sz w:val="24"/>
          <w:szCs w:val="24"/>
          <w:lang w:val="en-US"/>
        </w:rPr>
        <w:fldChar w:fldCharType="end"/>
      </w:r>
      <w:r w:rsidR="00B95983">
        <w:rPr>
          <w:rFonts w:ascii="Times New Roman" w:hAnsi="Times New Roman"/>
          <w:sz w:val="24"/>
          <w:szCs w:val="24"/>
          <w:lang w:val="en-US"/>
        </w:rPr>
        <w:t xml:space="preserve">. </w:t>
      </w:r>
      <w:r w:rsidR="003B099E">
        <w:rPr>
          <w:rFonts w:ascii="Times New Roman" w:hAnsi="Times New Roman"/>
          <w:sz w:val="24"/>
          <w:szCs w:val="24"/>
          <w:lang w:val="en-US"/>
        </w:rPr>
        <w:t>Overall, t</w:t>
      </w:r>
      <w:r w:rsidR="00CE1A8F">
        <w:rPr>
          <w:rFonts w:ascii="Times New Roman" w:hAnsi="Times New Roman"/>
          <w:sz w:val="24"/>
          <w:szCs w:val="24"/>
          <w:lang w:val="en-US"/>
        </w:rPr>
        <w:t xml:space="preserve">he </w:t>
      </w:r>
      <w:r w:rsidR="003B099E">
        <w:rPr>
          <w:rFonts w:ascii="Times New Roman" w:hAnsi="Times New Roman"/>
          <w:sz w:val="24"/>
          <w:szCs w:val="24"/>
          <w:lang w:val="en-US"/>
        </w:rPr>
        <w:t>results</w:t>
      </w:r>
      <w:r w:rsidR="005A0176">
        <w:rPr>
          <w:rFonts w:ascii="Times New Roman" w:hAnsi="Times New Roman"/>
          <w:sz w:val="24"/>
          <w:szCs w:val="24"/>
          <w:lang w:val="en-US"/>
        </w:rPr>
        <w:t xml:space="preserve"> prove</w:t>
      </w:r>
      <w:r w:rsidR="00CE1A8F">
        <w:rPr>
          <w:rFonts w:ascii="Times New Roman" w:hAnsi="Times New Roman"/>
          <w:sz w:val="24"/>
          <w:szCs w:val="24"/>
          <w:lang w:val="en-US"/>
        </w:rPr>
        <w:t xml:space="preserve"> that </w:t>
      </w:r>
      <w:r w:rsidR="003B099E">
        <w:rPr>
          <w:rFonts w:ascii="Times New Roman" w:hAnsi="Times New Roman"/>
          <w:sz w:val="24"/>
          <w:szCs w:val="24"/>
          <w:lang w:val="en-US"/>
        </w:rPr>
        <w:t xml:space="preserve">emerging </w:t>
      </w:r>
      <w:r w:rsidR="00CE1A8F">
        <w:rPr>
          <w:rFonts w:ascii="Times New Roman" w:hAnsi="Times New Roman"/>
          <w:sz w:val="24"/>
          <w:szCs w:val="24"/>
          <w:lang w:val="en-US"/>
        </w:rPr>
        <w:t xml:space="preserve">electric drive technology </w:t>
      </w:r>
      <w:r w:rsidR="005A0176">
        <w:rPr>
          <w:rFonts w:ascii="Times New Roman" w:hAnsi="Times New Roman"/>
          <w:sz w:val="24"/>
          <w:szCs w:val="24"/>
          <w:lang w:val="en-US"/>
        </w:rPr>
        <w:t xml:space="preserve">still underperforms existing </w:t>
      </w:r>
      <w:r w:rsidR="003B099E">
        <w:rPr>
          <w:rFonts w:ascii="Times New Roman" w:hAnsi="Times New Roman"/>
          <w:sz w:val="24"/>
          <w:szCs w:val="24"/>
          <w:lang w:val="en-US"/>
        </w:rPr>
        <w:t>designs</w:t>
      </w:r>
      <w:r w:rsidR="005A0176">
        <w:rPr>
          <w:rFonts w:ascii="Times New Roman" w:hAnsi="Times New Roman"/>
          <w:sz w:val="24"/>
          <w:szCs w:val="24"/>
          <w:lang w:val="en-US"/>
        </w:rPr>
        <w:t xml:space="preserve"> in such important aspects as price and performance.</w:t>
      </w:r>
      <w:r w:rsidR="003B099E" w:rsidRPr="003B099E">
        <w:rPr>
          <w:rFonts w:ascii="Times New Roman" w:hAnsi="Times New Roman"/>
          <w:sz w:val="24"/>
          <w:szCs w:val="24"/>
          <w:lang w:val="en-US"/>
        </w:rPr>
        <w:t xml:space="preserve"> </w:t>
      </w:r>
      <w:r w:rsidR="00C94149">
        <w:rPr>
          <w:rFonts w:ascii="Times New Roman" w:hAnsi="Times New Roman"/>
          <w:sz w:val="24"/>
          <w:szCs w:val="24"/>
          <w:lang w:val="en-US"/>
        </w:rPr>
        <w:t>The b</w:t>
      </w:r>
      <w:r w:rsidR="003B099E">
        <w:rPr>
          <w:rFonts w:ascii="Times New Roman" w:hAnsi="Times New Roman"/>
          <w:sz w:val="24"/>
          <w:szCs w:val="24"/>
          <w:lang w:val="en-US"/>
        </w:rPr>
        <w:t xml:space="preserve">attery as the most important and expensive component of an EV is a major barrier for a wide market uptake </w:t>
      </w:r>
      <w:r w:rsidR="003B099E" w:rsidRPr="00FC6743">
        <w:rPr>
          <w:rFonts w:ascii="Times New Roman" w:hAnsi="Times New Roman"/>
          <w:sz w:val="24"/>
          <w:szCs w:val="24"/>
          <w:lang w:val="en-US"/>
        </w:rPr>
        <w:t>(</w:t>
      </w:r>
      <w:proofErr w:type="spellStart"/>
      <w:r w:rsidR="003B099E" w:rsidRPr="00FC6743">
        <w:rPr>
          <w:rFonts w:ascii="Times New Roman" w:hAnsi="Times New Roman"/>
          <w:sz w:val="24"/>
          <w:szCs w:val="24"/>
          <w:lang w:val="en-US"/>
        </w:rPr>
        <w:t>Hidrue</w:t>
      </w:r>
      <w:proofErr w:type="spellEnd"/>
      <w:r w:rsidR="003B099E" w:rsidRPr="00FC6743">
        <w:rPr>
          <w:rFonts w:ascii="Times New Roman" w:hAnsi="Times New Roman"/>
          <w:sz w:val="24"/>
          <w:szCs w:val="24"/>
          <w:lang w:val="en-US"/>
        </w:rPr>
        <w:t>, Parsons, Kempton, &amp; Gardner, 2011)</w:t>
      </w:r>
      <w:r w:rsidR="003B099E">
        <w:rPr>
          <w:rFonts w:ascii="Times New Roman" w:hAnsi="Times New Roman"/>
          <w:sz w:val="24"/>
          <w:szCs w:val="24"/>
          <w:lang w:val="en-US"/>
        </w:rPr>
        <w:t>.</w:t>
      </w:r>
    </w:p>
    <w:p w:rsidR="00B95983" w:rsidRDefault="00B95983"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It is important to discuss driving range as a perceived barrier in more detail. In many studies, range turned out to be the most critical obstacle connected with a rather emotional dead battery problem </w:t>
      </w:r>
      <w:r w:rsidRPr="00C45C9A">
        <w:rPr>
          <w:rFonts w:ascii="Times New Roman" w:hAnsi="Times New Roman"/>
          <w:sz w:val="24"/>
          <w:szCs w:val="24"/>
          <w:lang w:val="en-US"/>
        </w:rPr>
        <w:t>(</w:t>
      </w:r>
      <w:proofErr w:type="spellStart"/>
      <w:r w:rsidRPr="003163AE">
        <w:rPr>
          <w:rFonts w:ascii="Times New Roman" w:hAnsi="Times New Roman"/>
          <w:color w:val="FF0000"/>
          <w:sz w:val="24"/>
          <w:szCs w:val="24"/>
          <w:lang w:val="en-US"/>
        </w:rPr>
        <w:t>Cheron</w:t>
      </w:r>
      <w:proofErr w:type="spellEnd"/>
      <w:r w:rsidRPr="003163AE">
        <w:rPr>
          <w:rFonts w:ascii="Times New Roman" w:hAnsi="Times New Roman"/>
          <w:color w:val="FF0000"/>
          <w:sz w:val="24"/>
          <w:szCs w:val="24"/>
          <w:lang w:val="en-US"/>
        </w:rPr>
        <w:t xml:space="preserve"> &amp; Zins, 1997</w:t>
      </w:r>
      <w:r w:rsidRPr="00C45C9A">
        <w:rPr>
          <w:rFonts w:ascii="Times New Roman" w:hAnsi="Times New Roman"/>
          <w:sz w:val="24"/>
          <w:szCs w:val="24"/>
          <w:lang w:val="en-US"/>
        </w:rPr>
        <w:t>)</w:t>
      </w:r>
      <w:r>
        <w:rPr>
          <w:rFonts w:ascii="Times New Roman" w:hAnsi="Times New Roman"/>
          <w:sz w:val="24"/>
          <w:szCs w:val="24"/>
          <w:lang w:val="en-US"/>
        </w:rPr>
        <w:t xml:space="preserve"> or range anxiety (</w:t>
      </w:r>
      <w:r w:rsidRPr="00CB1B80">
        <w:rPr>
          <w:rFonts w:ascii="Times New Roman" w:hAnsi="Times New Roman"/>
          <w:color w:val="FF0000"/>
          <w:sz w:val="24"/>
          <w:szCs w:val="24"/>
          <w:lang w:val="en-US"/>
        </w:rPr>
        <w:t xml:space="preserve">Franke &amp; </w:t>
      </w:r>
      <w:proofErr w:type="spellStart"/>
      <w:r w:rsidRPr="00CB1B80">
        <w:rPr>
          <w:rFonts w:ascii="Times New Roman" w:hAnsi="Times New Roman"/>
          <w:color w:val="FF0000"/>
          <w:sz w:val="24"/>
          <w:szCs w:val="24"/>
          <w:lang w:val="en-US"/>
        </w:rPr>
        <w:t>Krems</w:t>
      </w:r>
      <w:proofErr w:type="spellEnd"/>
      <w:r w:rsidRPr="00CB1B80">
        <w:rPr>
          <w:rFonts w:ascii="Times New Roman" w:hAnsi="Times New Roman"/>
          <w:color w:val="FF0000"/>
          <w:sz w:val="24"/>
          <w:szCs w:val="24"/>
          <w:lang w:val="en-US"/>
        </w:rPr>
        <w:t>, 2013</w:t>
      </w:r>
      <w:r w:rsidR="00F3598B" w:rsidRPr="00CB1B80">
        <w:rPr>
          <w:rFonts w:ascii="Times New Roman" w:hAnsi="Times New Roman"/>
          <w:color w:val="FF0000"/>
          <w:sz w:val="24"/>
          <w:szCs w:val="24"/>
          <w:lang w:val="en-US"/>
        </w:rPr>
        <w:t xml:space="preserve">; </w:t>
      </w:r>
      <w:proofErr w:type="spellStart"/>
      <w:r w:rsidR="00F3598B" w:rsidRPr="00CB1B80">
        <w:rPr>
          <w:rFonts w:ascii="Times New Roman" w:hAnsi="Times New Roman"/>
          <w:color w:val="FF0000"/>
          <w:sz w:val="24"/>
          <w:szCs w:val="24"/>
          <w:lang w:val="en-US"/>
        </w:rPr>
        <w:t>Gröger</w:t>
      </w:r>
      <w:proofErr w:type="spellEnd"/>
      <w:r w:rsidR="00F3598B" w:rsidRPr="00CB1B80">
        <w:rPr>
          <w:rFonts w:ascii="Times New Roman" w:hAnsi="Times New Roman"/>
          <w:color w:val="FF0000"/>
          <w:sz w:val="24"/>
          <w:szCs w:val="24"/>
          <w:lang w:val="en-US"/>
        </w:rPr>
        <w:t xml:space="preserve">, </w:t>
      </w:r>
      <w:proofErr w:type="spellStart"/>
      <w:r w:rsidR="00F3598B" w:rsidRPr="00CB1B80">
        <w:rPr>
          <w:rFonts w:ascii="Times New Roman" w:hAnsi="Times New Roman"/>
          <w:color w:val="FF0000"/>
          <w:sz w:val="24"/>
          <w:szCs w:val="24"/>
          <w:lang w:val="en-US"/>
        </w:rPr>
        <w:t>Gasteiger</w:t>
      </w:r>
      <w:proofErr w:type="spellEnd"/>
      <w:r w:rsidR="00F3598B" w:rsidRPr="00CB1B80">
        <w:rPr>
          <w:rFonts w:ascii="Times New Roman" w:hAnsi="Times New Roman"/>
          <w:color w:val="FF0000"/>
          <w:sz w:val="24"/>
          <w:szCs w:val="24"/>
          <w:lang w:val="en-US"/>
        </w:rPr>
        <w:t xml:space="preserve">, &amp; </w:t>
      </w:r>
      <w:proofErr w:type="spellStart"/>
      <w:r w:rsidR="00F3598B" w:rsidRPr="00CB1B80">
        <w:rPr>
          <w:rFonts w:ascii="Times New Roman" w:hAnsi="Times New Roman"/>
          <w:color w:val="FF0000"/>
          <w:sz w:val="24"/>
          <w:szCs w:val="24"/>
          <w:lang w:val="en-US"/>
        </w:rPr>
        <w:t>Suchsland</w:t>
      </w:r>
      <w:proofErr w:type="spellEnd"/>
      <w:r w:rsidR="00F3598B" w:rsidRPr="00CB1B80">
        <w:rPr>
          <w:rFonts w:ascii="Times New Roman" w:hAnsi="Times New Roman"/>
          <w:color w:val="FF0000"/>
          <w:sz w:val="24"/>
          <w:szCs w:val="24"/>
          <w:lang w:val="en-US"/>
        </w:rPr>
        <w:t>, 2015</w:t>
      </w:r>
      <w:r>
        <w:rPr>
          <w:rFonts w:ascii="Times New Roman" w:hAnsi="Times New Roman"/>
          <w:sz w:val="24"/>
          <w:szCs w:val="24"/>
          <w:lang w:val="en-US"/>
        </w:rPr>
        <w:t>). However, research confirmed that the perceived required range is much higher than the one needed</w:t>
      </w:r>
      <w:r w:rsidRPr="00C12FE4">
        <w:rPr>
          <w:rFonts w:ascii="Times New Roman" w:hAnsi="Times New Roman"/>
          <w:sz w:val="24"/>
          <w:szCs w:val="24"/>
          <w:lang w:val="en-US"/>
        </w:rPr>
        <w:t xml:space="preserve"> </w:t>
      </w:r>
      <w:r>
        <w:rPr>
          <w:rFonts w:ascii="Times New Roman" w:hAnsi="Times New Roman"/>
          <w:sz w:val="24"/>
          <w:szCs w:val="24"/>
          <w:lang w:val="en-US"/>
        </w:rPr>
        <w:t>(</w:t>
      </w:r>
      <w:r w:rsidRPr="00C12FE4">
        <w:rPr>
          <w:rFonts w:ascii="Times New Roman" w:hAnsi="Times New Roman"/>
          <w:sz w:val="24"/>
          <w:szCs w:val="24"/>
          <w:lang w:val="en-US"/>
        </w:rPr>
        <w:t xml:space="preserve">Franke &amp; </w:t>
      </w:r>
      <w:proofErr w:type="spellStart"/>
      <w:r w:rsidRPr="00C12FE4">
        <w:rPr>
          <w:rFonts w:ascii="Times New Roman" w:hAnsi="Times New Roman"/>
          <w:sz w:val="24"/>
          <w:szCs w:val="24"/>
          <w:lang w:val="en-US"/>
        </w:rPr>
        <w:t>Krems</w:t>
      </w:r>
      <w:proofErr w:type="spellEnd"/>
      <w:r w:rsidRPr="00C12FE4">
        <w:rPr>
          <w:rFonts w:ascii="Times New Roman" w:hAnsi="Times New Roman"/>
          <w:sz w:val="24"/>
          <w:szCs w:val="24"/>
          <w:lang w:val="en-US"/>
        </w:rPr>
        <w:t>, 2013</w:t>
      </w:r>
      <w:r>
        <w:rPr>
          <w:rFonts w:ascii="Times New Roman" w:hAnsi="Times New Roman"/>
          <w:sz w:val="24"/>
          <w:szCs w:val="24"/>
          <w:lang w:val="en-US"/>
        </w:rPr>
        <w:t xml:space="preserve">). </w:t>
      </w:r>
      <w:r w:rsidR="0061673D">
        <w:rPr>
          <w:rFonts w:ascii="Times New Roman" w:hAnsi="Times New Roman"/>
          <w:sz w:val="24"/>
          <w:szCs w:val="24"/>
          <w:lang w:val="en-US"/>
        </w:rPr>
        <w:t>Many</w:t>
      </w:r>
      <w:r w:rsidRPr="00962870">
        <w:rPr>
          <w:rFonts w:ascii="Times New Roman" w:hAnsi="Times New Roman"/>
          <w:sz w:val="24"/>
          <w:szCs w:val="24"/>
          <w:lang w:val="en-US"/>
        </w:rPr>
        <w:t xml:space="preserve"> studies show, that</w:t>
      </w:r>
      <w:r w:rsidR="00733389">
        <w:rPr>
          <w:rFonts w:ascii="Times New Roman" w:hAnsi="Times New Roman"/>
          <w:sz w:val="24"/>
          <w:szCs w:val="24"/>
          <w:lang w:val="en-US"/>
        </w:rPr>
        <w:t xml:space="preserve"> </w:t>
      </w:r>
      <w:r w:rsidR="0061673D">
        <w:rPr>
          <w:rFonts w:ascii="Times New Roman" w:hAnsi="Times New Roman"/>
          <w:sz w:val="24"/>
          <w:szCs w:val="24"/>
          <w:lang w:val="en-US"/>
        </w:rPr>
        <w:t>EVs, even with the limited range,</w:t>
      </w:r>
      <w:r w:rsidRPr="00962870">
        <w:rPr>
          <w:rFonts w:ascii="Times New Roman" w:hAnsi="Times New Roman"/>
          <w:sz w:val="24"/>
          <w:szCs w:val="24"/>
          <w:lang w:val="en-US"/>
        </w:rPr>
        <w:t xml:space="preserve"> </w:t>
      </w:r>
      <w:r w:rsidR="00733389">
        <w:rPr>
          <w:rFonts w:ascii="Times New Roman" w:hAnsi="Times New Roman"/>
          <w:sz w:val="24"/>
          <w:szCs w:val="24"/>
          <w:lang w:val="en-US"/>
        </w:rPr>
        <w:t xml:space="preserve">still satisfy </w:t>
      </w:r>
      <w:r w:rsidR="00733389" w:rsidRPr="00C12FE4">
        <w:rPr>
          <w:rFonts w:ascii="Times New Roman" w:hAnsi="Times New Roman"/>
          <w:sz w:val="24"/>
          <w:szCs w:val="24"/>
          <w:lang w:val="en-US"/>
        </w:rPr>
        <w:t xml:space="preserve">the </w:t>
      </w:r>
      <w:r w:rsidR="00733389">
        <w:rPr>
          <w:rFonts w:ascii="Times New Roman" w:hAnsi="Times New Roman"/>
          <w:sz w:val="24"/>
          <w:szCs w:val="24"/>
          <w:lang w:val="en-US"/>
        </w:rPr>
        <w:t xml:space="preserve">everyday </w:t>
      </w:r>
      <w:r w:rsidR="00733389" w:rsidRPr="00C12FE4">
        <w:rPr>
          <w:rFonts w:ascii="Times New Roman" w:hAnsi="Times New Roman"/>
          <w:sz w:val="24"/>
          <w:szCs w:val="24"/>
          <w:lang w:val="en-US"/>
        </w:rPr>
        <w:t>range needs of a sizeable share of the driving population</w:t>
      </w:r>
      <w:r w:rsidR="00733389">
        <w:rPr>
          <w:rFonts w:ascii="Times New Roman" w:hAnsi="Times New Roman"/>
          <w:sz w:val="24"/>
          <w:szCs w:val="24"/>
          <w:lang w:val="en-US"/>
        </w:rPr>
        <w:t xml:space="preserve">, </w:t>
      </w:r>
      <w:r w:rsidRPr="00962870">
        <w:rPr>
          <w:rFonts w:ascii="Times New Roman" w:hAnsi="Times New Roman"/>
          <w:sz w:val="24"/>
          <w:szCs w:val="24"/>
          <w:lang w:val="en-US"/>
        </w:rPr>
        <w:t>without recharging in the daytime</w:t>
      </w:r>
      <w:r>
        <w:rPr>
          <w:rFonts w:ascii="Times New Roman" w:hAnsi="Times New Roman"/>
          <w:sz w:val="24"/>
          <w:szCs w:val="24"/>
          <w:lang w:val="en-US"/>
        </w:rPr>
        <w:t xml:space="preserve"> </w:t>
      </w:r>
      <w:r w:rsidRPr="006522FF">
        <w:rPr>
          <w:rFonts w:ascii="Times New Roman" w:hAnsi="Times New Roman"/>
          <w:sz w:val="24"/>
          <w:szCs w:val="24"/>
          <w:lang w:val="en-US"/>
        </w:rPr>
        <w:t>(</w:t>
      </w:r>
      <w:proofErr w:type="spellStart"/>
      <w:r w:rsidRPr="00CB1B80">
        <w:rPr>
          <w:rFonts w:ascii="Times New Roman" w:hAnsi="Times New Roman"/>
          <w:color w:val="FF0000"/>
          <w:sz w:val="24"/>
          <w:szCs w:val="24"/>
          <w:lang w:val="en-US"/>
        </w:rPr>
        <w:t>Spichartz</w:t>
      </w:r>
      <w:proofErr w:type="spellEnd"/>
      <w:r w:rsidRPr="00CB1B80">
        <w:rPr>
          <w:rFonts w:ascii="Times New Roman" w:hAnsi="Times New Roman"/>
          <w:color w:val="FF0000"/>
          <w:sz w:val="24"/>
          <w:szCs w:val="24"/>
          <w:lang w:val="en-US"/>
        </w:rPr>
        <w:t xml:space="preserve">, Dost, Becker, &amp; </w:t>
      </w:r>
      <w:proofErr w:type="spellStart"/>
      <w:r w:rsidRPr="00CB1B80">
        <w:rPr>
          <w:rFonts w:ascii="Times New Roman" w:hAnsi="Times New Roman"/>
          <w:color w:val="FF0000"/>
          <w:sz w:val="24"/>
          <w:szCs w:val="24"/>
          <w:lang w:val="en-US"/>
        </w:rPr>
        <w:t>Sourkounis</w:t>
      </w:r>
      <w:proofErr w:type="spellEnd"/>
      <w:r w:rsidRPr="00CB1B80">
        <w:rPr>
          <w:rFonts w:ascii="Times New Roman" w:hAnsi="Times New Roman"/>
          <w:color w:val="FF0000"/>
          <w:sz w:val="24"/>
          <w:szCs w:val="24"/>
          <w:lang w:val="en-US"/>
        </w:rPr>
        <w:t>, 2015</w:t>
      </w:r>
      <w:r w:rsidR="00733389" w:rsidRPr="00CB1B80">
        <w:rPr>
          <w:rFonts w:ascii="Times New Roman" w:hAnsi="Times New Roman"/>
          <w:color w:val="FF0000"/>
          <w:sz w:val="24"/>
          <w:szCs w:val="24"/>
          <w:lang w:val="en-US"/>
        </w:rPr>
        <w:t xml:space="preserve">; </w:t>
      </w:r>
      <w:proofErr w:type="spellStart"/>
      <w:r w:rsidRPr="00CB1B80">
        <w:rPr>
          <w:rFonts w:ascii="Times New Roman" w:hAnsi="Times New Roman"/>
          <w:color w:val="FF0000"/>
          <w:sz w:val="24"/>
          <w:szCs w:val="24"/>
          <w:lang w:val="en-US"/>
        </w:rPr>
        <w:t>Pearre</w:t>
      </w:r>
      <w:proofErr w:type="spellEnd"/>
      <w:r w:rsidRPr="00CB1B80">
        <w:rPr>
          <w:rFonts w:ascii="Times New Roman" w:hAnsi="Times New Roman"/>
          <w:color w:val="FF0000"/>
          <w:sz w:val="24"/>
          <w:szCs w:val="24"/>
          <w:lang w:val="en-US"/>
        </w:rPr>
        <w:t xml:space="preserve">, Kempton, </w:t>
      </w:r>
      <w:proofErr w:type="spellStart"/>
      <w:r w:rsidRPr="00CB1B80">
        <w:rPr>
          <w:rFonts w:ascii="Times New Roman" w:hAnsi="Times New Roman"/>
          <w:color w:val="FF0000"/>
          <w:sz w:val="24"/>
          <w:szCs w:val="24"/>
          <w:lang w:val="en-US"/>
        </w:rPr>
        <w:t>Guensler</w:t>
      </w:r>
      <w:proofErr w:type="spellEnd"/>
      <w:r w:rsidRPr="00CB1B80">
        <w:rPr>
          <w:rFonts w:ascii="Times New Roman" w:hAnsi="Times New Roman"/>
          <w:color w:val="FF0000"/>
          <w:sz w:val="24"/>
          <w:szCs w:val="24"/>
          <w:lang w:val="en-US"/>
        </w:rPr>
        <w:t xml:space="preserve">, &amp; </w:t>
      </w:r>
      <w:proofErr w:type="spellStart"/>
      <w:r w:rsidRPr="00CB1B80">
        <w:rPr>
          <w:rFonts w:ascii="Times New Roman" w:hAnsi="Times New Roman"/>
          <w:color w:val="FF0000"/>
          <w:sz w:val="24"/>
          <w:szCs w:val="24"/>
          <w:lang w:val="en-US"/>
        </w:rPr>
        <w:t>Elango</w:t>
      </w:r>
      <w:proofErr w:type="spellEnd"/>
      <w:r w:rsidRPr="00CB1B80">
        <w:rPr>
          <w:rFonts w:ascii="Times New Roman" w:hAnsi="Times New Roman"/>
          <w:color w:val="FF0000"/>
          <w:sz w:val="24"/>
          <w:szCs w:val="24"/>
          <w:lang w:val="en-US"/>
        </w:rPr>
        <w:t>, 2011</w:t>
      </w:r>
      <w:r w:rsidRPr="00405F8D">
        <w:rPr>
          <w:rFonts w:ascii="Times New Roman" w:hAnsi="Times New Roman"/>
          <w:sz w:val="24"/>
          <w:szCs w:val="24"/>
          <w:lang w:val="en-US"/>
        </w:rPr>
        <w:t>).</w:t>
      </w:r>
      <w:r>
        <w:rPr>
          <w:rFonts w:ascii="Times New Roman" w:hAnsi="Times New Roman"/>
          <w:sz w:val="24"/>
          <w:szCs w:val="24"/>
          <w:lang w:val="en-US"/>
        </w:rPr>
        <w:t xml:space="preserve"> </w:t>
      </w:r>
      <w:r w:rsidRPr="00C12FE4">
        <w:rPr>
          <w:rFonts w:ascii="Times New Roman" w:hAnsi="Times New Roman"/>
          <w:sz w:val="24"/>
          <w:szCs w:val="24"/>
          <w:lang w:val="en-US"/>
        </w:rPr>
        <w:t>Furthermore, range preferences decrease</w:t>
      </w:r>
      <w:r>
        <w:rPr>
          <w:rFonts w:ascii="Times New Roman" w:hAnsi="Times New Roman"/>
          <w:sz w:val="24"/>
          <w:szCs w:val="24"/>
          <w:lang w:val="en-US"/>
        </w:rPr>
        <w:t xml:space="preserve"> with the</w:t>
      </w:r>
      <w:r w:rsidRPr="00C12FE4">
        <w:rPr>
          <w:rFonts w:ascii="Times New Roman" w:hAnsi="Times New Roman"/>
          <w:sz w:val="24"/>
          <w:szCs w:val="24"/>
          <w:lang w:val="en-US"/>
        </w:rPr>
        <w:t xml:space="preserve"> EV use</w:t>
      </w:r>
      <w:r>
        <w:rPr>
          <w:rFonts w:ascii="Times New Roman" w:hAnsi="Times New Roman"/>
          <w:sz w:val="24"/>
          <w:szCs w:val="24"/>
          <w:lang w:val="en-US"/>
        </w:rPr>
        <w:t xml:space="preserve">/experience </w:t>
      </w:r>
      <w:r w:rsidRPr="00C12FE4">
        <w:rPr>
          <w:rFonts w:ascii="Times New Roman" w:hAnsi="Times New Roman"/>
          <w:sz w:val="24"/>
          <w:szCs w:val="24"/>
          <w:lang w:val="en-US"/>
        </w:rPr>
        <w:t xml:space="preserve">(Franke &amp; </w:t>
      </w:r>
      <w:proofErr w:type="spellStart"/>
      <w:r w:rsidRPr="00C12FE4">
        <w:rPr>
          <w:rFonts w:ascii="Times New Roman" w:hAnsi="Times New Roman"/>
          <w:sz w:val="24"/>
          <w:szCs w:val="24"/>
          <w:lang w:val="en-US"/>
        </w:rPr>
        <w:t>Krems</w:t>
      </w:r>
      <w:proofErr w:type="spellEnd"/>
      <w:r w:rsidRPr="00C12FE4">
        <w:rPr>
          <w:rFonts w:ascii="Times New Roman" w:hAnsi="Times New Roman"/>
          <w:sz w:val="24"/>
          <w:szCs w:val="24"/>
          <w:lang w:val="en-US"/>
        </w:rPr>
        <w:t xml:space="preserve">, 2013). It seems like those who have experience with </w:t>
      </w:r>
      <w:r w:rsidR="00F3598B">
        <w:rPr>
          <w:rFonts w:ascii="Times New Roman" w:hAnsi="Times New Roman"/>
          <w:sz w:val="24"/>
          <w:szCs w:val="24"/>
          <w:lang w:val="en-US"/>
        </w:rPr>
        <w:t xml:space="preserve">EVs </w:t>
      </w:r>
      <w:r w:rsidRPr="00C12FE4">
        <w:rPr>
          <w:rFonts w:ascii="Times New Roman" w:hAnsi="Times New Roman"/>
          <w:sz w:val="24"/>
          <w:szCs w:val="24"/>
          <w:lang w:val="en-US"/>
        </w:rPr>
        <w:t xml:space="preserve">are somewhat less </w:t>
      </w:r>
      <w:r w:rsidRPr="005A720C">
        <w:rPr>
          <w:rFonts w:ascii="Times New Roman" w:hAnsi="Times New Roman"/>
          <w:sz w:val="24"/>
          <w:szCs w:val="24"/>
          <w:lang w:val="en-US"/>
        </w:rPr>
        <w:t>concerned about the range (</w:t>
      </w:r>
      <w:proofErr w:type="spellStart"/>
      <w:r w:rsidRPr="005A720C">
        <w:rPr>
          <w:rFonts w:ascii="Times New Roman" w:hAnsi="Times New Roman"/>
          <w:sz w:val="24"/>
          <w:szCs w:val="24"/>
          <w:lang w:val="en-US"/>
        </w:rPr>
        <w:t>Figenbaum</w:t>
      </w:r>
      <w:proofErr w:type="spellEnd"/>
      <w:r w:rsidRPr="005A720C">
        <w:rPr>
          <w:rFonts w:ascii="Times New Roman" w:hAnsi="Times New Roman"/>
          <w:sz w:val="24"/>
          <w:szCs w:val="24"/>
          <w:lang w:val="en-US"/>
        </w:rPr>
        <w:t xml:space="preserve"> &amp; </w:t>
      </w:r>
      <w:proofErr w:type="spellStart"/>
      <w:r w:rsidRPr="005A720C">
        <w:rPr>
          <w:rFonts w:ascii="Times New Roman" w:hAnsi="Times New Roman"/>
          <w:sz w:val="24"/>
          <w:szCs w:val="24"/>
          <w:lang w:val="en-US"/>
        </w:rPr>
        <w:t>Kolbenstvedt</w:t>
      </w:r>
      <w:proofErr w:type="spellEnd"/>
      <w:r w:rsidRPr="005A720C">
        <w:rPr>
          <w:rFonts w:ascii="Times New Roman" w:hAnsi="Times New Roman"/>
          <w:sz w:val="24"/>
          <w:szCs w:val="24"/>
          <w:lang w:val="en-US"/>
        </w:rPr>
        <w:t xml:space="preserve">, 2013) and can estimate their range needs more accurately (Franke &amp; </w:t>
      </w:r>
      <w:proofErr w:type="spellStart"/>
      <w:r w:rsidRPr="005A720C">
        <w:rPr>
          <w:rFonts w:ascii="Times New Roman" w:hAnsi="Times New Roman"/>
          <w:sz w:val="24"/>
          <w:szCs w:val="24"/>
          <w:lang w:val="en-US"/>
        </w:rPr>
        <w:t>Krems</w:t>
      </w:r>
      <w:proofErr w:type="spellEnd"/>
      <w:r w:rsidRPr="005A720C">
        <w:rPr>
          <w:rFonts w:ascii="Times New Roman" w:hAnsi="Times New Roman"/>
          <w:sz w:val="24"/>
          <w:szCs w:val="24"/>
          <w:lang w:val="en-US"/>
        </w:rPr>
        <w:t xml:space="preserve">, 2013). This illustrates the importance of good information regarding features and experiences with </w:t>
      </w:r>
      <w:r w:rsidR="00733389">
        <w:rPr>
          <w:rFonts w:ascii="Times New Roman" w:hAnsi="Times New Roman"/>
          <w:sz w:val="24"/>
          <w:szCs w:val="24"/>
          <w:lang w:val="en-US"/>
        </w:rPr>
        <w:t>EVs</w:t>
      </w:r>
      <w:r w:rsidRPr="005A720C">
        <w:rPr>
          <w:rFonts w:ascii="Times New Roman" w:hAnsi="Times New Roman"/>
          <w:sz w:val="24"/>
          <w:szCs w:val="24"/>
          <w:lang w:val="en-US"/>
        </w:rPr>
        <w:t xml:space="preserve"> (</w:t>
      </w:r>
      <w:proofErr w:type="spellStart"/>
      <w:r w:rsidRPr="005A720C">
        <w:rPr>
          <w:rFonts w:ascii="Times New Roman" w:hAnsi="Times New Roman"/>
          <w:sz w:val="24"/>
          <w:szCs w:val="24"/>
          <w:lang w:val="en-US"/>
        </w:rPr>
        <w:t>Figenbaum</w:t>
      </w:r>
      <w:proofErr w:type="spellEnd"/>
      <w:r w:rsidRPr="005A720C">
        <w:rPr>
          <w:rFonts w:ascii="Times New Roman" w:hAnsi="Times New Roman"/>
          <w:sz w:val="24"/>
          <w:szCs w:val="24"/>
          <w:lang w:val="en-US"/>
        </w:rPr>
        <w:t xml:space="preserve"> &amp;</w:t>
      </w:r>
      <w:r w:rsidRPr="00C12FE4">
        <w:rPr>
          <w:rFonts w:ascii="Times New Roman" w:hAnsi="Times New Roman"/>
          <w:sz w:val="24"/>
          <w:szCs w:val="24"/>
          <w:lang w:val="en-US"/>
        </w:rPr>
        <w:t xml:space="preserve"> </w:t>
      </w:r>
      <w:proofErr w:type="spellStart"/>
      <w:r w:rsidRPr="00C12FE4">
        <w:rPr>
          <w:rFonts w:ascii="Times New Roman" w:hAnsi="Times New Roman"/>
          <w:sz w:val="24"/>
          <w:szCs w:val="24"/>
          <w:lang w:val="en-US"/>
        </w:rPr>
        <w:t>Kolbenstvedt</w:t>
      </w:r>
      <w:proofErr w:type="spellEnd"/>
      <w:r w:rsidRPr="00C12FE4">
        <w:rPr>
          <w:rFonts w:ascii="Times New Roman" w:hAnsi="Times New Roman"/>
          <w:sz w:val="24"/>
          <w:szCs w:val="24"/>
          <w:lang w:val="en-US"/>
        </w:rPr>
        <w:t>, 2013).</w:t>
      </w:r>
      <w:r>
        <w:rPr>
          <w:rFonts w:ascii="Times New Roman" w:hAnsi="Times New Roman"/>
          <w:sz w:val="24"/>
          <w:szCs w:val="24"/>
          <w:lang w:val="en-US"/>
        </w:rPr>
        <w:t xml:space="preserve"> </w:t>
      </w:r>
    </w:p>
    <w:p w:rsidR="00B95983" w:rsidRDefault="00B95983" w:rsidP="00CE182C">
      <w:pPr>
        <w:spacing w:after="120" w:line="360" w:lineRule="auto"/>
        <w:jc w:val="both"/>
        <w:rPr>
          <w:rFonts w:ascii="Times New Roman" w:hAnsi="Times New Roman"/>
          <w:sz w:val="24"/>
          <w:szCs w:val="24"/>
          <w:lang w:val="en-US"/>
        </w:rPr>
      </w:pPr>
      <w:r w:rsidRPr="00C333EB">
        <w:rPr>
          <w:rFonts w:ascii="Times New Roman" w:hAnsi="Times New Roman"/>
          <w:sz w:val="24"/>
          <w:szCs w:val="24"/>
          <w:lang w:val="en-US"/>
        </w:rPr>
        <w:lastRenderedPageBreak/>
        <w:t>Battery range</w:t>
      </w:r>
      <w:r>
        <w:rPr>
          <w:rFonts w:ascii="Times New Roman" w:hAnsi="Times New Roman"/>
          <w:sz w:val="24"/>
          <w:szCs w:val="24"/>
          <w:lang w:val="en-US"/>
        </w:rPr>
        <w:t xml:space="preserve">, </w:t>
      </w:r>
      <w:r w:rsidR="00F3598B">
        <w:rPr>
          <w:rFonts w:ascii="Times New Roman" w:hAnsi="Times New Roman"/>
          <w:sz w:val="24"/>
          <w:szCs w:val="24"/>
          <w:lang w:val="en-US"/>
        </w:rPr>
        <w:t>re</w:t>
      </w:r>
      <w:r>
        <w:rPr>
          <w:rFonts w:ascii="Times New Roman" w:hAnsi="Times New Roman"/>
          <w:sz w:val="24"/>
          <w:szCs w:val="24"/>
          <w:lang w:val="en-US"/>
        </w:rPr>
        <w:t xml:space="preserve">charging time and cost/price are </w:t>
      </w:r>
      <w:r w:rsidRPr="00C333EB">
        <w:rPr>
          <w:rFonts w:ascii="Times New Roman" w:hAnsi="Times New Roman"/>
          <w:sz w:val="24"/>
          <w:szCs w:val="24"/>
          <w:lang w:val="en-US"/>
        </w:rPr>
        <w:t>the biggest concern</w:t>
      </w:r>
      <w:r>
        <w:rPr>
          <w:rFonts w:ascii="Times New Roman" w:hAnsi="Times New Roman"/>
          <w:sz w:val="24"/>
          <w:szCs w:val="24"/>
          <w:lang w:val="en-US"/>
        </w:rPr>
        <w:t>s, with Europe</w:t>
      </w:r>
      <w:r w:rsidR="00B25CE5">
        <w:rPr>
          <w:rFonts w:ascii="Times New Roman" w:hAnsi="Times New Roman"/>
          <w:sz w:val="24"/>
          <w:szCs w:val="24"/>
          <w:lang w:val="en-US"/>
        </w:rPr>
        <w:t>an consumers</w:t>
      </w:r>
      <w:r>
        <w:rPr>
          <w:rFonts w:ascii="Times New Roman" w:hAnsi="Times New Roman"/>
          <w:sz w:val="24"/>
          <w:szCs w:val="24"/>
          <w:lang w:val="en-US"/>
        </w:rPr>
        <w:t xml:space="preserve"> prioritizing price, whereas Chin</w:t>
      </w:r>
      <w:r w:rsidR="001D00DE">
        <w:rPr>
          <w:rFonts w:ascii="Times New Roman" w:hAnsi="Times New Roman"/>
          <w:sz w:val="24"/>
          <w:szCs w:val="24"/>
          <w:lang w:val="en-US"/>
        </w:rPr>
        <w:t>ese</w:t>
      </w:r>
      <w:r>
        <w:rPr>
          <w:rFonts w:ascii="Times New Roman" w:hAnsi="Times New Roman"/>
          <w:sz w:val="24"/>
          <w:szCs w:val="24"/>
          <w:lang w:val="en-US"/>
        </w:rPr>
        <w:t xml:space="preserve"> and U.S. consumers </w:t>
      </w:r>
      <w:r w:rsidR="00CE1A8F">
        <w:rPr>
          <w:rFonts w:ascii="Times New Roman" w:hAnsi="Times New Roman"/>
          <w:sz w:val="24"/>
          <w:szCs w:val="24"/>
          <w:lang w:val="en-US"/>
        </w:rPr>
        <w:t>focus more on</w:t>
      </w:r>
      <w:r>
        <w:rPr>
          <w:rFonts w:ascii="Times New Roman" w:hAnsi="Times New Roman"/>
          <w:sz w:val="24"/>
          <w:szCs w:val="24"/>
          <w:lang w:val="en-US"/>
        </w:rPr>
        <w:t xml:space="preserve"> range and </w:t>
      </w:r>
      <w:r w:rsidR="00F3598B">
        <w:rPr>
          <w:rFonts w:ascii="Times New Roman" w:hAnsi="Times New Roman"/>
          <w:sz w:val="24"/>
          <w:szCs w:val="24"/>
          <w:lang w:val="en-US"/>
        </w:rPr>
        <w:t>re</w:t>
      </w:r>
      <w:r>
        <w:rPr>
          <w:rFonts w:ascii="Times New Roman" w:hAnsi="Times New Roman"/>
          <w:sz w:val="24"/>
          <w:szCs w:val="24"/>
          <w:lang w:val="en-US"/>
        </w:rPr>
        <w:t xml:space="preserve">charging time </w:t>
      </w:r>
      <w:r>
        <w:rPr>
          <w:rFonts w:ascii="Times New Roman" w:hAnsi="Times New Roman"/>
          <w:sz w:val="24"/>
          <w:szCs w:val="24"/>
          <w:lang w:val="en-US"/>
        </w:rPr>
        <w:fldChar w:fldCharType="begin" w:fldLock="1"/>
      </w:r>
      <w:r w:rsidR="00B25CE5">
        <w:rPr>
          <w:rFonts w:ascii="Times New Roman" w:hAnsi="Times New Roman"/>
          <w:sz w:val="24"/>
          <w:szCs w:val="24"/>
          <w:lang w:val="en-US"/>
        </w:rPr>
        <w:instrText>ADDIN CSL_CITATION {"citationItems":[{"id":"ITEM-1","itemData":{"DOI":"10.1016/j.enpol.2012.06.009","ISBN":"0301-4215","ISSN":"03014215","abstract":"Electric Vehicles (EVs) are promoted as a viable near-term vehicle technology to reduce dependence on fossil fuels and resulting greenhouse gas (GHG) emissions associated with conventional vehicles (CVs). In spite of the benefits of EVs, several obstacles need to be overcome before EVs will be widely adopted. A major barrier is that consumers tend to resist new technologies that are considered alien or unproved, thus, policy decisions that consider their critical concerns will have a higher level of success. This research identifies potential socio-technical barriers to consumer adoption of EVs and determines if sustainability issues influence consumer decision to purchase an EV. This study provides valuable insights into preferences and perceptions of technology enthusiasts; individuals highly connected to technology development and better equipped to sort out the many differences between EVs and CVs. This group of individuals will likely be early adopters of EVs only if they perceive them to be superior in performance compared to CVs. These results can guide policymakers in crafting energy and transportation policy. It can also provide guidance to EV engineers' decision in incorporating consumer preference into EV engineering design. © 2012 Elsevier Ltd.","author":[{"dropping-particle":"","family":"Egbue","given":"Ona","non-dropping-particle":"","parse-names":false,"suffix":""},{"dropping-particle":"","family":"Long","given":"Suzanna","non-dropping-particle":"","parse-names":false,"suffix":""}],"container-title":"Energy Policy","id":"ITEM-1","issue":"2012","issued":{"date-parts":[["2012"]]},"page":"717-729","publisher":"Elsevier","title":"Barriers to widespread adoption of electric vehicles: An analysis of consumer attitudes and perceptions","type":"article-journal","volume":"48"},"uris":["http://www.mendeley.com/documents/?uuid=c35ec5e7-ccd5-4bb2-b91b-21aafe52b9c5"]},{"id":"ITEM-2","itemData":{"DOI":"10.1016/j.reseneeco.2011.02.002","ISBN":"0928-7655","ISSN":"09287655","PMID":"19384445","abstract":"This article presents a stated preference study of electric vehicle choice using data from a national survey. We used a choice experiment wherein 3029 respondents were asked to choose between their preferred gasoline vehicle and two electric versions of that preferred vehicle. We estimated a latent class random utility model and used the results to estimate the willingness to pay for five electric vehicle attributes: driving range, charging time, fuel cost saving, pollution reduction, and performance. Driving range, fuel cost savings, and charging time led in importance to respondents. Individuals were willing to pay (wtp) from $35 to $75 for a mile of added driving range, with incremental wtp per mile decreasing at higher distances. They were willing to pay from $425 to $3250 per hour reduction in charging time (for a 50 mile charge). Respondents capitalized about 5 years of fuel saving into the purchase price of an electric vehicle. We simulated our model over a range of electric vehicle configurations and found that people with the highest values for electric vehicles were willing to pay a premium above their wtp for a gasoline vehicle that ranged from $6000 to $16,000 for electric vehicles with the most desirable attributes. At the same time, our results suggest that battery cost must drop significantly before electric vehicles will find a mass market without subsidy. © 2011 Elsevier B.V.","author":[{"dropping-particle":"","family":"Hidrue","given":"Michael K.","non-dropping-particle":"","parse-names":false,"suffix":""},{"dropping-particle":"","family":"Parsons","given":"George R.","non-dropping-particle":"","parse-names":false,"suffix":""},{"dropping-particle":"","family":"Kempton","given":"Willett","non-dropping-particle":"","parse-names":false,"suffix":""},{"dropping-particle":"","family":"Gardner","given":"Meryl P.","non-dropping-particle":"","parse-names":false,"suffix":""}],"container-title":"Resource and Energy Economics","id":"ITEM-2","issue":"3","issued":{"date-parts":[["2011"]]},"page":"686-705","publisher":"Elsevier B.V.","title":"Willingness to pay for electric vehicles and their attributes","type":"article-journal","volume":"33"},"uris":["http://www.mendeley.com/documents/?uuid=f00329e1-b3d8-4fbd-96cd-c33cc56457e0"]},{"id":"ITEM-3","itemData":{"DOI":"10.1016/j.trd.2012.09.007","ISBN":"1361-9209","ISSN":"13619209","abstract":"This paper examines consumer stated intent to purchase plug-in electric vehicles and assesses the factors that increase or decrease interest. We surveyed adult drivers in large US cities in early fall 2011, before vehicle manufacturers and dealers began marketing campaigns. The survey responses thus document early impressions of this transport technology. We find that, given current battery technology and public perceptions, overall stated intent to purchase or lease electric vehicles is low. Interest in plug-in hybrid technology is somewhat greater than interest in all-electric technology. Consumers who express early interest in adopting electric vehicles are typically highly educated, previous owners of conventional hybrids, environmentally sensitive, and concerned about dependence on foreign oil. Enhanced fuel economy, the primary tangible advantage of plug-in technology, is recognized as favorable by respondents but fails to exert a strong influence on purchasing intentions. Interest in plug-in electric vehicles is shaped primarily by consumers' perceptions of electric vehicle disadvantages. © 2012 Elsevier Ltd.","author":[{"dropping-particle":"","family":"Carley","given":"Sanya","non-dropping-particle":"","parse-names":false,"suffix":""},{"dropping-particle":"","family":"Krause","given":"Rachel M.","non-dropping-particle":"","parse-names":false,"suffix":""},{"dropping-particle":"","family":"Lane","given":"Bradley W.","non-dropping-particle":"","parse-names":false,"suffix":""},{"dropping-particle":"","family":"Graham","given":"John D.","non-dropping-particle":"","parse-names":false,"suffix":""}],"container-title":"Transportation Research Part D: Transport and Environment","id":"ITEM-3","issue":"1","issued":{"date-parts":[["2013"]]},"page":"39-45","publisher":"Elsevier Ltd","title":"Intent to purchase a plug-in electric vehicle: A survey of early impressions in large US cites","type":"article-journal","volume":"18"},"uris":["http://www.mendeley.com/documents/?uuid=1aa227f3-2c22-45bd-9cc7-dfd4a725fa1a"]},{"id":"ITEM-4","itemData":{"DOI":"10.1016/j.tra.2015.01.002","ISBN":"0965-8564","ISSN":"09658564","PMID":"14419462","abstract":"We model consumer preferences for conventional, hybrid electric, plug-in hybrid electric (PHEV), and battery electric (BEV) vehicle technologies in China and the U.S. using data from choice-based conjoint surveys fielded in 2012-2013 in both countries. We find that with the combined bundle of attributes offered by vehicles available today, gasoline vehicles continue in both countries to be most attractive to consumers, and American respondents have significantly lower relative willingness-to-pay for BEV technology than Chinese respondents. While U.S. and Chinese subsidies are similar, favoring vehicles with larger battery packs, differences in consumer preferences lead to different outcomes. Our results suggest that with or without each country's 2012-2013 subsidies, Chinese consumers are willing to adopt today's BEVs and mid-range PHEVs at similar rates relative to their respective gasoline counterparts, whereas American consumers prefer low-range PHEVs despite subsidies. This implies potential for earlier BEV adoption in China, given adequate supply. While there are clear national security benefits for adoption of BEVs in China, the local and global social impact is unclear: With higher electricity generation emissions in China, a transition to BEVs may reduce oil consumption at the expense of increased air pollution and/or greenhouse gas emissions. On the other hand, demand from China could increase global incentives for electric vehicle technology development with the potential to reduce emissions in countries where electricity generation is associated with lower emissions.","author":[{"dropping-particle":"","family":"Helveston","given":"John Paul","non-dropping-particle":"","parse-names":false,"suffix":""},{"dropping-particle":"","family":"Liu","given":"Yimin","non-dropping-particle":"","parse-names":false,"suffix":""},{"dropping-particle":"","family":"Feit","given":"Elea Mc Donnell","non-dropping-particle":"","parse-names":false,"suffix":""},{"dropping-particle":"","family":"Fuchs","given":"Erica","non-dropping-particle":"","parse-names":false,"suffix":""},{"dropping-particle":"","family":"Klampfl","given":"Erica","non-dropping-particle":"","parse-names":false,"suffix":""},{"dropping-particle":"","family":"Michalek","given":"Jeremy J.","non-dropping-particle":"","parse-names":false,"suffix":""}],"container-title":"Transportation Research Part A: Policy and Practice","id":"ITEM-4","issued":{"date-parts":[["2015"]]},"page":"96-112","publisher":"Elsevier Ltd","title":"Will subsidies drive electric vehicle adoption? Measuring consumer preferences in the U.S. and China","type":"article-journal","volume":"73"},"uris":["http://www.mendeley.com/documents/?uuid=3ec70b39-4272-41c0-bba3-8a0383b3d5f9"]},{"id":"ITEM-5","itemData":{"DOI":"10.1007/s12544-015-0178-0","ISSN":"18668887","abstract":"Introduction: Electric vehicles can be a successful mobility alternative, but several obstacles and challenges have to be overcome first. Especially the customers’ purchase decision determines whether an innovation like electromobility will be eventually successful. The objective of this paper covers the investigation of consumer’s attitude towards electric vehicles and their opinion on potential promotion measures and its impact on market penetration scenarios in different countries. Methods: The aforementioned issues were investigated via a European wide online consumer survey. It was designed to identify the awareness of potential consumers of electric cars as well as to discover their attitude towards this new technology. In addition to the picture of potential demand-related obstacles, the consumers were asked to evaluate the suitability of various promotion measures. Finally, the findings were included in an agent based vehicle market model which specifies consumer demand and market supply of electromobility scenarios. Results: The results show that the consumer attitude towards electromobility is rather positive and electric vehicles are generally perceived as environment-friendly and secure. But the high acquisition costs and the uncertainty about the operating costs deter consumers from purchasing an electric car. First results of the inclusion of potential promotion measures such as financial incentives in a scenario based market model show a significant increase of the electric vehicle uptake in Germany. Conclusions: Potential customers have high expectations regarding the comfort and range of an electric vehicle. One of the most important barriers and obstacles for a broad market uptake are the currently high purchase prices for this new technology. Therefore, it seems quite necessary to make electric vehicles from a customer’s standpoint more attractive. From the customer’s perspective a dense network of charging stations and financial measures such as tax and energy cost reductions are vital prerequisites in order to convince them to buy an electric vehicle. Finally, it has been proven within a scenario based market model for Germany that the use of different promotion measures by the national government can enhance the market share of electric vehicles substantially until 2030.","author":[{"dropping-particle":"","family":"Bühne","given":"Jan André","non-dropping-particle":"","parse-names":false,"suffix":""},{"dropping-particle":"","family":"Gruschwitz","given":"Dana","non-dropping-particle":"","parse-names":false,"suffix":""},{"dropping-particle":"","family":"Hölscher","given":"Jana","non-dropping-particle":"","parse-names":false,"suffix":""},{"dropping-particle":"","family":"Klötzke","given":"Matthias","non-dropping-particle":"","parse-names":false,"suffix":""},{"dropping-particle":"","family":"Kugler","given":"Ulrike","non-dropping-particle":"","parse-names":false,"suffix":""},{"dropping-particle":"","family":"Schimeczek","given":"Christoph","non-dropping-particle":"","parse-names":false,"suffix":""}],"container-title":"European Transport Research Review","id":"ITEM-5","issue":"3","issued":{"date-parts":[["2015"]]},"title":"How to promote electromobility for European car drivers? Obstacles to overcome for a broad market penetration","type":"article-journal","volume":"7"},"uris":["http://www.mendeley.com/documents/?uuid=c06371a2-73dc-47f0-91f9-6fbe4c5f6f10"]},{"id":"ITEM-6","itemData":{"DOI":"10.1016/j.trd.2010.12.001","ISBN":"1361-9209","ISSN":"13619209","abstract":"This study forecasts the market potential of electric vehicles by looking at 14 categories of vehicle. It weighs the individual priorities against social preferences and a selection process is used to analyse priorities and barriers to allow individuals considered potential electric vehicle buyers to be identified. © 2010 Elsevier Ltd.","author":[{"dropping-particle":"","family":"Lieven","given":"Theo","non-dropping-particle":"","parse-names":false,"suffix":""},{"dropping-particle":"","family":"Mühlmeier","given":"Silke","non-dropping-particle":"","parse-names":false,"suffix":""},{"dropping-particle":"","family":"Henkel","given":"Sven","non-dropping-particle":"","parse-names":false,"suffix":""},{"dropping-particle":"","family":"Waller","given":"Johann F.","non-dropping-particle":"","parse-names":false,"suffix":""}],"container-title":"Transportation Research Part D: Transport and Environment","id":"ITEM-6","issue":"3","issued":{"date-parts":[["2011"]]},"page":"236-243","publisher":"Elsevier Ltd","title":"Who will buy electric cars? An empirical study in Germany","type":"article-journal","volume":"16"},"uris":["http://www.mendeley.com/documents/?uuid=404166b0-d4aa-4acb-8767-47f8a1587708"]},{"id":"ITEM-7","itemData":{"abstract":"The Norwegian Electrical Vehicle (EV)-policy, with its many incentives and the establishment of Transnova, a body giving financial support to charging facilities, have reduced the barriers for E-mobility. Norwegians were ready to buy EVs when the big automakers launched their models into the Norwegian market. The share of EVs in the new car market in Norway is the largest in the world. The early adopters of EVs are typically men in multi-car households located in the largest City-regions. They are most often used for driving to work. Akershus is the province with the highest EV-share, here EV drivers have access to the bus-lanes and do not have to pay the tolls to get into Oslo city. It is likely that EV-drivers will continue to use EVs in the future and it seems that range is less of an issue for the existing drivers than expected. Most daily trips are within the range capability of modern EVs. The EV-trips in general replace trips with ICE-vehicles but also in some cases public transport. Fleets are lagging behind private consumers in EV-application. Modifying the extensive Norwegian EV-incentives as E-mobility enters the market expansion phase will be a major challenge.","author":[{"dropping-particle":"","family":"Figenbaum","given":"Erik","non-dropping-particle":"","parse-names":false,"suffix":""},{"dropping-particle":"","family":"Kolbenstvedt","given":"Marika","non-dropping-particle":"","parse-names":false,"suffix":""}],"id":"ITEM-7","issued":{"date-parts":[["2013"]]},"number-of-pages":"151","publisher-place":"Oslo","title":"Electromobility in Norway -experiences and opportunities with Electric vehicles","type":"report"},"uris":["http://www.mendeley.com/documents/?uuid=736abe67-d559-4e9e-b067-94fae8033951"]}],"mendeley":{"formattedCitation":"(Bühne et al., 2015; Carley, Krause, Lane, &amp; Graham, 2013; Egbue &amp; Long, 2012; Figenbaum &amp; Kolbenstvedt, 2013; Helveston et al., 2015; Hidrue, Parsons, Kempton, &amp; Gardner, 2011; Lieven et al., 2011)","plainTextFormattedCitation":"(Bühne et al., 2015; Carley, Krause, Lane, &amp; Graham, 2013; Egbue &amp; Long, 2012; Figenbaum &amp; Kolbenstvedt, 2013; Helveston et al., 2015; Hidrue, Parsons, Kempton, &amp; Gardner, 2011; Lieven et al., 2011)","previouslyFormattedCitation":"(Bühne et al., 2015; Carley, Krause, Lane, &amp; Graham, 2013; Egbue &amp; Long, 2012; Figenbaum &amp; Kolbenstvedt, 2013; Helveston et al., 2015; Hidrue, Parsons, Kempton, &amp; Gardner, 2011; Lieven et al., 2011)"},"properties":{"noteIndex":0},"schema":"https://github.com/citation-style-language/schema/raw/master/csl-citation.json"}</w:instrText>
      </w:r>
      <w:r>
        <w:rPr>
          <w:rFonts w:ascii="Times New Roman" w:hAnsi="Times New Roman"/>
          <w:sz w:val="24"/>
          <w:szCs w:val="24"/>
          <w:lang w:val="en-US"/>
        </w:rPr>
        <w:fldChar w:fldCharType="separate"/>
      </w:r>
      <w:r w:rsidR="00893B40" w:rsidRPr="00893B40">
        <w:rPr>
          <w:rFonts w:ascii="Times New Roman" w:hAnsi="Times New Roman"/>
          <w:noProof/>
          <w:sz w:val="24"/>
          <w:szCs w:val="24"/>
          <w:lang w:val="en-US"/>
        </w:rPr>
        <w:t>(Bühne et al., 2015; Carley, Krause, Lane, &amp; Graham, 2013; Egbue &amp; Long, 2012; Figenbaum &amp; Kolbenstvedt, 2013; Helveston et al., 2015; Hidrue, Parsons, Kempton, &amp; Gardner, 2011; Lieven et al., 2011)</w:t>
      </w:r>
      <w:r>
        <w:rPr>
          <w:rFonts w:ascii="Times New Roman" w:hAnsi="Times New Roman"/>
          <w:sz w:val="24"/>
          <w:szCs w:val="24"/>
          <w:lang w:val="en-US"/>
        </w:rPr>
        <w:fldChar w:fldCharType="end"/>
      </w:r>
      <w:r w:rsidRPr="00C333EB">
        <w:rPr>
          <w:rFonts w:ascii="Times New Roman" w:hAnsi="Times New Roman"/>
          <w:sz w:val="24"/>
          <w:szCs w:val="24"/>
          <w:lang w:val="en-US"/>
        </w:rPr>
        <w:t xml:space="preserve">. </w:t>
      </w:r>
      <w:r>
        <w:rPr>
          <w:rFonts w:ascii="Times New Roman" w:hAnsi="Times New Roman"/>
          <w:sz w:val="24"/>
          <w:szCs w:val="24"/>
          <w:lang w:val="en-US"/>
        </w:rPr>
        <w:t>Overall, s</w:t>
      </w:r>
      <w:r w:rsidRPr="00C333EB">
        <w:rPr>
          <w:rFonts w:ascii="Times New Roman" w:hAnsi="Times New Roman"/>
          <w:sz w:val="24"/>
          <w:szCs w:val="24"/>
          <w:lang w:val="en-US"/>
        </w:rPr>
        <w:t>ustainability</w:t>
      </w:r>
      <w:r w:rsidR="00CB1757">
        <w:rPr>
          <w:rFonts w:ascii="Times New Roman" w:hAnsi="Times New Roman"/>
          <w:sz w:val="24"/>
          <w:szCs w:val="24"/>
          <w:lang w:val="en-US"/>
        </w:rPr>
        <w:t xml:space="preserve"> benefits of EVs</w:t>
      </w:r>
      <w:r w:rsidRPr="00C333EB">
        <w:rPr>
          <w:rFonts w:ascii="Times New Roman" w:hAnsi="Times New Roman"/>
          <w:sz w:val="24"/>
          <w:szCs w:val="24"/>
          <w:lang w:val="en-US"/>
        </w:rPr>
        <w:t xml:space="preserve"> ha</w:t>
      </w:r>
      <w:r w:rsidR="00CB1757">
        <w:rPr>
          <w:rFonts w:ascii="Times New Roman" w:hAnsi="Times New Roman"/>
          <w:sz w:val="24"/>
          <w:szCs w:val="24"/>
          <w:lang w:val="en-US"/>
        </w:rPr>
        <w:t>ve</w:t>
      </w:r>
      <w:r w:rsidRPr="00C333EB">
        <w:rPr>
          <w:rFonts w:ascii="Times New Roman" w:hAnsi="Times New Roman"/>
          <w:sz w:val="24"/>
          <w:szCs w:val="24"/>
          <w:lang w:val="en-US"/>
        </w:rPr>
        <w:t xml:space="preserve"> less weight compared to </w:t>
      </w:r>
      <w:r w:rsidR="00F825AC">
        <w:rPr>
          <w:rFonts w:ascii="Times New Roman" w:hAnsi="Times New Roman"/>
          <w:sz w:val="24"/>
          <w:szCs w:val="24"/>
          <w:lang w:val="en-US"/>
        </w:rPr>
        <w:t>EV</w:t>
      </w:r>
      <w:r w:rsidRPr="00C333EB">
        <w:rPr>
          <w:rFonts w:ascii="Times New Roman" w:hAnsi="Times New Roman"/>
          <w:sz w:val="24"/>
          <w:szCs w:val="24"/>
          <w:lang w:val="en-US"/>
        </w:rPr>
        <w:t xml:space="preserve"> cost and performance</w:t>
      </w:r>
      <w:r>
        <w:rPr>
          <w:rFonts w:ascii="Times New Roman" w:hAnsi="Times New Roman"/>
          <w:sz w:val="24"/>
          <w:szCs w:val="24"/>
          <w:lang w:val="en-US"/>
        </w:rPr>
        <w:t xml:space="preserve"> </w:t>
      </w:r>
      <w:r>
        <w:rPr>
          <w:rFonts w:ascii="Times New Roman" w:hAnsi="Times New Roman"/>
          <w:sz w:val="24"/>
          <w:szCs w:val="24"/>
          <w:lang w:val="en-US"/>
        </w:rPr>
        <w:fldChar w:fldCharType="begin" w:fldLock="1"/>
      </w:r>
      <w:r>
        <w:rPr>
          <w:rFonts w:ascii="Times New Roman" w:hAnsi="Times New Roman"/>
          <w:sz w:val="24"/>
          <w:szCs w:val="24"/>
          <w:lang w:val="en-US"/>
        </w:rPr>
        <w:instrText>ADDIN CSL_CITATION {"citationItems":[{"id":"ITEM-1","itemData":{"DOI":"10.1007/s12544-015-0178-0","ISSN":"18668887","abstract":"Introduction: Electric vehicles can be a successful mobility alternative, but several obstacles and challenges have to be overcome first. Especially the customers’ purchase decision determines whether an innovation like electromobility will be eventually successful. The objective of this paper covers the investigation of consumer’s attitude towards electric vehicles and their opinion on potential promotion measures and its impact on market penetration scenarios in different countries. Methods: The aforementioned issues were investigated via a European wide online consumer survey. It was designed to identify the awareness of potential consumers of electric cars as well as to discover their attitude towards this new technology. In addition to the picture of potential demand-related obstacles, the consumers were asked to evaluate the suitability of various promotion measures. Finally, the findings were included in an agent based vehicle market model which specifies consumer demand and market supply of electromobility scenarios. Results: The results show that the consumer attitude towards electromobility is rather positive and electric vehicles are generally perceived as environment-friendly and secure. But the high acquisition costs and the uncertainty about the operating costs deter consumers from purchasing an electric car. First results of the inclusion of potential promotion measures such as financial incentives in a scenario based market model show a significant increase of the electric vehicle uptake in Germany. Conclusions: Potential customers have high expectations regarding the comfort and range of an electric vehicle. One of the most important barriers and obstacles for a broad market uptake are the currently high purchase prices for this new technology. Therefore, it seems quite necessary to make electric vehicles from a customer’s standpoint more attractive. From the customer’s perspective a dense network of charging stations and financial measures such as tax and energy cost reductions are vital prerequisites in order to convince them to buy an electric vehicle. Finally, it has been proven within a scenario based market model for Germany that the use of different promotion measures by the national government can enhance the market share of electric vehicles substantially until 2030.","author":[{"dropping-particle":"","family":"Bühne","given":"Jan André","non-dropping-particle":"","parse-names":false,"suffix":""},{"dropping-particle":"","family":"Gruschwitz","given":"Dana","non-dropping-particle":"","parse-names":false,"suffix":""},{"dropping-particle":"","family":"Hölscher","given":"Jana","non-dropping-particle":"","parse-names":false,"suffix":""},{"dropping-particle":"","family":"Klötzke","given":"Matthias","non-dropping-particle":"","parse-names":false,"suffix":""},{"dropping-particle":"","family":"Kugler","given":"Ulrike","non-dropping-particle":"","parse-names":false,"suffix":""},{"dropping-particle":"","family":"Schimeczek","given":"Christoph","non-dropping-particle":"","parse-names":false,"suffix":""}],"container-title":"European Transport Research Review","id":"ITEM-1","issue":"3","issued":{"date-parts":[["2015"]]},"title":"How to promote electromobility for European car drivers? Obstacles to overcome for a broad market penetration","type":"article-journal","volume":"7"},"uris":["http://www.mendeley.com/documents/?uuid=c06371a2-73dc-47f0-91f9-6fbe4c5f6f10"]},{"id":"ITEM-2","itemData":{"DOI":"10.1016/j.enpol.2012.06.009","ISBN":"0301-4215","ISSN":"03014215","abstract":"Electric Vehicles (EVs) are promoted as a viable near-term vehicle technology to reduce dependence on fossil fuels and resulting greenhouse gas (GHG) emissions associated with conventional vehicles (CVs). In spite of the benefits of EVs, several obstacles need to be overcome before EVs will be widely adopted. A major barrier is that consumers tend to resist new technologies that are considered alien or unproved, thus, policy decisions that consider their critical concerns will have a higher level of success. This research identifies potential socio-technical barriers to consumer adoption of EVs and determines if sustainability issues influence consumer decision to purchase an EV. This study provides valuable insights into preferences and perceptions of technology enthusiasts; individuals highly connected to technology development and better equipped to sort out the many differences between EVs and CVs. This group of individuals will likely be early adopters of EVs only if they perceive them to be superior in performance compared to CVs. These results can guide policymakers in crafting energy and transportation policy. It can also provide guidance to EV engineers' decision in incorporating consumer preference into EV engineering design. © 2012 Elsevier Ltd.","author":[{"dropping-particle":"","family":"Egbue","given":"Ona","non-dropping-particle":"","parse-names":false,"suffix":""},{"dropping-particle":"","family":"Long","given":"Suzanna","non-dropping-particle":"","parse-names":false,"suffix":""}],"container-title":"Energy Policy","id":"ITEM-2","issue":"2012","issued":{"date-parts":[["2012"]]},"page":"717-729","publisher":"Elsevier","title":"Barriers to widespread adoption of electric vehicles: An analysis of consumer attitudes and perceptions","type":"article-journal","volume":"48"},"uris":["http://www.mendeley.com/documents/?uuid=c35ec5e7-ccd5-4bb2-b91b-21aafe52b9c5"]}],"mendeley":{"formattedCitation":"(Bühne et al., 2015; Egbue &amp; Long, 2012)","plainTextFormattedCitation":"(Bühne et al., 2015; Egbue &amp; Long, 2012)","previouslyFormattedCitation":"(Bühne et al., 2015; Egbue &amp; Long, 2012)"},"properties":{"noteIndex":0},"schema":"https://github.com/citation-style-language/schema/raw/master/csl-citation.json"}</w:instrText>
      </w:r>
      <w:r>
        <w:rPr>
          <w:rFonts w:ascii="Times New Roman" w:hAnsi="Times New Roman"/>
          <w:sz w:val="24"/>
          <w:szCs w:val="24"/>
          <w:lang w:val="en-US"/>
        </w:rPr>
        <w:fldChar w:fldCharType="separate"/>
      </w:r>
      <w:r w:rsidRPr="00B922BF">
        <w:rPr>
          <w:rFonts w:ascii="Times New Roman" w:hAnsi="Times New Roman"/>
          <w:noProof/>
          <w:sz w:val="24"/>
          <w:szCs w:val="24"/>
          <w:lang w:val="en-US"/>
        </w:rPr>
        <w:t>(Bühne et al., 2015; Egbue &amp; Long, 2012)</w:t>
      </w:r>
      <w:r>
        <w:rPr>
          <w:rFonts w:ascii="Times New Roman" w:hAnsi="Times New Roman"/>
          <w:sz w:val="24"/>
          <w:szCs w:val="24"/>
          <w:lang w:val="en-US"/>
        </w:rPr>
        <w:fldChar w:fldCharType="end"/>
      </w:r>
      <w:r w:rsidRPr="00C333EB">
        <w:rPr>
          <w:rFonts w:ascii="Times New Roman" w:hAnsi="Times New Roman"/>
          <w:sz w:val="24"/>
          <w:szCs w:val="24"/>
          <w:lang w:val="en-US"/>
        </w:rPr>
        <w:t>.</w:t>
      </w:r>
      <w:r>
        <w:rPr>
          <w:rFonts w:ascii="Times New Roman" w:hAnsi="Times New Roman"/>
          <w:sz w:val="24"/>
          <w:szCs w:val="24"/>
          <w:lang w:val="en-US"/>
        </w:rPr>
        <w:t xml:space="preserve"> </w:t>
      </w:r>
    </w:p>
    <w:p w:rsidR="00B95983" w:rsidRPr="005A720C" w:rsidRDefault="00B95983"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In addition to the EV-specific performance characteristics, respondents emphasized other disadvantages of EVs that can be grouped as context-related.</w:t>
      </w:r>
      <w:r w:rsidRPr="006A5002">
        <w:rPr>
          <w:rFonts w:ascii="Times New Roman" w:hAnsi="Times New Roman"/>
          <w:sz w:val="24"/>
          <w:szCs w:val="24"/>
          <w:lang w:val="en-US"/>
        </w:rPr>
        <w:t xml:space="preserve"> </w:t>
      </w:r>
      <w:r>
        <w:rPr>
          <w:rFonts w:ascii="Times New Roman" w:hAnsi="Times New Roman"/>
          <w:sz w:val="24"/>
          <w:szCs w:val="24"/>
          <w:lang w:val="en-US"/>
        </w:rPr>
        <w:t>From the supply-side, a smaller variety of models was mentioned as an obstacle to buy an</w:t>
      </w:r>
      <w:r w:rsidR="00F3598B">
        <w:rPr>
          <w:rFonts w:ascii="Times New Roman" w:hAnsi="Times New Roman"/>
          <w:sz w:val="24"/>
          <w:szCs w:val="24"/>
          <w:lang w:val="en-US"/>
        </w:rPr>
        <w:t xml:space="preserve"> EV</w:t>
      </w:r>
      <w:r>
        <w:rPr>
          <w:rFonts w:ascii="Times New Roman" w:hAnsi="Times New Roman"/>
          <w:sz w:val="24"/>
          <w:szCs w:val="24"/>
          <w:lang w:val="en-US"/>
        </w:rPr>
        <w:t xml:space="preserve"> </w:t>
      </w:r>
      <w:r w:rsidR="001D00DE">
        <w:rPr>
          <w:rFonts w:ascii="Times New Roman" w:hAnsi="Times New Roman"/>
          <w:sz w:val="24"/>
          <w:szCs w:val="24"/>
          <w:lang w:val="en-US"/>
        </w:rPr>
        <w:fldChar w:fldCharType="begin" w:fldLock="1"/>
      </w:r>
      <w:r w:rsidR="001D00DE">
        <w:rPr>
          <w:rFonts w:ascii="Times New Roman" w:hAnsi="Times New Roman"/>
          <w:sz w:val="24"/>
          <w:szCs w:val="24"/>
          <w:lang w:val="en-US"/>
        </w:rPr>
        <w:instrText>ADDIN CSL_CITATION {"citationItems":[{"id":"ITEM-1","itemData":{"DOI":"10.1007/s12544-015-0178-0","ISSN":"18668887","abstract":"Introduction: Electric vehicles can be a successful mobility alternative, but several obstacles and challenges have to be overcome first. Especially the customers’ purchase decision determines whether an innovation like electromobility will be eventually successful. The objective of this paper covers the investigation of consumer’s attitude towards electric vehicles and their opinion on potential promotion measures and its impact on market penetration scenarios in different countries. Methods: The aforementioned issues were investigated via a European wide online consumer survey. It was designed to identify the awareness of potential consumers of electric cars as well as to discover their attitude towards this new technology. In addition to the picture of potential demand-related obstacles, the consumers were asked to evaluate the suitability of various promotion measures. Finally, the findings were included in an agent based vehicle market model which specifies consumer demand and market supply of electromobility scenarios. Results: The results show that the consumer attitude towards electromobility is rather positive and electric vehicles are generally perceived as environment-friendly and secure. But the high acquisition costs and the uncertainty about the operating costs deter consumers from purchasing an electric car. First results of the inclusion of potential promotion measures such as financial incentives in a scenario based market model show a significant increase of the electric vehicle uptake in Germany. Conclusions: Potential customers have high expectations regarding the comfort and range of an electric vehicle. One of the most important barriers and obstacles for a broad market uptake are the currently high purchase prices for this new technology. Therefore, it seems quite necessary to make electric vehicles from a customer’s standpoint more attractive. From the customer’s perspective a dense network of charging stations and financial measures such as tax and energy cost reductions are vital prerequisites in order to convince them to buy an electric vehicle. Finally, it has been proven within a scenario based market model for Germany that the use of different promotion measures by the national government can enhance the market share of electric vehicles substantially until 2030.","author":[{"dropping-particle":"","family":"Bühne","given":"Jan André","non-dropping-particle":"","parse-names":false,"suffix":""},{"dropping-particle":"","family":"Gruschwitz","given":"Dana","non-dropping-particle":"","parse-names":false,"suffix":""},{"dropping-particle":"","family":"Hölscher","given":"Jana","non-dropping-particle":"","parse-names":false,"suffix":""},{"dropping-particle":"","family":"Klötzke","given":"Matthias","non-dropping-particle":"","parse-names":false,"suffix":""},{"dropping-particle":"","family":"Kugler","given":"Ulrike","non-dropping-particle":"","parse-names":false,"suffix":""},{"dropping-particle":"","family":"Schimeczek","given":"Christoph","non-dropping-particle":"","parse-names":false,"suffix":""}],"container-title":"European Transport Research Review","id":"ITEM-1","issue":"3","issued":{"date-parts":[["2015"]]},"title":"How to promote electromobility for European car drivers? Obstacles to overcome for a broad market penetration","type":"article-journal","volume":"7"},"uris":["http://www.mendeley.com/documents/?uuid=c06371a2-73dc-47f0-91f9-6fbe4c5f6f10"]}],"mendeley":{"formattedCitation":"(Bühne et al., 2015)","plainTextFormattedCitation":"(Bühne et al., 2015)","previouslyFormattedCitation":"(Bühne et al., 2015)"},"properties":{"noteIndex":0},"schema":"https://github.com/citation-style-language/schema/raw/master/csl-citation.json"}</w:instrText>
      </w:r>
      <w:r w:rsidR="001D00DE">
        <w:rPr>
          <w:rFonts w:ascii="Times New Roman" w:hAnsi="Times New Roman"/>
          <w:sz w:val="24"/>
          <w:szCs w:val="24"/>
          <w:lang w:val="en-US"/>
        </w:rPr>
        <w:fldChar w:fldCharType="separate"/>
      </w:r>
      <w:r w:rsidR="001D00DE" w:rsidRPr="00FB60B4">
        <w:rPr>
          <w:rFonts w:ascii="Times New Roman" w:hAnsi="Times New Roman"/>
          <w:noProof/>
          <w:sz w:val="24"/>
          <w:szCs w:val="24"/>
          <w:lang w:val="en-US"/>
        </w:rPr>
        <w:t>(Bühne et al., 2015)</w:t>
      </w:r>
      <w:r w:rsidR="001D00DE">
        <w:rPr>
          <w:rFonts w:ascii="Times New Roman" w:hAnsi="Times New Roman"/>
          <w:sz w:val="24"/>
          <w:szCs w:val="24"/>
          <w:lang w:val="en-US"/>
        </w:rPr>
        <w:fldChar w:fldCharType="end"/>
      </w:r>
      <w:r>
        <w:rPr>
          <w:rFonts w:ascii="Times New Roman" w:hAnsi="Times New Roman"/>
          <w:sz w:val="24"/>
          <w:szCs w:val="24"/>
          <w:lang w:val="en-US"/>
        </w:rPr>
        <w:t xml:space="preserve">. </w:t>
      </w:r>
      <w:r w:rsidR="0040382C" w:rsidRPr="0040382C">
        <w:rPr>
          <w:rFonts w:ascii="Times New Roman" w:hAnsi="Times New Roman"/>
          <w:sz w:val="24"/>
          <w:szCs w:val="24"/>
          <w:lang w:val="en-US"/>
        </w:rPr>
        <w:t>T</w:t>
      </w:r>
      <w:r w:rsidRPr="0040382C">
        <w:rPr>
          <w:rFonts w:ascii="Times New Roman" w:hAnsi="Times New Roman"/>
          <w:sz w:val="24"/>
          <w:szCs w:val="24"/>
          <w:lang w:val="en-US"/>
        </w:rPr>
        <w:t xml:space="preserve">he </w:t>
      </w:r>
      <w:r w:rsidR="0040382C">
        <w:rPr>
          <w:rFonts w:ascii="Times New Roman" w:hAnsi="Times New Roman"/>
          <w:sz w:val="24"/>
          <w:szCs w:val="24"/>
          <w:lang w:val="en-US"/>
        </w:rPr>
        <w:t xml:space="preserve">lack of </w:t>
      </w:r>
      <w:r w:rsidRPr="0040382C">
        <w:rPr>
          <w:rFonts w:ascii="Times New Roman" w:hAnsi="Times New Roman"/>
          <w:sz w:val="24"/>
          <w:szCs w:val="24"/>
          <w:lang w:val="en-US"/>
        </w:rPr>
        <w:t xml:space="preserve">public </w:t>
      </w:r>
      <w:r w:rsidR="00B370F7">
        <w:rPr>
          <w:rFonts w:ascii="Times New Roman" w:hAnsi="Times New Roman"/>
          <w:sz w:val="24"/>
          <w:szCs w:val="24"/>
          <w:lang w:val="en-US"/>
        </w:rPr>
        <w:t>fast</w:t>
      </w:r>
      <w:r w:rsidR="00287DC8">
        <w:rPr>
          <w:rFonts w:ascii="Times New Roman" w:hAnsi="Times New Roman"/>
          <w:sz w:val="24"/>
          <w:szCs w:val="24"/>
          <w:lang w:val="en-US"/>
        </w:rPr>
        <w:t>-</w:t>
      </w:r>
      <w:r w:rsidRPr="0040382C">
        <w:rPr>
          <w:rFonts w:ascii="Times New Roman" w:hAnsi="Times New Roman"/>
          <w:sz w:val="24"/>
          <w:szCs w:val="24"/>
          <w:lang w:val="en-US"/>
        </w:rPr>
        <w:t>charging infrastructure was</w:t>
      </w:r>
      <w:r w:rsidR="00CB1757">
        <w:rPr>
          <w:rFonts w:ascii="Times New Roman" w:hAnsi="Times New Roman"/>
          <w:sz w:val="24"/>
          <w:szCs w:val="24"/>
          <w:lang w:val="en-US"/>
        </w:rPr>
        <w:t xml:space="preserve"> stressed</w:t>
      </w:r>
      <w:r w:rsidRPr="0040382C">
        <w:rPr>
          <w:rFonts w:ascii="Times New Roman" w:hAnsi="Times New Roman"/>
          <w:sz w:val="24"/>
          <w:szCs w:val="24"/>
          <w:lang w:val="en-US"/>
        </w:rPr>
        <w:t xml:space="preserve"> as a major obstacle for the extensive application</w:t>
      </w:r>
      <w:r w:rsidRPr="006522FF">
        <w:rPr>
          <w:rFonts w:ascii="Times New Roman" w:hAnsi="Times New Roman"/>
          <w:sz w:val="24"/>
          <w:szCs w:val="24"/>
          <w:lang w:val="en-US"/>
        </w:rPr>
        <w:t xml:space="preserve"> of EVs</w:t>
      </w:r>
      <w:r>
        <w:rPr>
          <w:rFonts w:ascii="Times New Roman" w:hAnsi="Times New Roman"/>
          <w:sz w:val="24"/>
          <w:szCs w:val="24"/>
          <w:lang w:val="en-US"/>
        </w:rPr>
        <w:t>, e</w:t>
      </w:r>
      <w:r w:rsidRPr="006522FF">
        <w:rPr>
          <w:rFonts w:ascii="Times New Roman" w:hAnsi="Times New Roman"/>
          <w:sz w:val="24"/>
          <w:szCs w:val="24"/>
          <w:lang w:val="en-US"/>
        </w:rPr>
        <w:t xml:space="preserve">specially for </w:t>
      </w:r>
      <w:r w:rsidR="00CB1757">
        <w:rPr>
          <w:rFonts w:ascii="Times New Roman" w:hAnsi="Times New Roman"/>
          <w:sz w:val="24"/>
          <w:szCs w:val="24"/>
          <w:lang w:val="en-US"/>
        </w:rPr>
        <w:t xml:space="preserve">commuters or </w:t>
      </w:r>
      <w:r w:rsidRPr="006522FF">
        <w:rPr>
          <w:rFonts w:ascii="Times New Roman" w:hAnsi="Times New Roman"/>
          <w:sz w:val="24"/>
          <w:szCs w:val="24"/>
          <w:lang w:val="en-US"/>
        </w:rPr>
        <w:t xml:space="preserve">people without charging possibility at home and at </w:t>
      </w:r>
      <w:r w:rsidR="005A0176">
        <w:rPr>
          <w:rFonts w:ascii="Times New Roman" w:hAnsi="Times New Roman"/>
          <w:sz w:val="24"/>
          <w:szCs w:val="24"/>
          <w:lang w:val="en-US"/>
        </w:rPr>
        <w:t>work</w:t>
      </w:r>
      <w:r w:rsidRPr="006522FF">
        <w:rPr>
          <w:rFonts w:ascii="Times New Roman" w:hAnsi="Times New Roman"/>
          <w:sz w:val="24"/>
          <w:szCs w:val="24"/>
          <w:lang w:val="en-US"/>
        </w:rPr>
        <w:t xml:space="preserve"> (</w:t>
      </w:r>
      <w:proofErr w:type="spellStart"/>
      <w:r w:rsidRPr="00CB1B80">
        <w:rPr>
          <w:rFonts w:ascii="Times New Roman" w:hAnsi="Times New Roman"/>
          <w:color w:val="FF0000"/>
          <w:sz w:val="24"/>
          <w:szCs w:val="24"/>
          <w:lang w:val="en-US"/>
        </w:rPr>
        <w:t>Spichartz</w:t>
      </w:r>
      <w:proofErr w:type="spellEnd"/>
      <w:r w:rsidRPr="00CB1B80">
        <w:rPr>
          <w:rFonts w:ascii="Times New Roman" w:hAnsi="Times New Roman"/>
          <w:color w:val="FF0000"/>
          <w:sz w:val="24"/>
          <w:szCs w:val="24"/>
          <w:lang w:val="en-US"/>
        </w:rPr>
        <w:t xml:space="preserve">, Dost, Becker, &amp; </w:t>
      </w:r>
      <w:proofErr w:type="spellStart"/>
      <w:r w:rsidRPr="00CB1B80">
        <w:rPr>
          <w:rFonts w:ascii="Times New Roman" w:hAnsi="Times New Roman"/>
          <w:color w:val="FF0000"/>
          <w:sz w:val="24"/>
          <w:szCs w:val="24"/>
          <w:lang w:val="en-US"/>
        </w:rPr>
        <w:t>Sourkounis</w:t>
      </w:r>
      <w:proofErr w:type="spellEnd"/>
      <w:r w:rsidRPr="00CB1B80">
        <w:rPr>
          <w:rFonts w:ascii="Times New Roman" w:hAnsi="Times New Roman"/>
          <w:color w:val="FF0000"/>
          <w:sz w:val="24"/>
          <w:szCs w:val="24"/>
          <w:lang w:val="en-US"/>
        </w:rPr>
        <w:t>, 2015</w:t>
      </w:r>
      <w:r w:rsidR="001D00DE">
        <w:rPr>
          <w:rFonts w:ascii="Times New Roman" w:hAnsi="Times New Roman"/>
          <w:sz w:val="24"/>
          <w:szCs w:val="24"/>
          <w:lang w:val="en-US"/>
        </w:rPr>
        <w:t xml:space="preserve">; </w:t>
      </w:r>
      <w:r w:rsidR="001D00DE">
        <w:rPr>
          <w:rFonts w:ascii="Times New Roman" w:hAnsi="Times New Roman"/>
          <w:sz w:val="24"/>
          <w:szCs w:val="24"/>
          <w:lang w:val="en-US"/>
        </w:rPr>
        <w:fldChar w:fldCharType="begin" w:fldLock="1"/>
      </w:r>
      <w:r w:rsidR="001D00DE">
        <w:rPr>
          <w:rFonts w:ascii="Times New Roman" w:hAnsi="Times New Roman"/>
          <w:sz w:val="24"/>
          <w:szCs w:val="24"/>
          <w:lang w:val="en-US"/>
        </w:rPr>
        <w:instrText>ADDIN CSL_CITATION {"citationItems":[{"id":"ITEM-1","itemData":{"DOI":"10.1007/s12544-015-0178-0","ISSN":"18668887","abstract":"Introduction: Electric vehicles can be a successful mobility alternative, but several obstacles and challenges have to be overcome first. Especially the customers’ purchase decision determines whether an innovation like electromobility will be eventually successful. The objective of this paper covers the investigation of consumer’s attitude towards electric vehicles and their opinion on potential promotion measures and its impact on market penetration scenarios in different countries. Methods: The aforementioned issues were investigated via a European wide online consumer survey. It was designed to identify the awareness of potential consumers of electric cars as well as to discover their attitude towards this new technology. In addition to the picture of potential demand-related obstacles, the consumers were asked to evaluate the suitability of various promotion measures. Finally, the findings were included in an agent based vehicle market model which specifies consumer demand and market supply of electromobility scenarios. Results: The results show that the consumer attitude towards electromobility is rather positive and electric vehicles are generally perceived as environment-friendly and secure. But the high acquisition costs and the uncertainty about the operating costs deter consumers from purchasing an electric car. First results of the inclusion of potential promotion measures such as financial incentives in a scenario based market model show a significant increase of the electric vehicle uptake in Germany. Conclusions: Potential customers have high expectations regarding the comfort and range of an electric vehicle. One of the most important barriers and obstacles for a broad market uptake are the currently high purchase prices for this new technology. Therefore, it seems quite necessary to make electric vehicles from a customer’s standpoint more attractive. From the customer’s perspective a dense network of charging stations and financial measures such as tax and energy cost reductions are vital prerequisites in order to convince them to buy an electric vehicle. Finally, it has been proven within a scenario based market model for Germany that the use of different promotion measures by the national government can enhance the market share of electric vehicles substantially until 2030.","author":[{"dropping-particle":"","family":"Bühne","given":"Jan André","non-dropping-particle":"","parse-names":false,"suffix":""},{"dropping-particle":"","family":"Gruschwitz","given":"Dana","non-dropping-particle":"","parse-names":false,"suffix":""},{"dropping-particle":"","family":"Hölscher","given":"Jana","non-dropping-particle":"","parse-names":false,"suffix":""},{"dropping-particle":"","family":"Klötzke","given":"Matthias","non-dropping-particle":"","parse-names":false,"suffix":""},{"dropping-particle":"","family":"Kugler","given":"Ulrike","non-dropping-particle":"","parse-names":false,"suffix":""},{"dropping-particle":"","family":"Schimeczek","given":"Christoph","non-dropping-particle":"","parse-names":false,"suffix":""}],"container-title":"European Transport Research Review","id":"ITEM-1","issue":"3","issued":{"date-parts":[["2015"]]},"title":"How to promote electromobility for European car drivers? Obstacles to overcome for a broad market penetration","type":"article-journal","volume":"7"},"uris":["http://www.mendeley.com/documents/?uuid=c06371a2-73dc-47f0-91f9-6fbe4c5f6f10"]}],"mendeley":{"formattedCitation":"(Bühne et al., 2015)","manualFormatting":"Bühne et al., 2015","plainTextFormattedCitation":"(Bühne et al., 2015)","previouslyFormattedCitation":"(Bühne et al., 2015)"},"properties":{"noteIndex":0},"schema":"https://github.com/citation-style-language/schema/raw/master/csl-citation.json"}</w:instrText>
      </w:r>
      <w:r w:rsidR="001D00DE">
        <w:rPr>
          <w:rFonts w:ascii="Times New Roman" w:hAnsi="Times New Roman"/>
          <w:sz w:val="24"/>
          <w:szCs w:val="24"/>
          <w:lang w:val="en-US"/>
        </w:rPr>
        <w:fldChar w:fldCharType="separate"/>
      </w:r>
      <w:r w:rsidR="001D00DE" w:rsidRPr="00FB60B4">
        <w:rPr>
          <w:rFonts w:ascii="Times New Roman" w:hAnsi="Times New Roman"/>
          <w:noProof/>
          <w:sz w:val="24"/>
          <w:szCs w:val="24"/>
          <w:lang w:val="en-US"/>
        </w:rPr>
        <w:t>Bühne et al., 2015</w:t>
      </w:r>
      <w:r w:rsidR="001D00DE">
        <w:rPr>
          <w:rFonts w:ascii="Times New Roman" w:hAnsi="Times New Roman"/>
          <w:sz w:val="24"/>
          <w:szCs w:val="24"/>
          <w:lang w:val="en-US"/>
        </w:rPr>
        <w:fldChar w:fldCharType="end"/>
      </w:r>
      <w:r w:rsidR="0040382C">
        <w:rPr>
          <w:rFonts w:ascii="Times New Roman" w:hAnsi="Times New Roman"/>
          <w:sz w:val="24"/>
          <w:szCs w:val="24"/>
          <w:lang w:val="en-US"/>
        </w:rPr>
        <w:t xml:space="preserve">; </w:t>
      </w:r>
      <w:r>
        <w:rPr>
          <w:rFonts w:ascii="Times New Roman" w:hAnsi="Times New Roman"/>
          <w:sz w:val="24"/>
          <w:szCs w:val="24"/>
          <w:lang w:val="en-US"/>
        </w:rPr>
        <w:fldChar w:fldCharType="begin" w:fldLock="1"/>
      </w:r>
      <w:r w:rsidR="00893B40">
        <w:rPr>
          <w:rFonts w:ascii="Times New Roman" w:hAnsi="Times New Roman"/>
          <w:sz w:val="24"/>
          <w:szCs w:val="24"/>
          <w:lang w:val="en-US"/>
        </w:rPr>
        <w:instrText>ADDIN CSL_CITATION {"citationItems":[{"id":"ITEM-1","itemData":{"DOI":"10.1016/j.tra.2015.01.002","ISBN":"0965-8564","ISSN":"09658564","PMID":"14419462","abstract":"We model consumer preferences for conventional, hybrid electric, plug-in hybrid electric (PHEV), and battery electric (BEV) vehicle technologies in China and the U.S. using data from choice-based conjoint surveys fielded in 2012-2013 in both countries. We find that with the combined bundle of attributes offered by vehicles available today, gasoline vehicles continue in both countries to be most attractive to consumers, and American respondents have significantly lower relative willingness-to-pay for BEV technology than Chinese respondents. While U.S. and Chinese subsidies are similar, favoring vehicles with larger battery packs, differences in consumer preferences lead to different outcomes. Our results suggest that with or without each country's 2012-2013 subsidies, Chinese consumers are willing to adopt today's BEVs and mid-range PHEVs at similar rates relative to their respective gasoline counterparts, whereas American consumers prefer low-range PHEVs despite subsidies. This implies potential for earlier BEV adoption in China, given adequate supply. While there are clear national security benefits for adoption of BEVs in China, the local and global social impact is unclear: With higher electricity generation emissions in China, a transition to BEVs may reduce oil consumption at the expense of increased air pollution and/or greenhouse gas emissions. On the other hand, demand from China could increase global incentives for electric vehicle technology development with the potential to reduce emissions in countries where electricity generation is associated with lower emissions.","author":[{"dropping-particle":"","family":"Helveston","given":"John Paul","non-dropping-particle":"","parse-names":false,"suffix":""},{"dropping-particle":"","family":"Liu","given":"Yimin","non-dropping-particle":"","parse-names":false,"suffix":""},{"dropping-particle":"","family":"Feit","given":"Elea Mc Donnell","non-dropping-particle":"","parse-names":false,"suffix":""},{"dropping-particle":"","family":"Fuchs","given":"Erica","non-dropping-particle":"","parse-names":false,"suffix":""},{"dropping-particle":"","family":"Klampfl","given":"Erica","non-dropping-particle":"","parse-names":false,"suffix":""},{"dropping-particle":"","family":"Michalek","given":"Jeremy J.","non-dropping-particle":"","parse-names":false,"suffix":""}],"container-title":"Transportation Research Part A: Policy and Practice","id":"ITEM-1","issued":{"date-parts":[["2015"]]},"page":"96-112","publisher":"Elsevier Ltd","title":"Will subsidies drive electric vehicle adoption? Measuring consumer preferences in the U.S. and China","type":"article-journal","volume":"73"},"uris":["http://www.mendeley.com/documents/?uuid=3ec70b39-4272-41c0-bba3-8a0383b3d5f9"]}],"mendeley":{"formattedCitation":"(Helveston et al., 2015)","manualFormatting":"Helveston et al., 2015; ","plainTextFormattedCitation":"(Helveston et al., 2015)","previouslyFormattedCitation":"(Helveston et al., 2015)"},"properties":{"noteIndex":0},"schema":"https://github.com/citation-style-language/schema/raw/master/csl-citation.json"}</w:instrText>
      </w:r>
      <w:r>
        <w:rPr>
          <w:rFonts w:ascii="Times New Roman" w:hAnsi="Times New Roman"/>
          <w:sz w:val="24"/>
          <w:szCs w:val="24"/>
          <w:lang w:val="en-US"/>
        </w:rPr>
        <w:fldChar w:fldCharType="separate"/>
      </w:r>
      <w:r w:rsidRPr="00C45C9A">
        <w:rPr>
          <w:rFonts w:ascii="Times New Roman" w:hAnsi="Times New Roman"/>
          <w:noProof/>
          <w:sz w:val="24"/>
          <w:szCs w:val="24"/>
          <w:lang w:val="en-US"/>
        </w:rPr>
        <w:t>Helveston et al., 2015</w:t>
      </w:r>
      <w:r w:rsidR="00CB1757">
        <w:rPr>
          <w:rFonts w:ascii="Times New Roman" w:hAnsi="Times New Roman"/>
          <w:noProof/>
          <w:sz w:val="24"/>
          <w:szCs w:val="24"/>
          <w:lang w:val="en-US"/>
        </w:rPr>
        <w:t xml:space="preserve">; </w:t>
      </w:r>
      <w:r>
        <w:rPr>
          <w:rFonts w:ascii="Times New Roman" w:hAnsi="Times New Roman"/>
          <w:sz w:val="24"/>
          <w:szCs w:val="24"/>
          <w:lang w:val="en-US"/>
        </w:rPr>
        <w:fldChar w:fldCharType="end"/>
      </w:r>
      <w:proofErr w:type="spellStart"/>
      <w:r w:rsidRPr="00C62437">
        <w:rPr>
          <w:rFonts w:ascii="Times New Roman" w:hAnsi="Times New Roman"/>
          <w:sz w:val="24"/>
          <w:szCs w:val="24"/>
          <w:lang w:val="en-US"/>
        </w:rPr>
        <w:t>Assum</w:t>
      </w:r>
      <w:proofErr w:type="spellEnd"/>
      <w:r w:rsidRPr="00C62437">
        <w:rPr>
          <w:rFonts w:ascii="Times New Roman" w:hAnsi="Times New Roman"/>
          <w:sz w:val="24"/>
          <w:szCs w:val="24"/>
          <w:lang w:val="en-US"/>
        </w:rPr>
        <w:t xml:space="preserve"> et al., 2014). </w:t>
      </w:r>
      <w:r w:rsidRPr="005A720C">
        <w:rPr>
          <w:rFonts w:ascii="Times New Roman" w:hAnsi="Times New Roman"/>
          <w:sz w:val="24"/>
          <w:szCs w:val="24"/>
          <w:lang w:val="en-US"/>
        </w:rPr>
        <w:t>Experiences from Norway also show that fast-charging stations appear to reduce range anxiety, even though most EV owners use them rarely (</w:t>
      </w:r>
      <w:proofErr w:type="spellStart"/>
      <w:r w:rsidRPr="005A720C">
        <w:rPr>
          <w:rFonts w:ascii="Times New Roman" w:hAnsi="Times New Roman"/>
          <w:sz w:val="24"/>
          <w:szCs w:val="24"/>
          <w:lang w:val="en-US"/>
        </w:rPr>
        <w:t>Assum</w:t>
      </w:r>
      <w:proofErr w:type="spellEnd"/>
      <w:r w:rsidRPr="005A720C">
        <w:rPr>
          <w:rFonts w:ascii="Times New Roman" w:hAnsi="Times New Roman"/>
          <w:sz w:val="24"/>
          <w:szCs w:val="24"/>
          <w:lang w:val="en-US"/>
        </w:rPr>
        <w:t xml:space="preserve"> et al., 2014</w:t>
      </w:r>
      <w:r w:rsidR="00CB1757">
        <w:rPr>
          <w:rFonts w:ascii="Times New Roman" w:hAnsi="Times New Roman"/>
          <w:sz w:val="24"/>
          <w:szCs w:val="24"/>
          <w:lang w:val="en-US"/>
        </w:rPr>
        <w:t xml:space="preserve">; </w:t>
      </w:r>
      <w:proofErr w:type="spellStart"/>
      <w:r w:rsidR="00CB1757" w:rsidRPr="00CB1B80">
        <w:rPr>
          <w:rFonts w:ascii="Times New Roman" w:hAnsi="Times New Roman"/>
          <w:color w:val="FF0000"/>
          <w:sz w:val="24"/>
          <w:szCs w:val="24"/>
          <w:lang w:val="en-US"/>
        </w:rPr>
        <w:t>Haugneland</w:t>
      </w:r>
      <w:proofErr w:type="spellEnd"/>
      <w:r w:rsidR="00CB1757" w:rsidRPr="00CB1B80">
        <w:rPr>
          <w:rFonts w:ascii="Times New Roman" w:hAnsi="Times New Roman"/>
          <w:color w:val="FF0000"/>
          <w:sz w:val="24"/>
          <w:szCs w:val="24"/>
          <w:lang w:val="en-US"/>
        </w:rPr>
        <w:t xml:space="preserve"> &amp; Hauge, 2015</w:t>
      </w:r>
      <w:r w:rsidRPr="005A720C">
        <w:rPr>
          <w:rFonts w:ascii="Times New Roman" w:hAnsi="Times New Roman"/>
          <w:sz w:val="24"/>
          <w:szCs w:val="24"/>
          <w:lang w:val="en-US"/>
        </w:rPr>
        <w:t xml:space="preserve">). </w:t>
      </w:r>
      <w:r w:rsidR="00CB1757">
        <w:rPr>
          <w:rFonts w:ascii="Times New Roman" w:hAnsi="Times New Roman"/>
          <w:sz w:val="24"/>
          <w:szCs w:val="24"/>
          <w:lang w:val="en-US"/>
        </w:rPr>
        <w:t>Furthermore</w:t>
      </w:r>
      <w:r w:rsidRPr="005A720C">
        <w:rPr>
          <w:rFonts w:ascii="Times New Roman" w:hAnsi="Times New Roman"/>
          <w:sz w:val="24"/>
          <w:szCs w:val="24"/>
          <w:lang w:val="en-US"/>
        </w:rPr>
        <w:t>, the barrier of the slow recharge time can be overcome by the increased deployment of public fast</w:t>
      </w:r>
      <w:r w:rsidR="00287DC8">
        <w:rPr>
          <w:rFonts w:ascii="Times New Roman" w:hAnsi="Times New Roman"/>
          <w:sz w:val="24"/>
          <w:szCs w:val="24"/>
          <w:lang w:val="en-US"/>
        </w:rPr>
        <w:t>-</w:t>
      </w:r>
      <w:r w:rsidRPr="005A720C">
        <w:rPr>
          <w:rFonts w:ascii="Times New Roman" w:hAnsi="Times New Roman"/>
          <w:sz w:val="24"/>
          <w:szCs w:val="24"/>
          <w:lang w:val="en-US"/>
        </w:rPr>
        <w:t>charging (</w:t>
      </w:r>
      <w:proofErr w:type="spellStart"/>
      <w:r w:rsidRPr="005A720C">
        <w:rPr>
          <w:rFonts w:ascii="Times New Roman" w:hAnsi="Times New Roman"/>
          <w:sz w:val="24"/>
          <w:szCs w:val="24"/>
          <w:lang w:val="en-US"/>
        </w:rPr>
        <w:t>Lutsey</w:t>
      </w:r>
      <w:proofErr w:type="spellEnd"/>
      <w:r w:rsidRPr="005A720C">
        <w:rPr>
          <w:rFonts w:ascii="Times New Roman" w:hAnsi="Times New Roman"/>
          <w:sz w:val="24"/>
          <w:szCs w:val="24"/>
          <w:lang w:val="en-US"/>
        </w:rPr>
        <w:t xml:space="preserve">, 2015). </w:t>
      </w:r>
    </w:p>
    <w:p w:rsidR="00972D49" w:rsidRPr="00555B4D" w:rsidRDefault="007C5BCC" w:rsidP="00CE182C">
      <w:pPr>
        <w:pStyle w:val="2"/>
        <w:jc w:val="both"/>
        <w:rPr>
          <w:lang w:val="en-US"/>
        </w:rPr>
      </w:pPr>
      <w:bookmarkStart w:id="14" w:name="_Toc535248650"/>
      <w:r>
        <w:rPr>
          <w:lang w:val="en-US"/>
        </w:rPr>
        <w:t>Consumer</w:t>
      </w:r>
      <w:r w:rsidR="00C94149">
        <w:rPr>
          <w:lang w:val="en-US"/>
        </w:rPr>
        <w:t>-</w:t>
      </w:r>
      <w:r>
        <w:rPr>
          <w:lang w:val="en-US"/>
        </w:rPr>
        <w:t>perceived advantages of electric vehicles</w:t>
      </w:r>
      <w:bookmarkEnd w:id="14"/>
      <w:r w:rsidR="00972D49" w:rsidRPr="00555B4D">
        <w:rPr>
          <w:lang w:val="en-US"/>
        </w:rPr>
        <w:t xml:space="preserve"> </w:t>
      </w:r>
    </w:p>
    <w:p w:rsidR="00164D8E" w:rsidRPr="005A720C" w:rsidRDefault="00051B85"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Many studies showed that consumers refer exclusively to environmental friendliness as an advantage of the EV purchase </w:t>
      </w:r>
      <w:r w:rsidR="00164D8E">
        <w:rPr>
          <w:rFonts w:ascii="Times New Roman" w:hAnsi="Times New Roman"/>
          <w:sz w:val="24"/>
          <w:szCs w:val="24"/>
          <w:lang w:val="en-US"/>
        </w:rPr>
        <w:fldChar w:fldCharType="begin" w:fldLock="1"/>
      </w:r>
      <w:r w:rsidR="00164D8E">
        <w:rPr>
          <w:rFonts w:ascii="Times New Roman" w:hAnsi="Times New Roman"/>
          <w:sz w:val="24"/>
          <w:szCs w:val="24"/>
          <w:lang w:val="en-US"/>
        </w:rPr>
        <w:instrText>ADDIN CSL_CITATION {"citationItems":[{"id":"ITEM-1","itemData":{"DOI":"10.1016/j.enpol.2012.06.009","ISBN":"0301-4215","ISSN":"03014215","abstract":"Electric Vehicles (EVs) are promoted as a viable near-term vehicle technology to reduce dependence on fossil fuels and resulting greenhouse gas (GHG) emissions associated with conventional vehicles (CVs). In spite of the benefits of EVs, several obstacles need to be overcome before EVs will be widely adopted. A major barrier is that consumers tend to resist new technologies that are considered alien or unproved, thus, policy decisions that consider their critical concerns will have a higher level of success. This research identifies potential socio-technical barriers to consumer adoption of EVs and determines if sustainability issues influence consumer decision to purchase an EV. This study provides valuable insights into preferences and perceptions of technology enthusiasts; individuals highly connected to technology development and better equipped to sort out the many differences between EVs and CVs. This group of individuals will likely be early adopters of EVs only if they perceive them to be superior in performance compared to CVs. These results can guide policymakers in crafting energy and transportation policy. It can also provide guidance to EV engineers' decision in incorporating consumer preference into EV engineering design. © 2012 Elsevier Ltd.","author":[{"dropping-particle":"","family":"Egbue","given":"Ona","non-dropping-particle":"","parse-names":false,"suffix":""},{"dropping-particle":"","family":"Long","given":"Suzanna","non-dropping-particle":"","parse-names":false,"suffix":""}],"container-title":"Energy Policy","id":"ITEM-1","issue":"2012","issued":{"date-parts":[["2012"]]},"page":"717-729","publisher":"Elsevier","title":"Barriers to widespread adoption of electric vehicles: An analysis of consumer attitudes and perceptions","type":"article-journal","volume":"48"},"uris":["http://www.mendeley.com/documents/?uuid=c35ec5e7-ccd5-4bb2-b91b-21aafe52b9c5"]},{"id":"ITEM-2","itemData":{"DOI":"10.1016/j.trd.2011.05.005","ISBN":"1361-9209","ISSN":"13619209","abstract":"Fifty-eight peoples were given direct experience of driving a battery electric vehicle followed by an attitudinal questionnaire, and a vignette exercise to evaluate their attributions of symbolic meaning. Findings suggested that some consumers might start to consider electric vehicles as second cars if they had a range of 100 miles, and as main cars if they had a range of 150 miles. They may be willing to pay modest premiums over conventional vehicles, equivalent to around three years' running cost savings. Most would recharge at home overnight. © 2011.","author":[{"dropping-particle":"","family":"Skippon","given":"Stephen","non-dropping-particle":"","parse-names":false,"suffix":""},{"dropping-particle":"","family":"Garwood","given":"Mike","non-dropping-particle":"","parse-names":false,"suffix":""}],"container-title":"Transportation Research Part D: Transport and Environment","id":"ITEM-2","issue":"7","issued":{"date-parts":[["2011"]]},"page":"525-531","publisher":"Elsevier Ltd","title":"Responses to battery electric vehicles: UK consumer attitudes and attributions of symbolic meaning following direct experience to reduce psychological distance","type":"article-journal","volume":"16"},"uris":["http://www.mendeley.com/documents/?uuid=cfaac9cf-9eaf-468a-b9e7-1739320fc99f"]},{"id":"ITEM-3","itemData":{"DOI":"https://doi.org/10.1007/978-3-319-19743-2_22","abstract":"Although many electric cars are readily available on the market and the charging infrastructure is expanded, the majority of people is still reluctant to buy and use an electric car. It is assumed that underlying motives and mental models play decisive roles for the acceptance. To gain insights into laypeople’s concepts concerning electromobility, three focus group studies on perceived benefits and barriers with a total of 24 participants were conducted in which the participants discussed their perceived benefits and barriers of electric mobility. It was found that while participants’ perceived benefits referred almost exclusively to environmental issues, the barriers concerned multiple thematic areas such as costs, infrastructure, security of the technology, and practicability. Overall, it has become obvious that many misconceptions and prejudices against electromobility and electric cars still exist which can only be overcome by adequate information and communication concepts.","author":[{"dropping-particle":"","family":"Zaunbrecher","given":"Barbara","non-dropping-particle":"","parse-names":false,"suffix":""},{"dropping-particle":"","family":"Beul-Leusmann","given":"Shirley","non-dropping-particle":"","parse-names":false,"suffix":""},{"dropping-particle":"","family":"Ziefle","given":"Martina","non-dropping-particle":"","parse-names":false,"suffix":""}],"container-title":"Giaffreda R., Cagáňová D., Li Y., Riggio R., Voisard A. (eds) Internet of Things. IoT Infrastructures. IoT360 2014.","id":"ITEM-3","issued":{"date-parts":[["2015"]]},"page":"144-149","publisher":"Springer, Cham","title":"Laypeople’s Perspectives on Electromobility: A Focus Group Study","type":"paper-conference"},"uris":["http://www.mendeley.com/documents/?uuid=a1833fbe-fa23-448a-ac35-c10953f3aae4"]},{"id":"ITEM-4","itemData":{"DOI":"10.1016/j.tra.2015.01.002","ISBN":"0965-8564","ISSN":"09658564","PMID":"14419462","abstract":"We model consumer preferences for conventional, hybrid electric, plug-in hybrid electric (PHEV), and battery electric (BEV) vehicle technologies in China and the U.S. using data from choice-based conjoint surveys fielded in 2012-2013 in both countries. We find that with the combined bundle of attributes offered by vehicles available today, gasoline vehicles continue in both countries to be most attractive to consumers, and American respondents have significantly lower relative willingness-to-pay for BEV technology than Chinese respondents. While U.S. and Chinese subsidies are similar, favoring vehicles with larger battery packs, differences in consumer preferences lead to different outcomes. Our results suggest that with or without each country's 2012-2013 subsidies, Chinese consumers are willing to adopt today's BEVs and mid-range PHEVs at similar rates relative to their respective gasoline counterparts, whereas American consumers prefer low-range PHEVs despite subsidies. This implies potential for earlier BEV adoption in China, given adequate supply. While there are clear national security benefits for adoption of BEVs in China, the local and global social impact is unclear: With higher electricity generation emissions in China, a transition to BEVs may reduce oil consumption at the expense of increased air pollution and/or greenhouse gas emissions. On the other hand, demand from China could increase global incentives for electric vehicle technology development with the potential to reduce emissions in countries where electricity generation is associated with lower emissions.","author":[{"dropping-particle":"","family":"Helveston","given":"John Paul","non-dropping-particle":"","parse-names":false,"suffix":""},{"dropping-particle":"","family":"Liu","given":"Yimin","non-droppin</w:instrText>
      </w:r>
      <w:r w:rsidR="00164D8E" w:rsidRPr="00B30791">
        <w:rPr>
          <w:rFonts w:ascii="Times New Roman" w:hAnsi="Times New Roman"/>
          <w:sz w:val="24"/>
          <w:szCs w:val="24"/>
        </w:rPr>
        <w:instrText>g-particle":"","parse-names":false,"s</w:instrText>
      </w:r>
      <w:r w:rsidR="00164D8E" w:rsidRPr="00E9077E">
        <w:rPr>
          <w:rFonts w:ascii="Times New Roman" w:hAnsi="Times New Roman"/>
          <w:sz w:val="24"/>
          <w:szCs w:val="24"/>
        </w:rPr>
        <w:instrText>uffix":""},{"dropping-particle":"","family":"Feit","given":"Elea Mc Donnell","non-dropping-particle":"","parse-names":false,"suffix":""},{"dropping-particle":"","family":"Fuchs","given":"Erica","non-dropping-particle":"","parse-names":false,"suffix":""},{"dropping-particle":"","family":"Klampfl","given":"Erica","non-dropping-particle":"","parse-names":false,"suffix":""},{"dropping-particle":"","family":"Michalek","given":"Jeremy J.","non-dropping-particle":"","parse-names":false,"suffix":""}],"container-title":"Transportation Research Part A: Policy and Practice","id":"ITEM-4","issued":{"date-parts":[["2015"]]},"page":"96-112","publisher":"Elsevier Ltd","title":"Will subsidies drive electric vehicle adoption? Measuring consumer preferences in the U.S. and China","type":"article-journal","volume":"73"},"uris":["http://www.mendeley.com/documents/?uuid=3ec70b39-4272-41c0-bba3-8a0383b3d5f9"]}],"mendeley":{"formattedCitation":"(Egbue &amp; Long, 2012; Helveston et al., 2015; Skippon &amp; Garwood, 2011; Zaunbrecher, Beul-Leusmann, &amp; Ziefle, 2015)","plainTextFormattedCitation":"(Egbue &amp; Long, 2012; Helveston et al., 2015; Skippon &amp; Garwood, 2011; Zaunbrecher, Beul-Leusmann, &amp; Ziefle, 2015)","previouslyFormattedCitation":"(Egbue &amp; Long, 2012; Helveston et al., 2015; Skippon &amp; Garwood, 2011; Zaunbrecher, Beul-Leusmann, &amp; Ziefle, 2015)"},"properties":{"noteIndex":0},"schema":"https://github.com/citation-style-language/schema/raw/master/csl-citation.json"}</w:instrText>
      </w:r>
      <w:r w:rsidR="00164D8E">
        <w:rPr>
          <w:rFonts w:ascii="Times New Roman" w:hAnsi="Times New Roman"/>
          <w:sz w:val="24"/>
          <w:szCs w:val="24"/>
          <w:lang w:val="en-US"/>
        </w:rPr>
        <w:fldChar w:fldCharType="separate"/>
      </w:r>
      <w:r w:rsidR="00164D8E" w:rsidRPr="00E9077E">
        <w:rPr>
          <w:rFonts w:ascii="Times New Roman" w:hAnsi="Times New Roman"/>
          <w:noProof/>
          <w:sz w:val="24"/>
          <w:szCs w:val="24"/>
        </w:rPr>
        <w:t>(Egbue &amp; Long, 2012; Helveston et al., 2015; Skippon &amp; Garwood, 2011; Zaunbrecher, Beul-Leusmann, &amp; Ziefle, 2015)</w:t>
      </w:r>
      <w:r w:rsidR="00164D8E">
        <w:rPr>
          <w:rFonts w:ascii="Times New Roman" w:hAnsi="Times New Roman"/>
          <w:sz w:val="24"/>
          <w:szCs w:val="24"/>
          <w:lang w:val="en-US"/>
        </w:rPr>
        <w:fldChar w:fldCharType="end"/>
      </w:r>
      <w:r w:rsidR="00164D8E" w:rsidRPr="00E9077E">
        <w:rPr>
          <w:rFonts w:ascii="Times New Roman" w:hAnsi="Times New Roman"/>
          <w:sz w:val="24"/>
          <w:szCs w:val="24"/>
        </w:rPr>
        <w:t xml:space="preserve">. </w:t>
      </w:r>
      <w:r w:rsidR="00164D8E">
        <w:rPr>
          <w:rFonts w:ascii="Times New Roman" w:hAnsi="Times New Roman"/>
          <w:sz w:val="24"/>
          <w:szCs w:val="24"/>
          <w:lang w:val="en-US"/>
        </w:rPr>
        <w:t xml:space="preserve">Interestingly, European consumers are rather skeptical about the </w:t>
      </w:r>
      <w:r w:rsidR="00F825AC">
        <w:rPr>
          <w:rFonts w:ascii="Times New Roman" w:hAnsi="Times New Roman"/>
          <w:sz w:val="24"/>
          <w:szCs w:val="24"/>
          <w:lang w:val="en-US"/>
        </w:rPr>
        <w:t xml:space="preserve">EV </w:t>
      </w:r>
      <w:r w:rsidR="00164D8E">
        <w:rPr>
          <w:rFonts w:ascii="Times New Roman" w:hAnsi="Times New Roman"/>
          <w:sz w:val="24"/>
          <w:szCs w:val="24"/>
          <w:lang w:val="en-US"/>
        </w:rPr>
        <w:t xml:space="preserve">environmental benefits </w:t>
      </w:r>
      <w:r w:rsidR="00164D8E" w:rsidRPr="005A720C">
        <w:rPr>
          <w:rFonts w:ascii="Times New Roman" w:hAnsi="Times New Roman"/>
          <w:sz w:val="24"/>
          <w:szCs w:val="24"/>
          <w:lang w:val="en-US"/>
        </w:rPr>
        <w:fldChar w:fldCharType="begin" w:fldLock="1"/>
      </w:r>
      <w:r w:rsidR="00164D8E" w:rsidRPr="005A720C">
        <w:rPr>
          <w:rFonts w:ascii="Times New Roman" w:hAnsi="Times New Roman"/>
          <w:sz w:val="24"/>
          <w:szCs w:val="24"/>
          <w:lang w:val="en-US"/>
        </w:rPr>
        <w:instrText>ADDIN CSL_CITATION {"citationItems":[{"id":"ITEM-1","itemData":{"DOI":"10.1007/s12544-015-0178-0","ISSN":"18668887","abstract":"Introduction: Electric vehicles can be a successful mobility alternative, but several obstacles and challenges have to be overcome first. Especially the customers’ purchase decision determines whether an innovation like electromobility will be eventually successful. The objective of this paper covers the investigation of consumer’s attitude towards electric vehicles and their opinion on potential promotion measures and its impact on market penetration scenarios in different countries. Methods: The aforementioned issues were investigated via a European wide online consumer survey. It was designed to identify the awareness of potential consumers of electric cars as well as to discover their attitude towards this new technology. In addition to the picture of potential demand-related obstacles, the consumers were asked to evaluate the suitability of various promotion measures. Finally, the findings were included in an agent based vehicle market model which specifies consumer demand and market supply of electromobility scenarios. Results: The results show that the consumer attitude towards electromobility is rather positive and electric vehicles are generally perceived as environment-friendly and secure. But the high acquisition costs and the uncertainty about the operating costs deter consumers from purchasing an electric car. First results of the inclusion of potential promotion measures such as financial incentives in a scenario based market model show a significant increase of the electric vehicle uptake in Germany. Conclusions: Potential customers have high expectations regarding the comfort and range of an electric vehicle. One of the most important barriers and obstacles for a broad market uptake are the currently high purchase prices for this new technology. Therefore, it seems quite necessary to make electric vehicles from a customer’s standpoint more attractive. From the customer’s perspective a dense network of charging stations and financial measures such as tax and energy cost reductions are vital prerequisites in order to convince them to buy an electric vehicle. Finally, it has been proven within a scenario based market model for Germany that the use of different promotion measures by the national government can enhance the market share of electric vehicles substantially until 2030.","author":[{"dropping-particle":"","family":"Bühne","given":"Jan André","non-dropping-particle":"","parse-names":false,"suffix":""},{"dropping-particle":"","family":"Gruschwitz","given":"Dana","non-dropping-particle":"","parse-names":false,"suffix":""},{"dropping-particle":"","family":"Hölscher","given":"Jana","non-dropping-particle":"","parse-names":false,"suffix":""},{"dropping-particle":"","family":"Klötzke","given":"Matthias","non-dropping-particle":"","parse-names":false,"suffix":""},{"dropping-particle":"","family":"Kugler","given":"Ulrike","non-dropping-particle":"","parse-names":false,"suffix":""},{"dropping-particle":"","family":"Schimeczek","given":"Christoph","non-dropping-particle":"","parse-names":false,"suffix":""}],"container-title":"European Transport Research Review","id":"ITEM-1","issue":"3","issued":{"date-parts":[["2015"]]},"title":"How to promote electromobility for European car drivers? Obstacles to overcome for a broad market penetration","type":"article-journal","volume":"7"},"uris":["http://www.mendeley.com/documents/?uuid=c06371a2-73dc-47f0-91f9-6fbe4c5f6f10"]},{"id":"ITEM-2","itemData":{"DOI":"10.1016/j.tra.2011.09.008","ISBN":"0965-8564","ISSN":"09658564","PMID":"22215050","abstract":"Plug-in electric vehicles can potentially emit substantially lower CO2emissions than internal combustion engine vehicles, and so have the potential to reduce transport emissions without curtailing personal car use. Assessing the potential uptake of these new categories of vehicles requires an understanding of likely consumer responses. Previous in-depth explorations of appraisals and evaluations of electric vehicles have tended to focus on 'early adopters', who may not represent mainstream consumers. This paper reports a qualitative analysis of responses to electric cars, based on semi-structured interviews conducted with 40 UK non-commercial drivers (20 males, 20 females; age 24-70years) at the end of a seven-day period of using a battery electric car (20 participants) or a plug-in hybrid car (20 participants). Six core categories of response were identified: (1) cost minimisation; (2) vehicle confidence; (3) vehicle adaptation demands; (4) environmental beliefs; (5) impression management; and, underpinning all other categories, (6) the perception of electric cars generally as 'work in progress' products. Results highlight potential barriers to the uptake of current-generation (2010) plug-in electric cars by mainstream consumers. These include the prioritization of personal mobility needs over environmental benefits, concerns over the social desirability of electric vehicle use, and the expectation that rapid technological and infrastructural developments will make current models obsolete. Implications for the potential uptake of future electric vehicles are discussed. © 2011 Elsevier Ltd.","author":[{"dropping-particle":"","family":"Graham-Rowe","given":"Ella","non-dropping-particle":"","parse-names":false,"suffix":""},{"dropping-particle":"","family":"Gardner","given":"Benjamin","non-dropping-particle":"","parse-names":false,"suffix":""},{"dropping-particle":"","family":"Abraham","given":"Charles","non-dropping-particle":"","parse-names":false,"suffix":""},{"dropping-particle":"","family":"Skippon","given":"Stephen","non-dropping-particle":"","parse-names":false,"suffix":""},{"dropping-particle":"","family":"Dittmar","given":"Helga","non-dropping-particle":"","parse-names":false,"suffix":""},{"dropping-particle":"","family":"Hutchins","given":"Rebecca","non-dropping-particle":"","parse-names":false,"suffix":""},{"dropping-particle":"","family":"Stannard","given":"Jenny","non-dropping-particle":"","parse-names":false,"suffix":""}],"container-title":"Transportation Research Part A: Policy and Practice","id":"ITEM-2","issue":"1","issued":{"date-parts":[["2012"]]},"page":"140-153","publisher":"Elsevier Ltd","title":"Mainstream consumers driving plug-in battery-electric and plug-in hybrid electric cars: A qualitative analysis of responses and evaluations","type":"article-journal","volume":"46"},"uris":["http://www.mendeley.com/documents/?uuid=d99339b1-755d-4b38-a23c-56999fcadf98"]}],"mendeley":{"formattedCitation":"(Bühne et al., 2015; Graham-Rowe et al., 2012)","plainTextFormattedCitation":"(Bühne et al., 2015; Graham-Rowe et al., 2012)","previouslyFormattedCitation":"(Bühne et al., 2015; Graham-Rowe et al., 2012)"},"properties":{"noteIndex":0},"schema":"https://github.com/citation-style-language/schema/raw/master/csl-citation.json"}</w:instrText>
      </w:r>
      <w:r w:rsidR="00164D8E" w:rsidRPr="005A720C">
        <w:rPr>
          <w:rFonts w:ascii="Times New Roman" w:hAnsi="Times New Roman"/>
          <w:sz w:val="24"/>
          <w:szCs w:val="24"/>
          <w:lang w:val="en-US"/>
        </w:rPr>
        <w:fldChar w:fldCharType="separate"/>
      </w:r>
      <w:r w:rsidR="00164D8E" w:rsidRPr="005A720C">
        <w:rPr>
          <w:rFonts w:ascii="Times New Roman" w:hAnsi="Times New Roman"/>
          <w:noProof/>
          <w:sz w:val="24"/>
          <w:szCs w:val="24"/>
          <w:lang w:val="en-US"/>
        </w:rPr>
        <w:t>(Bühne et al., 2015; Graham-Rowe et al., 2012)</w:t>
      </w:r>
      <w:r w:rsidR="00164D8E" w:rsidRPr="005A720C">
        <w:rPr>
          <w:rFonts w:ascii="Times New Roman" w:hAnsi="Times New Roman"/>
          <w:sz w:val="24"/>
          <w:szCs w:val="24"/>
          <w:lang w:val="en-US"/>
        </w:rPr>
        <w:fldChar w:fldCharType="end"/>
      </w:r>
      <w:r w:rsidR="003D6C30">
        <w:rPr>
          <w:rFonts w:ascii="Times New Roman" w:hAnsi="Times New Roman"/>
          <w:sz w:val="24"/>
          <w:szCs w:val="24"/>
          <w:lang w:val="en-US"/>
        </w:rPr>
        <w:t xml:space="preserve"> and </w:t>
      </w:r>
      <w:r w:rsidR="00164D8E" w:rsidRPr="005A720C">
        <w:rPr>
          <w:rFonts w:ascii="Times New Roman" w:hAnsi="Times New Roman"/>
          <w:sz w:val="24"/>
          <w:szCs w:val="24"/>
          <w:lang w:val="en-US"/>
        </w:rPr>
        <w:t xml:space="preserve">not willing to pay a double price to have a car with zero emissions </w:t>
      </w:r>
      <w:r w:rsidR="00164D8E" w:rsidRPr="005A720C">
        <w:rPr>
          <w:rFonts w:ascii="Times New Roman" w:hAnsi="Times New Roman"/>
          <w:sz w:val="24"/>
          <w:szCs w:val="24"/>
          <w:lang w:val="en-US"/>
        </w:rPr>
        <w:fldChar w:fldCharType="begin" w:fldLock="1"/>
      </w:r>
      <w:r w:rsidR="00164D8E" w:rsidRPr="005A720C">
        <w:rPr>
          <w:rFonts w:ascii="Times New Roman" w:hAnsi="Times New Roman"/>
          <w:sz w:val="24"/>
          <w:szCs w:val="24"/>
          <w:lang w:val="en-US"/>
        </w:rPr>
        <w:instrText>ADDIN CSL_CITATION {"citationItems":[{"id":"ITEM-1","itemData":{"DOI":"10.1007/s12544-015-0178-0","ISSN":"18668887","abstract":"Introduction: Electric vehicles can be a successful mobility alternative, but several obstacles and challenges have to be overcome first. Especially the customers’ purchase decision determines whether an innovation like electromobility will be eventually successful. The objective of this paper covers the investigation of consumer’s attitude towards electric vehicles and their opinion on potential promotion measures and its impact on market penetration scenarios in different countries. Methods: The aforementioned issues were investigated via a European wide online consumer survey. It was designed to identify the awareness of potential consumers of electric cars as well as to discover their attitude towards this new technology. In addition to the picture of potential demand-related obstacles, the consumers were asked to evaluate the suitability of various promotion measures. Finally, the findings were included in an agent based vehicle market model which specifies consumer demand and market supply of electromobility scenarios. Results: The results show that the consumer attitude towards electromobility is rather positive and electric vehicles are generally perceived as environment-friendly and secure. But the high acquisition costs and the uncertainty about the operating costs deter consumers from purchasing an electric car. First results of the inclusion of potential promotion measures such as financial incentives in a scenario based market model show a significant increase of the electric vehicle uptake in Germany. Conclusions: Potential customers have high expectations regarding the comfort and range of an electric vehicle. One of the most important barriers and obstacles for a broad market uptake are the currently high purchase prices for this new technology. Therefore, it seems quite necessary to make electric vehicles from a customer’s standpoint more attractive. From the customer’s perspective a dense network of charging stations and financial measures such as tax and energy cost reductions are vital prerequisites in order to convince them to buy an electric vehicle. Finally, it has been proven within a scenario based market model for Germany that the use of different promotion measures by the national government can enhance the market share of electric vehicles substantially until 2030.","author":[{"dropping-particle":"","family":"Bühne","given":"Jan André","non-dropping-particle":"","parse-names":false,"suffix":""},{"dropping-particle":"","family":"Gruschwitz","given":"Dana","non-dropping-particle":"","parse-names":false,"suffix":""},{"dropping-particle":"","family":"Hölscher","given":"Jana","non-dropping-particle":"","parse-names":false,"suffix":""},{"dropping-particle":"","family":"Klötzke","given":"Matthias","non-dropping-particle":"","parse-names":false,"suffix":""},{"dropping-particle":"","family":"Kugler","given":"Ulrike","non-dropping-particle":"","parse-names":false,"suffix":""},{"dropping-particle":"","family":"Schimeczek","given":"Christoph","non-dropping-particle":"","parse-names":false,"suffix":""}],"container-title":"European Transport Research Review","id":"ITEM-1","issue":"3","issued":{"date-parts":[["2015"]]},"title":"How to promote electromobility for European car drivers? Obstacles to overcome for a broad market penetration","type":"article-journal","volume":"7"},"uris":["http://www.mendeley.com/documents/?uuid=c06371a2-73dc-47f0-91f9-6fbe4c5f6f10"]}],"mendeley":{"formattedCitation":"(Bühne et al., 2015)","plainTextFormattedCitation":"(Bühne et al., 2015)","previouslyFormattedCitation":"(Bühne et al., 2015)"},"properties":{"noteIndex":0},"schema":"https://github.com/citation-style-language/schema/raw/master/csl-citation.json"}</w:instrText>
      </w:r>
      <w:r w:rsidR="00164D8E" w:rsidRPr="005A720C">
        <w:rPr>
          <w:rFonts w:ascii="Times New Roman" w:hAnsi="Times New Roman"/>
          <w:sz w:val="24"/>
          <w:szCs w:val="24"/>
          <w:lang w:val="en-US"/>
        </w:rPr>
        <w:fldChar w:fldCharType="separate"/>
      </w:r>
      <w:r w:rsidR="00164D8E" w:rsidRPr="005A720C">
        <w:rPr>
          <w:rFonts w:ascii="Times New Roman" w:hAnsi="Times New Roman"/>
          <w:noProof/>
          <w:sz w:val="24"/>
          <w:szCs w:val="24"/>
          <w:lang w:val="en-US"/>
        </w:rPr>
        <w:t>(Bühne et al., 2015)</w:t>
      </w:r>
      <w:r w:rsidR="00164D8E" w:rsidRPr="005A720C">
        <w:rPr>
          <w:rFonts w:ascii="Times New Roman" w:hAnsi="Times New Roman"/>
          <w:sz w:val="24"/>
          <w:szCs w:val="24"/>
          <w:lang w:val="en-US"/>
        </w:rPr>
        <w:fldChar w:fldCharType="end"/>
      </w:r>
      <w:r w:rsidR="00164D8E" w:rsidRPr="005A720C">
        <w:rPr>
          <w:rFonts w:ascii="Times New Roman" w:hAnsi="Times New Roman"/>
          <w:sz w:val="24"/>
          <w:szCs w:val="24"/>
          <w:lang w:val="en-US"/>
        </w:rPr>
        <w:t xml:space="preserve">. </w:t>
      </w:r>
      <w:r w:rsidR="003D6C30">
        <w:rPr>
          <w:rFonts w:ascii="Times New Roman" w:hAnsi="Times New Roman"/>
          <w:sz w:val="24"/>
          <w:szCs w:val="24"/>
          <w:lang w:val="en-US"/>
        </w:rPr>
        <w:t>C</w:t>
      </w:r>
      <w:r w:rsidR="00164D8E" w:rsidRPr="005A720C">
        <w:rPr>
          <w:rFonts w:ascii="Times New Roman" w:hAnsi="Times New Roman"/>
          <w:sz w:val="24"/>
          <w:szCs w:val="24"/>
          <w:lang w:val="en-US"/>
        </w:rPr>
        <w:t xml:space="preserve">onsumers from the U.S. are more concerned about the enhancements in the fuel economy than environmental impacts </w:t>
      </w:r>
      <w:r w:rsidR="00164D8E" w:rsidRPr="005A720C">
        <w:rPr>
          <w:rFonts w:ascii="Times New Roman" w:hAnsi="Times New Roman"/>
          <w:sz w:val="24"/>
          <w:szCs w:val="24"/>
          <w:lang w:val="en-US"/>
        </w:rPr>
        <w:fldChar w:fldCharType="begin" w:fldLock="1"/>
      </w:r>
      <w:r w:rsidR="00164D8E" w:rsidRPr="005A720C">
        <w:rPr>
          <w:rFonts w:ascii="Times New Roman" w:hAnsi="Times New Roman"/>
          <w:sz w:val="24"/>
          <w:szCs w:val="24"/>
          <w:lang w:val="en-US"/>
        </w:rPr>
        <w:instrText>ADDIN CSL_CITATION {"citationItems":[{"id":"ITEM-1","itemData":{"DOI":"10.1016/j.trd.2012.09.007","ISBN":"1361-9209","ISSN":"13619209","abstract":"This paper examines consumer stated intent to purchase plug-in electric vehicles and assesses the factors that increase or decrease interest. We surveyed adult drivers in large US cities in early fall 2011, before vehicle manufacturers and dealers began marketing campaigns. The survey responses thus document early impressions of this transport technology. We find that, given current battery technology and public perceptions, overall stated intent to purchase or lease electric vehicles is low. Interest in plug-in hybrid technology is somewhat greater than interest in all-electric technology. Consumers who express early interest in adopting electric vehicles are typically highly educated, previous owners of conventional hybrids, environmentally sensitive, and concerned about dependence on foreign oil. Enhanced fuel economy, the primary tangible advantage of plug-in technology, is recognized as favorable by respondents but fails to exert a strong influence on purchasing intentions. Interest in plug-in electric vehicles is shaped primarily by consumers' perceptions of electric vehicle disadvantages. © 2012 Elsevier Ltd.","author":[{"dropping-particle":"","family":"Carley","given":"Sanya","non-dropping-particle":"","parse-names":false,"suffix":""},{"dropping-particle":"","family":"Krause","given":"Rachel M.","non-dropping-particle":"","parse-names":false,"suffix":""},{"dropping-particle":"","family":"Lane","given":"Bradley W.","non-dropping-particle":"","parse-names":false,"suffix":""},{"dropping-particle":"","family":"Graham","given":"John D.","non-dropping-particle":"","parse-names":false,"suffix":""}],"container-title":"Transportation Research Part D: Transport and Environment","id":"ITEM-1","issue":"1","issued":{"date-parts":[["2013"]]},"page":"39-45","publisher":"Elsevier Ltd","title":"Intent to purchase a plug-in electric vehicle: A survey of early impressions in large US cites","type":"article-journal","volume":"18"},"uris":["http://www.mendeley.com/documents/?uuid=1aa227f3-2c22-45bd-9cc7-dfd4a725fa1a"]}],"mendeley":{"formattedCitation":"(Carley et al., 2013)","plainTextFormattedCitation":"(Carley et al., 2013)","previouslyFormattedCitation":"(Carley et al., 2013)"},"properties":{"noteIndex":0},"schema":"https://github.com/citation-style-language/schema/raw/master/csl-citation.json"}</w:instrText>
      </w:r>
      <w:r w:rsidR="00164D8E" w:rsidRPr="005A720C">
        <w:rPr>
          <w:rFonts w:ascii="Times New Roman" w:hAnsi="Times New Roman"/>
          <w:sz w:val="24"/>
          <w:szCs w:val="24"/>
          <w:lang w:val="en-US"/>
        </w:rPr>
        <w:fldChar w:fldCharType="separate"/>
      </w:r>
      <w:r w:rsidR="00164D8E" w:rsidRPr="005A720C">
        <w:rPr>
          <w:rFonts w:ascii="Times New Roman" w:hAnsi="Times New Roman"/>
          <w:noProof/>
          <w:sz w:val="24"/>
          <w:szCs w:val="24"/>
          <w:lang w:val="en-US"/>
        </w:rPr>
        <w:t>(Carley et al., 2013)</w:t>
      </w:r>
      <w:r w:rsidR="00164D8E" w:rsidRPr="005A720C">
        <w:rPr>
          <w:rFonts w:ascii="Times New Roman" w:hAnsi="Times New Roman"/>
          <w:sz w:val="24"/>
          <w:szCs w:val="24"/>
          <w:lang w:val="en-US"/>
        </w:rPr>
        <w:fldChar w:fldCharType="end"/>
      </w:r>
      <w:r w:rsidR="003D6C30">
        <w:rPr>
          <w:rFonts w:ascii="Times New Roman" w:hAnsi="Times New Roman"/>
          <w:sz w:val="24"/>
          <w:szCs w:val="24"/>
          <w:lang w:val="en-US"/>
        </w:rPr>
        <w:t xml:space="preserve"> or, in contrast</w:t>
      </w:r>
      <w:r w:rsidR="00164D8E" w:rsidRPr="005A720C">
        <w:rPr>
          <w:rFonts w:ascii="Times New Roman" w:hAnsi="Times New Roman"/>
          <w:sz w:val="24"/>
          <w:szCs w:val="24"/>
          <w:lang w:val="en-US"/>
        </w:rPr>
        <w:t xml:space="preserve">, </w:t>
      </w:r>
      <w:r w:rsidR="003D6C30">
        <w:rPr>
          <w:rFonts w:ascii="Times New Roman" w:hAnsi="Times New Roman"/>
          <w:sz w:val="24"/>
          <w:szCs w:val="24"/>
          <w:lang w:val="en-US"/>
        </w:rPr>
        <w:t xml:space="preserve">about the </w:t>
      </w:r>
      <w:r w:rsidR="00295178">
        <w:rPr>
          <w:rFonts w:ascii="Times New Roman" w:hAnsi="Times New Roman"/>
          <w:sz w:val="24"/>
          <w:szCs w:val="24"/>
          <w:lang w:val="en-US"/>
        </w:rPr>
        <w:t xml:space="preserve">ability to recharge an EV </w:t>
      </w:r>
      <w:r w:rsidR="00164D8E" w:rsidRPr="005A720C">
        <w:rPr>
          <w:rFonts w:ascii="Times New Roman" w:hAnsi="Times New Roman"/>
          <w:sz w:val="24"/>
          <w:szCs w:val="24"/>
          <w:lang w:val="en-US"/>
        </w:rPr>
        <w:t xml:space="preserve">with green electricity </w:t>
      </w:r>
      <w:r w:rsidR="00164D8E" w:rsidRPr="005A720C">
        <w:rPr>
          <w:rFonts w:ascii="Times New Roman" w:hAnsi="Times New Roman"/>
          <w:sz w:val="24"/>
          <w:szCs w:val="24"/>
          <w:lang w:val="en-US"/>
        </w:rPr>
        <w:fldChar w:fldCharType="begin" w:fldLock="1"/>
      </w:r>
      <w:r w:rsidR="00164D8E" w:rsidRPr="005A720C">
        <w:rPr>
          <w:rFonts w:ascii="Times New Roman" w:hAnsi="Times New Roman"/>
          <w:sz w:val="24"/>
          <w:szCs w:val="24"/>
          <w:lang w:val="en-US"/>
        </w:rPr>
        <w:instrText>ADDIN CSL_CITATION {"citationItems":[{"id":"ITEM-1","itemData":{"DOI":"10.1088/1748-9326/8/1/014045","ISBN":"1355-4794 (Print)\\r1355-4794 (Linking)","ISSN":"17489326","PMID":"11239072","abstract":"The environmental benefits of plug-in electric vehicles (PEVs) increase\\nif the vehicles are powered by electricity from `green' sources such as\\nsolar, wind or small-scale hydroelectricity. Here, we explore the\\npotential to build a market that pairs consumer purchases of PEVs with\\npurchases of green electricity. We implement a web-based survey with\\nthree US samples defined by vehicle purchases: conventional new vehicle\\nbuyers (n = 1064), hybrid vehicle buyers (n = 364) and PEV buyers (n =\\n74). Respondents state their interest in a PEV as their next vehicle, in\\npurchasing green electricity in one of three ways, i.e., monthly\\nsubscription, two-year lease or solar panel purchase, and in combining\\nthe two products. Although we find that a link between PEVs and green\\nelectricity is not presently strong in the consciousness of most\\nconsumers, the combination is attractive to some consumers when\\npresented. Across all three respondent segments, pairing a PEV with a\\ngreen electricity program increased interest in PEVs-with a 23% demand\\nincrease among buyers of conventional vehicles. Overall, about one-third\\nof respondents presently value the combination of a PEV with green\\nelectricity; the proportion is much higher among previous HEV and PEV\\nbuyers. Respondents' reported motives for interest in both products and\\ntheir combination include financial savings (particularly among\\nconventional buyers), concerns about air pollution and the environment,\\nand interest in new technology (particularly among PEV buyers). The\\nresults provide guidance regarding policy and marketing strategies to\\nadvance PEVs and green electricity demand.","author":[{"dropping-particle":"","family":"Axsen","given":"Jonn","non-dropping-particle":"","parse-names":false,"suffix":""},{"dropping-particle":"","family":"Kurani","given":"Kenneth S.","non-dropping-particle":"","parse-names":false,"suffix":""}],"container-title":"Environmental Research Letters","id":"ITEM-1","issue":"1","issued":{"date-parts":[["2013"]]},"page":"11","title":"Connecting plug-in vehicles with green electricity through consumer demand","type":"article-journal","volume":"8"},"uris":["http://www.mendeley.com/documents/?uuid=9b3d09f3-e7aa-4c19-9dc9-5f70f2654636"]}],"mendeley":{"formattedCitation":"(Axsen &amp; Kurani, 2013)","plainTextFormattedCitation":"(Axsen &amp; Kurani, 2013)","previouslyFormattedCitation":"(Axsen &amp; Kurani, 2013)"},"properties":{"noteIndex":0},"schema":"https://github.com/citation-style-language/schema/raw/master/csl-citation.json"}</w:instrText>
      </w:r>
      <w:r w:rsidR="00164D8E" w:rsidRPr="005A720C">
        <w:rPr>
          <w:rFonts w:ascii="Times New Roman" w:hAnsi="Times New Roman"/>
          <w:sz w:val="24"/>
          <w:szCs w:val="24"/>
          <w:lang w:val="en-US"/>
        </w:rPr>
        <w:fldChar w:fldCharType="separate"/>
      </w:r>
      <w:r w:rsidR="00164D8E" w:rsidRPr="005A720C">
        <w:rPr>
          <w:rFonts w:ascii="Times New Roman" w:hAnsi="Times New Roman"/>
          <w:noProof/>
          <w:sz w:val="24"/>
          <w:szCs w:val="24"/>
          <w:lang w:val="en-US"/>
        </w:rPr>
        <w:t>(Axsen &amp; Kurani, 2013)</w:t>
      </w:r>
      <w:r w:rsidR="00164D8E" w:rsidRPr="005A720C">
        <w:rPr>
          <w:rFonts w:ascii="Times New Roman" w:hAnsi="Times New Roman"/>
          <w:sz w:val="24"/>
          <w:szCs w:val="24"/>
          <w:lang w:val="en-US"/>
        </w:rPr>
        <w:fldChar w:fldCharType="end"/>
      </w:r>
      <w:r w:rsidR="00164D8E" w:rsidRPr="005A720C">
        <w:rPr>
          <w:rFonts w:ascii="Times New Roman" w:hAnsi="Times New Roman"/>
          <w:sz w:val="24"/>
          <w:szCs w:val="24"/>
          <w:lang w:val="en-US"/>
        </w:rPr>
        <w:t xml:space="preserve">. </w:t>
      </w:r>
    </w:p>
    <w:p w:rsidR="00D67788" w:rsidRPr="00D67788" w:rsidRDefault="00295178" w:rsidP="00295178">
      <w:pPr>
        <w:spacing w:after="120" w:line="360" w:lineRule="auto"/>
        <w:jc w:val="both"/>
        <w:rPr>
          <w:rFonts w:ascii="Times New Roman" w:hAnsi="Times New Roman"/>
          <w:sz w:val="24"/>
          <w:szCs w:val="24"/>
          <w:lang w:val="en-US"/>
        </w:rPr>
      </w:pPr>
      <w:r w:rsidRPr="00D67788">
        <w:rPr>
          <w:rFonts w:ascii="Times New Roman" w:hAnsi="Times New Roman"/>
          <w:sz w:val="24"/>
          <w:szCs w:val="24"/>
          <w:lang w:val="en-US"/>
        </w:rPr>
        <w:t>O</w:t>
      </w:r>
      <w:r w:rsidR="00164D8E" w:rsidRPr="00D67788">
        <w:rPr>
          <w:rFonts w:ascii="Times New Roman" w:hAnsi="Times New Roman"/>
          <w:sz w:val="24"/>
          <w:szCs w:val="24"/>
          <w:lang w:val="en-US"/>
        </w:rPr>
        <w:t xml:space="preserve">ther perceived advantages resulted from the public financial incentives for </w:t>
      </w:r>
      <w:r w:rsidRPr="00D67788">
        <w:rPr>
          <w:rFonts w:ascii="Times New Roman" w:hAnsi="Times New Roman"/>
          <w:sz w:val="24"/>
          <w:szCs w:val="24"/>
          <w:lang w:val="en-US"/>
        </w:rPr>
        <w:t xml:space="preserve">EV </w:t>
      </w:r>
      <w:r w:rsidR="00164D8E" w:rsidRPr="00D67788">
        <w:rPr>
          <w:rFonts w:ascii="Times New Roman" w:hAnsi="Times New Roman"/>
          <w:sz w:val="24"/>
          <w:szCs w:val="24"/>
          <w:lang w:val="en-US"/>
        </w:rPr>
        <w:t>buyers (</w:t>
      </w:r>
      <w:proofErr w:type="spellStart"/>
      <w:r w:rsidR="00164D8E" w:rsidRPr="00D67788">
        <w:rPr>
          <w:rFonts w:ascii="Times New Roman" w:hAnsi="Times New Roman"/>
          <w:sz w:val="24"/>
          <w:szCs w:val="24"/>
          <w:lang w:val="en-US"/>
        </w:rPr>
        <w:t>Figenbaum</w:t>
      </w:r>
      <w:proofErr w:type="spellEnd"/>
      <w:r w:rsidR="00164D8E" w:rsidRPr="00D67788">
        <w:rPr>
          <w:rFonts w:ascii="Times New Roman" w:hAnsi="Times New Roman"/>
          <w:sz w:val="24"/>
          <w:szCs w:val="24"/>
          <w:lang w:val="en-US"/>
        </w:rPr>
        <w:t xml:space="preserve"> &amp; </w:t>
      </w:r>
      <w:proofErr w:type="spellStart"/>
      <w:r w:rsidR="00164D8E" w:rsidRPr="00D67788">
        <w:rPr>
          <w:rFonts w:ascii="Times New Roman" w:hAnsi="Times New Roman"/>
          <w:sz w:val="24"/>
          <w:szCs w:val="24"/>
          <w:lang w:val="en-US"/>
        </w:rPr>
        <w:t>Kolbenstvedt</w:t>
      </w:r>
      <w:proofErr w:type="spellEnd"/>
      <w:r w:rsidR="00164D8E" w:rsidRPr="00D67788">
        <w:rPr>
          <w:rFonts w:ascii="Times New Roman" w:hAnsi="Times New Roman"/>
          <w:sz w:val="24"/>
          <w:szCs w:val="24"/>
          <w:lang w:val="en-US"/>
        </w:rPr>
        <w:t>, 2013; Krupa et al., 2014; Lane and Potter, 2007; Zhang et al., 2011</w:t>
      </w:r>
      <w:r w:rsidR="00EC6F82" w:rsidRPr="00D67788">
        <w:rPr>
          <w:rFonts w:ascii="Times New Roman" w:hAnsi="Times New Roman"/>
          <w:sz w:val="24"/>
          <w:szCs w:val="24"/>
          <w:lang w:val="en-US"/>
        </w:rPr>
        <w:t xml:space="preserve">; </w:t>
      </w:r>
      <w:proofErr w:type="spellStart"/>
      <w:r w:rsidR="00EC6F82" w:rsidRPr="00D67788">
        <w:rPr>
          <w:rFonts w:ascii="Times New Roman" w:hAnsi="Times New Roman"/>
          <w:sz w:val="24"/>
          <w:szCs w:val="24"/>
          <w:lang w:val="en-US"/>
        </w:rPr>
        <w:t>Bühne</w:t>
      </w:r>
      <w:proofErr w:type="spellEnd"/>
      <w:r w:rsidR="00EC6F82" w:rsidRPr="00D67788">
        <w:rPr>
          <w:rFonts w:ascii="Times New Roman" w:hAnsi="Times New Roman"/>
          <w:sz w:val="24"/>
          <w:szCs w:val="24"/>
          <w:lang w:val="en-US"/>
        </w:rPr>
        <w:t xml:space="preserve"> et al., 2015</w:t>
      </w:r>
      <w:r w:rsidR="00164D8E" w:rsidRPr="00D67788">
        <w:rPr>
          <w:rFonts w:ascii="Times New Roman" w:hAnsi="Times New Roman"/>
          <w:sz w:val="24"/>
          <w:szCs w:val="24"/>
          <w:lang w:val="en-US"/>
        </w:rPr>
        <w:t>)</w:t>
      </w:r>
      <w:r w:rsidR="00867BF2">
        <w:rPr>
          <w:rFonts w:ascii="Times New Roman" w:hAnsi="Times New Roman"/>
          <w:sz w:val="24"/>
          <w:szCs w:val="24"/>
          <w:lang w:val="en-US"/>
        </w:rPr>
        <w:t xml:space="preserve"> that are seen to be particularly important at the early stage of technology diffusion </w:t>
      </w:r>
      <w:r w:rsidR="00893B40">
        <w:rPr>
          <w:rFonts w:ascii="Times New Roman" w:hAnsi="Times New Roman"/>
          <w:sz w:val="24"/>
          <w:szCs w:val="24"/>
          <w:lang w:val="en-US"/>
        </w:rPr>
        <w:fldChar w:fldCharType="begin" w:fldLock="1"/>
      </w:r>
      <w:r w:rsidR="00B25CE5">
        <w:rPr>
          <w:rFonts w:ascii="Times New Roman" w:hAnsi="Times New Roman"/>
          <w:sz w:val="24"/>
          <w:szCs w:val="24"/>
          <w:lang w:val="en-US"/>
        </w:rPr>
        <w:instrText>ADDIN CSL_CITATION {"citationItems":[{"id":"ITEM-1","itemData":{"DOI":"10.1016/j.reseneeco.2011.02.002","ISBN":"0928-7655","ISSN":"09287655","PMID":"19384445","abstract":"This article presents a stated preference study of electric vehicle choice using data from a national survey. We used a choice experiment wherein 3029 respondents were asked to choose between their preferred gasoline vehicle and two electric versions of that preferred vehicle. We estimated a latent class random utility model and used the results to estimate the willingness to pay for five electric vehicle attributes: driving range, charging time, fuel cost saving, pollution reduction, and performance. Driving range, fuel cost savings, and charging time led in importance to respondents. Individuals were willing to pay (wtp) from $35 to $75 for a mile of added driving range, with incremental wtp per mile decreasing at higher distances. They were willing to pay from $425 to $3250 per hour reduction in charging time (for a 50 mile charge). Respondents capitalized about 5 years of fuel saving into the purchase price of an electric vehicle. We simulated our model over a range of electric vehicle configurations and found that people with the highest values for electric vehicles were willing to pay a premium above their wtp for a gasoline vehicle that ranged from $6000 to $16,000 for electric vehicles with the most desirable attributes. At the same time, our results suggest that battery cost must drop significantly before electric vehicles will find a mass market without subsidy. © 2011 Elsevier B.V.","author":[{"dropping-particle":"","family":"Hidrue","given":"Michael K.","non-dropping-particle":"","parse-names":false,"suffix":""},{"dropping-particle":"","family":"Parsons","given":"George R.","non-dropping-particle":"","parse-names":false,"suffix":""},{"dropping-particle":"","family":"Kempton","given":"Willett","non-dropping-particle":"","parse-names":false,"suffix":""},{"dropping-particle":"","family":"Gardner","given":"Meryl P.","non-dropping-particle":"","parse-names":false,"suffix":""}],"container-title":"Resource and Energy Economics","id":"ITEM-1","issue":"3","issued":{"date-parts":[["2011"]]},"page":"686-705","publisher":"Elsevier B.V.","title":"Willingness to pay for electric vehicles and their attributes","type":"article-journal","volume":"33"},"uris":["http://www.mendeley.com/documents/?uuid=f00329e1-b3d8-4fbd-96cd-c33cc56457e0"]},{"id":"ITEM-2","itemData":{"DOI":"10.1016/j.enpol.2011.04.007","ISBN":"0301-4215","ISSN":"03014215","abstract":"A spatially explicit agent-based vehicle consumer choice model is developed to explore sensitivities and nonlinear interactions between various potential influences on plug-in hybrid vehicle (PHEV) market penetration. The model accounts for spatial and social effects (including threshold effects, homophily, and conformity) and media influences. Preliminary simulations demonstrate how such a model could be used to identify nonlinear interactions among potential leverage points, inform policies affecting PHEV market penetration, and help identify future data collection necessary to more accurately model the system. We examine sensitivity of the model to gasoline prices, to accuracy in estimation of fuel costs, to agent willingness to adopt the PHEV technology, to PHEV purchase price and rebates, to PHEV battery range, and to heuristic values related to gasoline usage. Our simulations indicate that PHEV market penetration could be enhanced significantly by providing consumers with ready estimates of expected lifetime fuel costs associated with different vehicles (e.g., on vehicle stickers), and that increases in gasoline prices could nonlinearly magnify the impact on fleet efficiency. We also infer that a potential synergy from a gasoline tax with proceeds is used to fund research into longer-range lower-cost PHEV batteries. © 2011 Elsevier Ltd.","author":[{"dropping-particle":"","family":"Eppstein","given":"Margaret J.","non-dropping-particle":"","parse-names":false,"suffix":""},{"dropping-particle":"","family":"Grover","given":"David K.","non-dropping-particle":"","parse-names":false,"suffix":""},{"dropping-particle":"","family":"Marshall","given":"Jeffrey S.","non-dropping-particle":"","parse-names":false,"suffix":""},{"dropping-particle":"","family":"Rizzo","given":"Donna M.","non-dropping-particle":"","parse-names":false,"suffix":""}],"container-title":"Energy Policy","id":"ITEM-2","issued":{"date-parts":[["2011"]]},"page":"3789-3802","title":"An agent-based model to study market penetration of plug-in hybrid electric vehicles","type":"article-journal","volume":"39"},"uris":["http://www.mendeley.com/documents/?uuid=c6191991-80d5-3a3e-8034-887f1bea8979"]},{"id":"ITEM-3","itemData":{"DOI":"10.1016/S0002-8223(00)00195-4","ISBN":"9781634857024","ISSN":"00028223","abstract":"The Global EV Outlook represents the collective efforts of two years of primary data gathering and analysis from the Electric Vehicles Initiative (EVI) and IEA. Key takeaways and insights include landscape analysis of electric vehicle (EV) stock/sales and charging station deployment. Existing policy initiatives are delineated and future opportunities highlighted in an “Opportunity Matrix: Pathways to 2020”. Together EVI countries accounted for more than 90% of world EV stock at the end of 2012. Strong government support in EVI countries on both the supply and demand sides are contributing to rising market penetration. 12 out of 15 EVI countries offer financial support for vehicle purchases, and most employ a mix of financial and non-financial incentives (such as access to restricted highway lanes) to help drive adoption. The Global EV Outlook is a unique and data-rich overview of the state of electric vehicles today, and offers an understanding of the electric vehicle landscape to 2020.","author":[{"dropping-particle":"","family":"IEA","given":"","non-dropping-particle":"","parse-names":false,"suffix":""}],"container-title":"IEA publications","id":"ITEM-3","issued":{"date-parts":[["2013"]]},"number-of-pages":"1-41","publisher-place":"Paris","title":"Global EV Outlook: Understanding the Electric Vehicle Landscape to 2020","type":"report"},"uris":["http://www.mendeley.com/documents/?uuid=c5ba977e-31d7-3ecf-a6f1-03a4ded8f9a3"]}],"mendeley":{"formattedCitation":"(Eppstein, Grover, Marshall, &amp; Rizzo, 2011; Hidrue et al., 2011; IEA, 2013)","plainTextFormattedCitation":"(Eppstein, Grover, Marshall, &amp; Rizzo, 2011; Hidrue et al., 2011; IEA, 2013)","previouslyFormattedCitation":"(Eppstein, Grover, Marshall, &amp; Rizzo, 2011; Hidrue et al., 2011; IEA, 2013)"},"properties":{"noteIndex":0},"schema":"https://github.com/citation-style-language/schema/raw/master/csl-citation.json"}</w:instrText>
      </w:r>
      <w:r w:rsidR="00893B40">
        <w:rPr>
          <w:rFonts w:ascii="Times New Roman" w:hAnsi="Times New Roman"/>
          <w:sz w:val="24"/>
          <w:szCs w:val="24"/>
          <w:lang w:val="en-US"/>
        </w:rPr>
        <w:fldChar w:fldCharType="separate"/>
      </w:r>
      <w:r w:rsidR="00893B40" w:rsidRPr="00893B40">
        <w:rPr>
          <w:rFonts w:ascii="Times New Roman" w:hAnsi="Times New Roman"/>
          <w:noProof/>
          <w:sz w:val="24"/>
          <w:szCs w:val="24"/>
          <w:lang w:val="en-US"/>
        </w:rPr>
        <w:t>(Eppstein, Grover, Marshall, &amp; Rizzo, 2011; Hidrue et al., 2011; IEA, 2013)</w:t>
      </w:r>
      <w:r w:rsidR="00893B40">
        <w:rPr>
          <w:rFonts w:ascii="Times New Roman" w:hAnsi="Times New Roman"/>
          <w:sz w:val="24"/>
          <w:szCs w:val="24"/>
          <w:lang w:val="en-US"/>
        </w:rPr>
        <w:fldChar w:fldCharType="end"/>
      </w:r>
      <w:r w:rsidR="00893B40">
        <w:rPr>
          <w:rFonts w:ascii="Times New Roman" w:hAnsi="Times New Roman"/>
          <w:sz w:val="24"/>
          <w:szCs w:val="24"/>
          <w:lang w:val="en-US"/>
        </w:rPr>
        <w:t xml:space="preserve">. </w:t>
      </w:r>
      <w:r w:rsidR="00164D8E" w:rsidRPr="00D67788">
        <w:rPr>
          <w:rFonts w:ascii="Times New Roman" w:hAnsi="Times New Roman"/>
          <w:sz w:val="24"/>
          <w:szCs w:val="24"/>
          <w:lang w:val="en-US"/>
        </w:rPr>
        <w:t xml:space="preserve">The research studied consumers’ perception of certain policy measures to promote EVs. </w:t>
      </w:r>
      <w:r w:rsidR="00592C0D" w:rsidRPr="00D67788">
        <w:rPr>
          <w:rFonts w:ascii="Times New Roman" w:hAnsi="Times New Roman"/>
          <w:sz w:val="24"/>
          <w:szCs w:val="24"/>
          <w:lang w:val="en-US"/>
        </w:rPr>
        <w:t>Consumer</w:t>
      </w:r>
      <w:r w:rsidR="00737CE5" w:rsidRPr="00D67788">
        <w:rPr>
          <w:rFonts w:ascii="Times New Roman" w:hAnsi="Times New Roman"/>
          <w:sz w:val="24"/>
          <w:szCs w:val="24"/>
          <w:lang w:val="en-US"/>
        </w:rPr>
        <w:t>s</w:t>
      </w:r>
      <w:r w:rsidR="00592C0D" w:rsidRPr="00D67788">
        <w:rPr>
          <w:rFonts w:ascii="Times New Roman" w:hAnsi="Times New Roman"/>
          <w:sz w:val="24"/>
          <w:szCs w:val="24"/>
          <w:lang w:val="en-US"/>
        </w:rPr>
        <w:t xml:space="preserve"> showed high valuation of financial incentives such as </w:t>
      </w:r>
      <w:r w:rsidR="00164D8E" w:rsidRPr="00D67788">
        <w:rPr>
          <w:rFonts w:ascii="Times New Roman" w:hAnsi="Times New Roman"/>
          <w:sz w:val="24"/>
          <w:szCs w:val="24"/>
          <w:lang w:val="en-US"/>
        </w:rPr>
        <w:t xml:space="preserve">tax rebates or government’s cash refunds on </w:t>
      </w:r>
      <w:r w:rsidR="00A11E03" w:rsidRPr="00D67788">
        <w:rPr>
          <w:rFonts w:ascii="Times New Roman" w:hAnsi="Times New Roman"/>
          <w:sz w:val="24"/>
          <w:szCs w:val="24"/>
          <w:lang w:val="en-US"/>
        </w:rPr>
        <w:t xml:space="preserve">EV </w:t>
      </w:r>
      <w:r w:rsidR="00164D8E" w:rsidRPr="00D67788">
        <w:rPr>
          <w:rFonts w:ascii="Times New Roman" w:hAnsi="Times New Roman"/>
          <w:sz w:val="24"/>
          <w:szCs w:val="24"/>
          <w:lang w:val="en-US"/>
        </w:rPr>
        <w:t xml:space="preserve">purchase in </w:t>
      </w:r>
      <w:r w:rsidR="00A11E03" w:rsidRPr="00D67788">
        <w:rPr>
          <w:rFonts w:ascii="Times New Roman" w:hAnsi="Times New Roman"/>
          <w:sz w:val="24"/>
          <w:szCs w:val="24"/>
          <w:lang w:val="en-US"/>
        </w:rPr>
        <w:t xml:space="preserve">the </w:t>
      </w:r>
      <w:r w:rsidR="00164D8E" w:rsidRPr="00D67788">
        <w:rPr>
          <w:rFonts w:ascii="Times New Roman" w:hAnsi="Times New Roman"/>
          <w:sz w:val="24"/>
          <w:szCs w:val="24"/>
          <w:lang w:val="en-US"/>
        </w:rPr>
        <w:t>USA</w:t>
      </w:r>
      <w:r w:rsidR="00592C0D" w:rsidRPr="00D67788">
        <w:rPr>
          <w:rFonts w:ascii="Times New Roman" w:hAnsi="Times New Roman"/>
          <w:sz w:val="24"/>
          <w:szCs w:val="24"/>
          <w:lang w:val="en-US"/>
        </w:rPr>
        <w:t xml:space="preserve">, </w:t>
      </w:r>
      <w:r w:rsidR="00164D8E" w:rsidRPr="00D67788">
        <w:rPr>
          <w:rFonts w:ascii="Times New Roman" w:hAnsi="Times New Roman"/>
          <w:sz w:val="24"/>
          <w:szCs w:val="24"/>
          <w:lang w:val="en-US"/>
        </w:rPr>
        <w:t>UK</w:t>
      </w:r>
      <w:r w:rsidR="00592C0D" w:rsidRPr="00D67788">
        <w:rPr>
          <w:rFonts w:ascii="Times New Roman" w:hAnsi="Times New Roman"/>
          <w:sz w:val="24"/>
          <w:szCs w:val="24"/>
          <w:lang w:val="en-US"/>
        </w:rPr>
        <w:t xml:space="preserve"> and EU</w:t>
      </w:r>
      <w:r w:rsidR="00164D8E" w:rsidRPr="00D67788">
        <w:rPr>
          <w:rFonts w:ascii="Times New Roman" w:hAnsi="Times New Roman"/>
          <w:sz w:val="24"/>
          <w:szCs w:val="24"/>
          <w:lang w:val="en-US"/>
        </w:rPr>
        <w:t xml:space="preserve"> (</w:t>
      </w:r>
      <w:r w:rsidR="00164D8E" w:rsidRPr="00CB1B80">
        <w:rPr>
          <w:rFonts w:ascii="Times New Roman" w:hAnsi="Times New Roman"/>
          <w:color w:val="FF0000"/>
          <w:sz w:val="24"/>
          <w:szCs w:val="24"/>
          <w:lang w:val="en-US"/>
        </w:rPr>
        <w:t xml:space="preserve">Ozaki and </w:t>
      </w:r>
      <w:proofErr w:type="spellStart"/>
      <w:r w:rsidR="00164D8E" w:rsidRPr="00CB1B80">
        <w:rPr>
          <w:rFonts w:ascii="Times New Roman" w:hAnsi="Times New Roman"/>
          <w:color w:val="FF0000"/>
          <w:sz w:val="24"/>
          <w:szCs w:val="24"/>
          <w:lang w:val="en-US"/>
        </w:rPr>
        <w:lastRenderedPageBreak/>
        <w:t>Sevastyanova</w:t>
      </w:r>
      <w:proofErr w:type="spellEnd"/>
      <w:r w:rsidR="00164D8E" w:rsidRPr="00CB1B80">
        <w:rPr>
          <w:rFonts w:ascii="Times New Roman" w:hAnsi="Times New Roman"/>
          <w:color w:val="FF0000"/>
          <w:sz w:val="24"/>
          <w:szCs w:val="24"/>
          <w:lang w:val="en-US"/>
        </w:rPr>
        <w:t xml:space="preserve">, 2011; </w:t>
      </w:r>
      <w:r w:rsidR="00164D8E" w:rsidRPr="00D67788">
        <w:rPr>
          <w:rFonts w:ascii="Times New Roman" w:hAnsi="Times New Roman"/>
          <w:sz w:val="24"/>
          <w:szCs w:val="24"/>
          <w:lang w:val="en-US"/>
        </w:rPr>
        <w:t>Krupa et al., 2014</w:t>
      </w:r>
      <w:r w:rsidR="00592C0D" w:rsidRPr="00D67788">
        <w:rPr>
          <w:rFonts w:ascii="Times New Roman" w:hAnsi="Times New Roman"/>
          <w:sz w:val="24"/>
          <w:szCs w:val="24"/>
          <w:lang w:val="en-US"/>
        </w:rPr>
        <w:t xml:space="preserve">; </w:t>
      </w:r>
      <w:proofErr w:type="spellStart"/>
      <w:r w:rsidR="00592C0D" w:rsidRPr="00D67788">
        <w:rPr>
          <w:rFonts w:ascii="Times New Roman" w:hAnsi="Times New Roman"/>
          <w:sz w:val="24"/>
          <w:szCs w:val="24"/>
          <w:lang w:val="en-US"/>
        </w:rPr>
        <w:t>Bühne</w:t>
      </w:r>
      <w:proofErr w:type="spellEnd"/>
      <w:r w:rsidR="00592C0D" w:rsidRPr="00D67788">
        <w:rPr>
          <w:rFonts w:ascii="Times New Roman" w:hAnsi="Times New Roman"/>
          <w:sz w:val="24"/>
          <w:szCs w:val="24"/>
          <w:lang w:val="en-US"/>
        </w:rPr>
        <w:t xml:space="preserve"> et al., 2015</w:t>
      </w:r>
      <w:r w:rsidR="00164D8E" w:rsidRPr="00D67788">
        <w:rPr>
          <w:rFonts w:ascii="Times New Roman" w:hAnsi="Times New Roman"/>
          <w:sz w:val="24"/>
          <w:szCs w:val="24"/>
          <w:lang w:val="en-US"/>
        </w:rPr>
        <w:t>)</w:t>
      </w:r>
      <w:r w:rsidR="00592C0D" w:rsidRPr="00D67788">
        <w:rPr>
          <w:rFonts w:ascii="Times New Roman" w:hAnsi="Times New Roman"/>
          <w:sz w:val="24"/>
          <w:szCs w:val="24"/>
          <w:lang w:val="en-US"/>
        </w:rPr>
        <w:t xml:space="preserve"> or </w:t>
      </w:r>
      <w:r w:rsidR="00D97C87">
        <w:rPr>
          <w:rFonts w:ascii="Times New Roman" w:hAnsi="Times New Roman"/>
          <w:sz w:val="24"/>
          <w:szCs w:val="24"/>
          <w:lang w:val="en-US"/>
        </w:rPr>
        <w:t>value added tax (</w:t>
      </w:r>
      <w:r w:rsidR="00164D8E" w:rsidRPr="00D67788">
        <w:rPr>
          <w:rFonts w:ascii="Times New Roman" w:hAnsi="Times New Roman"/>
          <w:sz w:val="24"/>
          <w:szCs w:val="24"/>
          <w:lang w:val="en-US"/>
        </w:rPr>
        <w:t>VAT</w:t>
      </w:r>
      <w:r w:rsidR="00D97C87">
        <w:rPr>
          <w:rFonts w:ascii="Times New Roman" w:hAnsi="Times New Roman"/>
          <w:sz w:val="24"/>
          <w:szCs w:val="24"/>
          <w:lang w:val="en-US"/>
        </w:rPr>
        <w:t>)</w:t>
      </w:r>
      <w:r w:rsidR="00164D8E" w:rsidRPr="00D67788">
        <w:rPr>
          <w:rFonts w:ascii="Times New Roman" w:hAnsi="Times New Roman"/>
          <w:sz w:val="24"/>
          <w:szCs w:val="24"/>
          <w:lang w:val="en-US"/>
        </w:rPr>
        <w:t xml:space="preserve"> and purchase tax exemption</w:t>
      </w:r>
      <w:r w:rsidR="00737CE5" w:rsidRPr="00D67788">
        <w:rPr>
          <w:rFonts w:ascii="Times New Roman" w:hAnsi="Times New Roman"/>
          <w:sz w:val="24"/>
          <w:szCs w:val="24"/>
          <w:lang w:val="en-US"/>
        </w:rPr>
        <w:t>s</w:t>
      </w:r>
      <w:r w:rsidR="00592C0D" w:rsidRPr="00D67788">
        <w:rPr>
          <w:rFonts w:ascii="Times New Roman" w:hAnsi="Times New Roman"/>
          <w:sz w:val="24"/>
          <w:szCs w:val="24"/>
          <w:lang w:val="en-US"/>
        </w:rPr>
        <w:t xml:space="preserve"> in Norway</w:t>
      </w:r>
      <w:r w:rsidR="00164D8E" w:rsidRPr="00D67788">
        <w:rPr>
          <w:rFonts w:ascii="Times New Roman" w:hAnsi="Times New Roman"/>
          <w:sz w:val="24"/>
          <w:szCs w:val="24"/>
          <w:lang w:val="en-US"/>
        </w:rPr>
        <w:t>. Th</w:t>
      </w:r>
      <w:r w:rsidR="00737CE5" w:rsidRPr="00D67788">
        <w:rPr>
          <w:rFonts w:ascii="Times New Roman" w:hAnsi="Times New Roman"/>
          <w:sz w:val="24"/>
          <w:szCs w:val="24"/>
          <w:lang w:val="en-US"/>
        </w:rPr>
        <w:t>ese findings confirm</w:t>
      </w:r>
      <w:r w:rsidR="00164D8E" w:rsidRPr="00D67788">
        <w:rPr>
          <w:rFonts w:ascii="Times New Roman" w:hAnsi="Times New Roman"/>
          <w:sz w:val="24"/>
          <w:szCs w:val="24"/>
          <w:lang w:val="en-US"/>
        </w:rPr>
        <w:t xml:space="preserve"> that up-front price reduction is the most powerful incentive in promoting EV adoption </w:t>
      </w:r>
      <w:r w:rsidR="00164D8E" w:rsidRPr="00D67788">
        <w:rPr>
          <w:rFonts w:ascii="Times New Roman" w:hAnsi="Times New Roman"/>
          <w:sz w:val="24"/>
          <w:szCs w:val="24"/>
          <w:lang w:val="en-US"/>
        </w:rPr>
        <w:fldChar w:fldCharType="begin" w:fldLock="1"/>
      </w:r>
      <w:r w:rsidR="00164D8E" w:rsidRPr="00D67788">
        <w:rPr>
          <w:rFonts w:ascii="Times New Roman" w:hAnsi="Times New Roman"/>
          <w:sz w:val="24"/>
          <w:szCs w:val="24"/>
          <w:lang w:val="en-US"/>
        </w:rPr>
        <w:instrText>ADDIN CSL_CITATION {"citationItems":[{"id":"ITEM-1","itemData":{"DOI":"10.1016/j.trd.2015.12.002","ISBN":"13619209","ISSN":"13619209","abstract":"Norway has become a global forerunner in the field of electromobility and the BEV market share is far higher than in any other country. One likely reason for this is strong incentives for promoting purchase and ownership of BEVs. The purpose of this study is to describe the role of incentives for promoting BEVs, and to determine what incentives are critical for deciding to buy a BEV and what groups of buyers respond to different types of incentives. The questions are answered with data from a survey among nearly 3400 BEV owners in Norway.Exemptions from purchase tax and VAT are critical incentives for more than 80% of the respondents. This is very much in line with previous research, which suggests that up-front price reduction is the most powerful incentive in promoting EV adoption. To a substantial number of BEV owners, however, exemption from road tolling or bus lane access is the only decisive factor.Analyses show that there are clear delineations between incentive groups, both in terms of age, gender, and education. Income is a less prominent predictor, which probably results from the competitive price of BEVs in the Norwegian market. Perhaps most interesting is the assumed relation between incentives and character of transport systems the respondents engage in.","author":[{"dropping-particle":"","family":"Bjerkan","given":"Kristin Ystmark","non-dropping-particle":"","parse-names":false,"suffix":""},{"dropping-particle":"","family":"Nørbech","given":"Tom E.","non-dropping-particle":"","parse-names":false,"suffix":""},{"dropping-particle":"","family":"Nordtømme","given":"Marianne Elvsaas","non-dropping-particle":"","parse-names":false,"suffix":""}],"container-title":"Transportation Research Part D: Transport and Environment","id":"ITEM-1","issued":{"date-parts":[["2016"]]},"page":"169-180","publisher":"Elsevier Ltd","title":"Incentives for promoting Battery Electric Vehicle (BEV) adoption in Norway","type":"article-journal","volume":"43"},"uris":["http://www.mendeley.com/documents/?uuid=76bf32d9-12a3-4d9e-9aa0-1b8ff0aca370"]}],"mendeley":{"formattedCitation":"(Bjerkan, Nørbech, &amp; Nordtømme, 2016)","manualFormatting":"(Bjerkan, Nørbech, &amp; Nordtømme, 2016; Diamond, 2009; Haugneland &amp; Hauge, 2015)","plainTextFormattedCitation":"(Bjerkan, Nørbech, &amp; Nordtømme, 2016)","previouslyFormattedCitation":"(Bjerkan, Nørbech, &amp; Nordtømme, 2016)"},"properties":{"noteIndex":0},"schema":"https://github.com/citation-style-language/schema/raw/master/csl-citation.json"}</w:instrText>
      </w:r>
      <w:r w:rsidR="00164D8E" w:rsidRPr="00D67788">
        <w:rPr>
          <w:rFonts w:ascii="Times New Roman" w:hAnsi="Times New Roman"/>
          <w:sz w:val="24"/>
          <w:szCs w:val="24"/>
          <w:lang w:val="en-US"/>
        </w:rPr>
        <w:fldChar w:fldCharType="separate"/>
      </w:r>
      <w:r w:rsidR="00164D8E" w:rsidRPr="00D67788">
        <w:rPr>
          <w:rFonts w:ascii="Times New Roman" w:hAnsi="Times New Roman"/>
          <w:noProof/>
          <w:sz w:val="24"/>
          <w:szCs w:val="24"/>
          <w:lang w:val="en-US"/>
        </w:rPr>
        <w:t>(Bjerkan, Nørbech, &amp; Nordtømme, 2016; Diamond, 2009; Haugneland &amp; Hauge, 2015)</w:t>
      </w:r>
      <w:r w:rsidR="00164D8E" w:rsidRPr="00D67788">
        <w:rPr>
          <w:rFonts w:ascii="Times New Roman" w:hAnsi="Times New Roman"/>
          <w:sz w:val="24"/>
          <w:szCs w:val="24"/>
          <w:lang w:val="en-US"/>
        </w:rPr>
        <w:fldChar w:fldCharType="end"/>
      </w:r>
      <w:r w:rsidR="00164D8E" w:rsidRPr="00D67788">
        <w:rPr>
          <w:rFonts w:ascii="Times New Roman" w:hAnsi="Times New Roman"/>
          <w:sz w:val="24"/>
          <w:szCs w:val="24"/>
          <w:lang w:val="en-US"/>
        </w:rPr>
        <w:t xml:space="preserve">. To a substantial number of </w:t>
      </w:r>
      <w:r w:rsidR="00737CE5" w:rsidRPr="00D67788">
        <w:rPr>
          <w:rFonts w:ascii="Times New Roman" w:hAnsi="Times New Roman"/>
          <w:sz w:val="24"/>
          <w:szCs w:val="24"/>
          <w:lang w:val="en-US"/>
        </w:rPr>
        <w:t xml:space="preserve">Norwegian </w:t>
      </w:r>
      <w:r w:rsidR="00164D8E" w:rsidRPr="00D67788">
        <w:rPr>
          <w:rFonts w:ascii="Times New Roman" w:hAnsi="Times New Roman"/>
          <w:sz w:val="24"/>
          <w:szCs w:val="24"/>
          <w:lang w:val="en-US"/>
        </w:rPr>
        <w:t>BEV owners</w:t>
      </w:r>
      <w:r w:rsidR="00737CE5" w:rsidRPr="00D67788">
        <w:rPr>
          <w:rFonts w:ascii="Times New Roman" w:hAnsi="Times New Roman"/>
          <w:sz w:val="24"/>
          <w:szCs w:val="24"/>
          <w:lang w:val="en-US"/>
        </w:rPr>
        <w:t xml:space="preserve"> </w:t>
      </w:r>
      <w:r w:rsidR="00164D8E" w:rsidRPr="00D67788">
        <w:rPr>
          <w:rFonts w:ascii="Times New Roman" w:hAnsi="Times New Roman"/>
          <w:sz w:val="24"/>
          <w:szCs w:val="24"/>
          <w:lang w:val="en-US"/>
        </w:rPr>
        <w:t xml:space="preserve">, however, exemption from road tolling or bus lane access is the only decisive factor </w:t>
      </w:r>
      <w:r w:rsidR="00164D8E" w:rsidRPr="00D67788">
        <w:rPr>
          <w:rFonts w:ascii="Times New Roman" w:hAnsi="Times New Roman"/>
          <w:sz w:val="24"/>
          <w:szCs w:val="24"/>
          <w:lang w:val="en-US"/>
        </w:rPr>
        <w:fldChar w:fldCharType="begin" w:fldLock="1"/>
      </w:r>
      <w:r w:rsidR="00A11E03" w:rsidRPr="00D67788">
        <w:rPr>
          <w:rFonts w:ascii="Times New Roman" w:hAnsi="Times New Roman"/>
          <w:sz w:val="24"/>
          <w:szCs w:val="24"/>
          <w:lang w:val="en-US"/>
        </w:rPr>
        <w:instrText>ADDIN CSL_CITATION {"citationItems":[{"id":"ITEM-1","itemData":{"DOI":"10.1016/j.trd.2015.12.002","ISBN":"13619209","ISSN":"13619209","abstract":"Norway has become a global forerunner in the field of electromobility and the BEV market share is far higher than in any other country. One likely reason for this is strong incentives for promoting purchase and ownership of BEVs. The purpose of this study is to describe the role of incentives for promoting BEVs, and to determine what incentives are critical for deciding to buy a BEV and what groups of buyers respond to different types of incentives. The questions are answered with data from a survey among nearly 3400 BEV owners in Norway.Exemptions from purchase tax and VAT are critical incentives for more than 80% of the respondents. This is very much in line with previous research, which suggests that up-front price reduction is the most powerful incentive in promoting EV adoption. To a substantial number of BEV owners, however, exemption from road tolling or bus lane access is the only decisive factor.Analyses show that there are clear delineations between incentive groups, both in terms of age, gender, and education. Income is a less prominent predictor, which probably results from the competitive price of BEVs in the Norwegian market. Perhaps most interesting is the assumed relation between incentives and character of transport systems the respondents engage in.","author":[{"dropping-particle":"","family":"Bjerkan","given":"Kristin Ystmark","non-dropping-particle":"","parse-names":false,"suffix":""},{"dropping-particle":"","family":"Nørbech","given":"Tom E.","non-dropping-particle":"","parse-names":false,"suffix":""},{"dropping-particle":"","family":"Nordtømme","given":"Marianne Elvsaas","non-dropping-particle":"","parse-names":false,"suffix":""}],"container-title":"Transportation Research Part D: Transport and Environment","id":"ITEM-1","issued":{"date-parts":[["2016"]]},"page":"169-180","publisher":"Elsevier Ltd","title":"Incentives for promoting Battery Electric Vehicle (BEV) adoption in Norway","type":"article-journal","volume":"43"},"uris":["http://www.mendeley.com/documents/?uuid=76bf32d9-12a3-4d9e-9aa0-1b8ff0aca370"]}],"mendeley":{"formattedCitation":"(Bjerkan et al., 2016)","manualFormatting":"(Langbroek, Franklin, &amp; Susilo, 2016; Bjerkan et al., 2016; Haugneland &amp; Hauge, 2015)","plainTextFormattedCitation":"(Bjerkan et al., 2016)","previouslyFormattedCitation":"(Bjerkan et al., 2016)"},"properties":{"noteIndex":0},"schema":"https://github.com/citation-style-language/schema/raw/master/csl-citation.json"}</w:instrText>
      </w:r>
      <w:r w:rsidR="00164D8E" w:rsidRPr="00D67788">
        <w:rPr>
          <w:rFonts w:ascii="Times New Roman" w:hAnsi="Times New Roman"/>
          <w:sz w:val="24"/>
          <w:szCs w:val="24"/>
          <w:lang w:val="en-US"/>
        </w:rPr>
        <w:fldChar w:fldCharType="separate"/>
      </w:r>
      <w:r w:rsidR="00164D8E" w:rsidRPr="00D67788">
        <w:rPr>
          <w:rFonts w:ascii="Times New Roman" w:hAnsi="Times New Roman"/>
          <w:noProof/>
          <w:sz w:val="24"/>
          <w:szCs w:val="24"/>
          <w:lang w:val="en-US"/>
        </w:rPr>
        <w:t>(</w:t>
      </w:r>
      <w:r w:rsidR="00A11E03" w:rsidRPr="00CB1B80">
        <w:rPr>
          <w:rFonts w:ascii="Times New Roman" w:hAnsi="Times New Roman"/>
          <w:noProof/>
          <w:color w:val="FF0000"/>
          <w:sz w:val="24"/>
          <w:szCs w:val="24"/>
          <w:lang w:val="en-US"/>
        </w:rPr>
        <w:t>Langbroek, Franklin, &amp; Susilo, 2016</w:t>
      </w:r>
      <w:r w:rsidR="00A11E03" w:rsidRPr="00D67788">
        <w:rPr>
          <w:rFonts w:ascii="Times New Roman" w:hAnsi="Times New Roman"/>
          <w:noProof/>
          <w:sz w:val="24"/>
          <w:szCs w:val="24"/>
          <w:lang w:val="en-US"/>
        </w:rPr>
        <w:t xml:space="preserve">; </w:t>
      </w:r>
      <w:r w:rsidR="00164D8E" w:rsidRPr="00D67788">
        <w:rPr>
          <w:rFonts w:ascii="Times New Roman" w:hAnsi="Times New Roman"/>
          <w:noProof/>
          <w:sz w:val="24"/>
          <w:szCs w:val="24"/>
          <w:lang w:val="en-US"/>
        </w:rPr>
        <w:t>Bjerkan et al., 2016; Haugneland &amp; Hauge, 2015)</w:t>
      </w:r>
      <w:r w:rsidR="00164D8E" w:rsidRPr="00D67788">
        <w:rPr>
          <w:rFonts w:ascii="Times New Roman" w:hAnsi="Times New Roman"/>
          <w:sz w:val="24"/>
          <w:szCs w:val="24"/>
          <w:lang w:val="en-US"/>
        </w:rPr>
        <w:fldChar w:fldCharType="end"/>
      </w:r>
      <w:r w:rsidR="00164D8E" w:rsidRPr="00D67788">
        <w:rPr>
          <w:rFonts w:ascii="Times New Roman" w:hAnsi="Times New Roman"/>
          <w:sz w:val="24"/>
          <w:szCs w:val="24"/>
          <w:lang w:val="en-US"/>
        </w:rPr>
        <w:t xml:space="preserve">. The comprehensive global study by </w:t>
      </w:r>
      <w:r w:rsidR="00164D8E" w:rsidRPr="00D67788">
        <w:rPr>
          <w:rFonts w:ascii="Times New Roman" w:hAnsi="Times New Roman"/>
          <w:sz w:val="24"/>
          <w:szCs w:val="24"/>
          <w:lang w:val="en-US"/>
        </w:rPr>
        <w:fldChar w:fldCharType="begin" w:fldLock="1"/>
      </w:r>
      <w:r w:rsidR="00164D8E" w:rsidRPr="00D67788">
        <w:rPr>
          <w:rFonts w:ascii="Times New Roman" w:hAnsi="Times New Roman"/>
          <w:sz w:val="24"/>
          <w:szCs w:val="24"/>
          <w:lang w:val="en-US"/>
        </w:rPr>
        <w:instrText>ADDIN CSL_CITATION {"citationItems":[{"id":"ITEM-1","itemData":{"DOI":"10.1016/j.tra.2015.09.008","ISBN":"0965-8564","ISSN":"09658564","abstract":"Research that addresses policy measures to increase the adoption of electric vehicles (EVs) has discussed government regulations such as California's Zero Emission Vehicle (ZEV) or penalties on petroleum-based fuels. Relatively few articles have addressed policy measures designed to increase the adoption of EVs by incentives to influence car buyers' voluntary behavior. This article examines the effects of such policy measures. Two of these attributes are monetary measures, two others are traffic regulations, and the other three are related to investments in charging infrastructure. Consumer preferences were assessed using a choice-based conjoint analysis on an individual basis by applying the hierarchical Bayes method. In addition, the Kano method was used to elicit consumer satisfaction. This not only enabled the identification of preferences but also why preferences were based on either features that were \"must-haves\" or on attributes that were not expected but were highly attractive and, thus, led to high satisfaction. The results of surveys conducted in 20 countries in 5 continents showed that the installation of a charging network on freeways is an absolute necessity. This was completely independent from the average mileage driven per day. High cash grants were appreciated as attractive; however, combinations of lower grants with charging facilities resulted in similar preference shares in market simulations for each country. The results may serve as initial guidance for policymakers and practitioners in improving their incentive programs for electric mobility.","author":[{"dropping-particle":"","family":"Lieven","given":"Theo","non-dropping-particle":"","parse-names":false,"suffix":""}],"container-title":"Transportation Research Part A: Policy and Practice","id":"ITEM-1","issued":{"date-parts":[["2015"]]},"page":"78-93","publisher":"Elsevier Ltd","title":"Policy measures to promote electric mobility - A global perspective","type":"article-journal","volume":"82"},"uris":["http://www.mendeley.com/documents/?uuid=0c52f907-aacb-4685-994d-5d9adf044a21"]}],"mendeley":{"formattedCitation":"(Lieven, 2015)","manualFormatting":"Lieven, 2015 ","plainTextFormattedCitation":"(Lieven, 2015)","previouslyFormattedCitation":"(Lieven, 2015)"},"properties":{"noteIndex":0},"schema":"https://github.com/citation-style-language/schema/raw/master/csl-citation.json"}</w:instrText>
      </w:r>
      <w:r w:rsidR="00164D8E" w:rsidRPr="00D67788">
        <w:rPr>
          <w:rFonts w:ascii="Times New Roman" w:hAnsi="Times New Roman"/>
          <w:sz w:val="24"/>
          <w:szCs w:val="24"/>
          <w:lang w:val="en-US"/>
        </w:rPr>
        <w:fldChar w:fldCharType="separate"/>
      </w:r>
      <w:r w:rsidR="00164D8E" w:rsidRPr="00D67788">
        <w:rPr>
          <w:rFonts w:ascii="Times New Roman" w:hAnsi="Times New Roman"/>
          <w:noProof/>
          <w:sz w:val="24"/>
          <w:szCs w:val="24"/>
          <w:lang w:val="en-US"/>
        </w:rPr>
        <w:t xml:space="preserve">Lieven, 2015 </w:t>
      </w:r>
      <w:r w:rsidR="00164D8E" w:rsidRPr="00D67788">
        <w:rPr>
          <w:rFonts w:ascii="Times New Roman" w:hAnsi="Times New Roman"/>
          <w:sz w:val="24"/>
          <w:szCs w:val="24"/>
          <w:lang w:val="en-US"/>
        </w:rPr>
        <w:fldChar w:fldCharType="end"/>
      </w:r>
      <w:r w:rsidR="00164D8E" w:rsidRPr="00D67788">
        <w:rPr>
          <w:lang w:val="en-US"/>
        </w:rPr>
        <w:t xml:space="preserve"> </w:t>
      </w:r>
      <w:r w:rsidR="00164D8E" w:rsidRPr="00D67788">
        <w:rPr>
          <w:rFonts w:ascii="Times New Roman" w:hAnsi="Times New Roman"/>
          <w:sz w:val="24"/>
          <w:szCs w:val="24"/>
          <w:lang w:val="en-US"/>
        </w:rPr>
        <w:t>showed that the installation of a charging network on freeways is an absolute necessity</w:t>
      </w:r>
      <w:r w:rsidR="00B25CE5">
        <w:rPr>
          <w:rFonts w:ascii="Times New Roman" w:hAnsi="Times New Roman"/>
          <w:sz w:val="24"/>
          <w:szCs w:val="24"/>
          <w:lang w:val="en-US"/>
        </w:rPr>
        <w:t xml:space="preserve"> </w:t>
      </w:r>
      <w:r w:rsidR="00B25CE5">
        <w:rPr>
          <w:rFonts w:ascii="Times New Roman" w:hAnsi="Times New Roman"/>
          <w:sz w:val="24"/>
          <w:szCs w:val="24"/>
          <w:lang w:val="en-US"/>
        </w:rPr>
        <w:fldChar w:fldCharType="begin" w:fldLock="1"/>
      </w:r>
      <w:r w:rsidR="00B25CE5">
        <w:rPr>
          <w:rFonts w:ascii="Times New Roman" w:hAnsi="Times New Roman"/>
          <w:sz w:val="24"/>
          <w:szCs w:val="24"/>
          <w:lang w:val="en-US"/>
        </w:rPr>
        <w:instrText>ADDIN CSL_CITATION {"citationItems":[{"id":"ITEM-1","itemData":{"DOI":"10.1016/j.tra.2015.09.008","ISBN":"0965-8564","ISSN":"09658564","abstract":"Research that addresses policy measures to increase the adoption of electric vehicles (EVs) has discussed government regulations such as California's Zero Emission Vehicle (ZEV) or penalties on petroleum-based fuels. Relatively few articles have addressed policy measures designed to increase the adoption of EVs by incentives to influence car buyers' voluntary behavior. This article examines the effects of such policy measures. Two of these attributes are monetary measures, two others are traffic regulations, and the other three are related to investments in charging infrastructure. Consumer preferences were assessed using a choice-based conjoint analysis on an individual basis by applying the hierarchical Bayes method. In addition, the Kano method was used to elicit consumer satisfaction. This not only enabled the identification of preferences but also why preferences were based on either features that were \"must-haves\" or on attributes that were not expected but were highly attractive and, thus, led to high satisfaction. The results of surveys conducted in 20 countries in 5 continents showed that the installation of a charging network on freeways is an absolute necessity. This was completely independent from the average mileage driven per day. High cash grants were appreciated as attractive; however, combinations of lower grants with charging facilities resulted in similar preference shares in market simulations for each country. The results may serve as initial guidance for policymakers and practitioners in improving their incentive programs for electric mobility.","author":[{"dropping-particle":"","family":"Lieven","given":"Theo","non-dropping-particle":"","parse-names":false,"suffix":""}],"container-title":"Transportation Research Part A: Policy and Practice","id":"ITEM-1","issued":{"date-parts":[["2015"]]},"page":"78-93","publisher":"Elsevier Ltd","title":"Policy measures to promote electric mobility - A global perspective","type":"article-journal","volume":"82"},"uris":["http://www.mendeley.com/documents/?uuid=0c52f907-aacb-4685-994d-5d9adf044a21"]}],"mendeley":{"formattedCitation":"(Lieven, 2015)","plainTextFormattedCitation":"(Lieven, 2015)","previouslyFormattedCitation":"(Lieven, 2015)"},"properties":{"noteIndex":0},"schema":"https://github.com/citation-style-language/schema/raw/master/csl-citation.json"}</w:instrText>
      </w:r>
      <w:r w:rsidR="00B25CE5">
        <w:rPr>
          <w:rFonts w:ascii="Times New Roman" w:hAnsi="Times New Roman"/>
          <w:sz w:val="24"/>
          <w:szCs w:val="24"/>
          <w:lang w:val="en-US"/>
        </w:rPr>
        <w:fldChar w:fldCharType="separate"/>
      </w:r>
      <w:r w:rsidR="00B25CE5" w:rsidRPr="00B25CE5">
        <w:rPr>
          <w:rFonts w:ascii="Times New Roman" w:hAnsi="Times New Roman"/>
          <w:noProof/>
          <w:sz w:val="24"/>
          <w:szCs w:val="24"/>
          <w:lang w:val="en-US"/>
        </w:rPr>
        <w:t>(Lieven, 2015)</w:t>
      </w:r>
      <w:r w:rsidR="00B25CE5">
        <w:rPr>
          <w:rFonts w:ascii="Times New Roman" w:hAnsi="Times New Roman"/>
          <w:sz w:val="24"/>
          <w:szCs w:val="24"/>
          <w:lang w:val="en-US"/>
        </w:rPr>
        <w:fldChar w:fldCharType="end"/>
      </w:r>
      <w:r w:rsidR="00164D8E" w:rsidRPr="00D67788">
        <w:rPr>
          <w:rFonts w:ascii="Times New Roman" w:hAnsi="Times New Roman"/>
          <w:sz w:val="24"/>
          <w:szCs w:val="24"/>
          <w:lang w:val="en-US"/>
        </w:rPr>
        <w:t>. High cash grants were appreciated as attractive; however, combinations of lower grants with charging facilities resulted in similar preference shares in market simulations for each country</w:t>
      </w:r>
      <w:r w:rsidR="00B25CE5">
        <w:rPr>
          <w:rFonts w:ascii="Times New Roman" w:hAnsi="Times New Roman"/>
          <w:sz w:val="24"/>
          <w:szCs w:val="24"/>
          <w:lang w:val="en-US"/>
        </w:rPr>
        <w:t xml:space="preserve"> </w:t>
      </w:r>
      <w:r w:rsidR="00B25CE5">
        <w:rPr>
          <w:rFonts w:ascii="Times New Roman" w:hAnsi="Times New Roman"/>
          <w:sz w:val="24"/>
          <w:szCs w:val="24"/>
          <w:lang w:val="en-US"/>
        </w:rPr>
        <w:fldChar w:fldCharType="begin" w:fldLock="1"/>
      </w:r>
      <w:r w:rsidR="000F6837">
        <w:rPr>
          <w:rFonts w:ascii="Times New Roman" w:hAnsi="Times New Roman"/>
          <w:sz w:val="24"/>
          <w:szCs w:val="24"/>
          <w:lang w:val="en-US"/>
        </w:rPr>
        <w:instrText>ADDIN CSL_CITATION {"citationItems":[{"id":"ITEM-1","itemData":{"DOI":"10.1016/j.tra.2015.09.008","ISBN":"0965-8564","ISSN":"09658564","abstract":"Research that addresses policy measures to increase the adoption of electric vehicles (EVs) has discussed government regulations such as California's Zero Emission Vehicle (ZEV) or penalties on petroleum-based fuels. Relatively few articles have addressed policy measures designed to increase the adoption of EVs by incentives to influence car buyers' voluntary behavior. This article examines the effects of such policy measures. Two of these attributes are monetary measures, two others are traffic regulations, and the other three are related to investments in charging infrastructure. Consumer preferences were assessed using a choice-based conjoint analysis on an individual basis by applying the hierarchical Bayes method. In addition, the Kano method was used to elicit consumer satisfaction. This not only enabled the identification of preferences but also why preferences were based on either features that were \"must-haves\" or on attributes that were not expected but were highly attractive and, thus, led to high satisfaction. The results of surveys conducted in 20 countries in 5 continents showed that the installation of a charging network on freeways is an absolute necessity. This was completely independent from the average mileage driven per day. High cash grants were appreciated as attractive; however, combinations of lower grants with charging facilities resulted in similar preference shares in market simulations for each country. The results may serve as initial guidance for policymakers and practitioners in improving their incentive programs for electric mobility.","author":[{"dropping-particle":"","family":"Lieven","given":"Theo","non-dropping-particle":"","parse-names":false,"suffix":""}],"container-title":"Transportation Research Part A: Policy and Practice","id":"ITEM-1","issued":{"date-parts":[["2015"]]},"page":"78-93","publisher":"Elsevier Ltd","title":"Policy measures to promote electric mobility - A global perspective","type":"article-journal","volume":"82"},"uris":["http://www.mendeley.com/documents/?uuid=0c52f907-aacb-4685-994d-5d9adf044a21"]}],"mendeley":{"formattedCitation":"(Lieven, 2015)","plainTextFormattedCitation":"(Lieven, 2015)","previouslyFormattedCitation":"(Lieven, 2015)"},"properties":{"noteIndex":0},"schema":"https://github.com/citation-style-language/schema/raw/master/csl-citation.json"}</w:instrText>
      </w:r>
      <w:r w:rsidR="00B25CE5">
        <w:rPr>
          <w:rFonts w:ascii="Times New Roman" w:hAnsi="Times New Roman"/>
          <w:sz w:val="24"/>
          <w:szCs w:val="24"/>
          <w:lang w:val="en-US"/>
        </w:rPr>
        <w:fldChar w:fldCharType="separate"/>
      </w:r>
      <w:r w:rsidR="00B25CE5" w:rsidRPr="00B25CE5">
        <w:rPr>
          <w:rFonts w:ascii="Times New Roman" w:hAnsi="Times New Roman"/>
          <w:noProof/>
          <w:sz w:val="24"/>
          <w:szCs w:val="24"/>
          <w:lang w:val="en-US"/>
        </w:rPr>
        <w:t>(Lieven, 2015)</w:t>
      </w:r>
      <w:r w:rsidR="00B25CE5">
        <w:rPr>
          <w:rFonts w:ascii="Times New Roman" w:hAnsi="Times New Roman"/>
          <w:sz w:val="24"/>
          <w:szCs w:val="24"/>
          <w:lang w:val="en-US"/>
        </w:rPr>
        <w:fldChar w:fldCharType="end"/>
      </w:r>
      <w:r w:rsidR="00B25CE5">
        <w:rPr>
          <w:rFonts w:ascii="Times New Roman" w:hAnsi="Times New Roman"/>
          <w:sz w:val="24"/>
          <w:szCs w:val="24"/>
          <w:lang w:val="en-US"/>
        </w:rPr>
        <w:t xml:space="preserve">. The same is true for performance attributes that </w:t>
      </w:r>
      <w:r w:rsidR="000F6837">
        <w:rPr>
          <w:rFonts w:ascii="Times New Roman" w:hAnsi="Times New Roman"/>
          <w:sz w:val="24"/>
          <w:szCs w:val="24"/>
          <w:lang w:val="en-US"/>
        </w:rPr>
        <w:t xml:space="preserve">were found to be a </w:t>
      </w:r>
      <w:r w:rsidR="00B25CE5">
        <w:rPr>
          <w:rFonts w:ascii="Times New Roman" w:hAnsi="Times New Roman"/>
          <w:sz w:val="24"/>
          <w:szCs w:val="24"/>
          <w:lang w:val="en-US"/>
        </w:rPr>
        <w:t>more important indicator of EV adoption than financial incentives</w:t>
      </w:r>
      <w:r w:rsidR="000F6837">
        <w:rPr>
          <w:rFonts w:ascii="Times New Roman" w:hAnsi="Times New Roman"/>
          <w:sz w:val="24"/>
          <w:szCs w:val="24"/>
          <w:lang w:val="en-US"/>
        </w:rPr>
        <w:t xml:space="preserve"> </w:t>
      </w:r>
      <w:r w:rsidR="000F6837">
        <w:rPr>
          <w:rFonts w:ascii="Times New Roman" w:hAnsi="Times New Roman"/>
          <w:sz w:val="24"/>
          <w:szCs w:val="24"/>
          <w:lang w:val="en-US"/>
        </w:rPr>
        <w:fldChar w:fldCharType="begin" w:fldLock="1"/>
      </w:r>
      <w:r w:rsidR="00E32B91">
        <w:rPr>
          <w:rFonts w:ascii="Times New Roman" w:hAnsi="Times New Roman"/>
          <w:sz w:val="24"/>
          <w:szCs w:val="24"/>
          <w:lang w:val="en-US"/>
        </w:rPr>
        <w:instrText>ADDIN CSL_CITATION {"citationItems":[{"id":"ITEM-1","itemData":{"DOI":"10.1016/j.enpol.2013.06.114","ISBN":"0301-4215","ISSN":"03014215","abstract":"To reduce gasoline consumption and emissions, the Chinese government has introduced a series of preferential policies to encourage the purchase of new energy vehicles (NEVs). However, enthusiasm for the private purchase of NEVs appears to be very low. This timely paper addresses the need for an empirical study to explore this phenomenon by identifying purchase motivations of potential NEV consumers and examining the impact of government policies introduced to promote NEVs in China. A questionnaire survey was carried out. The acceptance of NEVs is measured in three different logistic models: the willingness of consumers to purchase NEVs, the purchasing time, and the acceptable price. The results showed that financial benefits, performance attributes, environmental awareness and psychological needs are the four most important factors influencing consumers' acceptance of NEVs. Among these, performance attributes rather than financial benefits are the most important indicator. The moderating effect of government policies to relations between purchasing intention, time and price is not strong as respected while the policy implications are clear that the 'public awareness of government policy' functions as a moderator in the process of acceptance. These findings could give some hints to the government to make better NEV industry policy. © 2013 Elsevier Ltd.","author":[{"dropping-particle":"","family":"Zhang","given":"Xian","non-dropping-particle":"","parse-names":false,"suffix":""},{"dropping-particle":"","family":"Wang","given":"Ke","non-dropping-particle":"","parse-names":false,"suffix":""},{"dropping-particle":"","family":"Hao","given":"Yu","non-dropping-particle":"","parse-names":false,"suffix":""},{"dropping-particle":"","family":"Fan","given":"Jing Li","non-dropping-particle":"","parse-names":false,"suffix":""},{"dropping-particle":"","family":"Wei","given":"Yi Ming","non-dropping-particle":"","parse-names":false,"suffix":""}],"container-title":"Energy Policy","id":"ITEM-1","issued":{"date-parts":[["2013"]]},"page":"382-393","title":"The impact of government policy on preference for NEVs: The evidence from China","type":"article-journal","volume":"61"},"uris":["http://www.mendeley.com/documents/?uuid=81060ea0-978e-35ca-b6ea-6857e929e12a"]}],"mendeley":{"formattedCitation":"(Zhang, Wang, Hao, Fan, &amp; Wei, 2013)","plainTextFormattedCitation":"(Zhang, Wang, Hao, Fan, &amp; Wei, 2013)","previouslyFormattedCitation":"(Zhang, Wang, Hao, Fan, &amp; Wei, 2013)"},"properties":{"noteIndex":0},"schema":"https://github.com/citation-style-language/schema/raw/master/csl-citation.json"}</w:instrText>
      </w:r>
      <w:r w:rsidR="000F6837">
        <w:rPr>
          <w:rFonts w:ascii="Times New Roman" w:hAnsi="Times New Roman"/>
          <w:sz w:val="24"/>
          <w:szCs w:val="24"/>
          <w:lang w:val="en-US"/>
        </w:rPr>
        <w:fldChar w:fldCharType="separate"/>
      </w:r>
      <w:r w:rsidR="000F6837" w:rsidRPr="000F6837">
        <w:rPr>
          <w:rFonts w:ascii="Times New Roman" w:hAnsi="Times New Roman"/>
          <w:noProof/>
          <w:sz w:val="24"/>
          <w:szCs w:val="24"/>
          <w:lang w:val="en-US"/>
        </w:rPr>
        <w:t>(Zhang, Wang, Hao, Fan, &amp; Wei, 2013)</w:t>
      </w:r>
      <w:r w:rsidR="000F6837">
        <w:rPr>
          <w:rFonts w:ascii="Times New Roman" w:hAnsi="Times New Roman"/>
          <w:sz w:val="24"/>
          <w:szCs w:val="24"/>
          <w:lang w:val="en-US"/>
        </w:rPr>
        <w:fldChar w:fldCharType="end"/>
      </w:r>
      <w:r w:rsidR="000F6837">
        <w:rPr>
          <w:rFonts w:ascii="Times New Roman" w:hAnsi="Times New Roman"/>
          <w:sz w:val="24"/>
          <w:szCs w:val="24"/>
          <w:lang w:val="en-US"/>
        </w:rPr>
        <w:t>.</w:t>
      </w:r>
    </w:p>
    <w:p w:rsidR="00295178" w:rsidRPr="005A720C" w:rsidRDefault="00295178" w:rsidP="00295178">
      <w:pPr>
        <w:spacing w:after="120" w:line="360" w:lineRule="auto"/>
        <w:jc w:val="both"/>
        <w:rPr>
          <w:rFonts w:ascii="Times New Roman" w:hAnsi="Times New Roman"/>
          <w:sz w:val="24"/>
          <w:szCs w:val="24"/>
          <w:lang w:val="en-US"/>
        </w:rPr>
      </w:pPr>
      <w:r w:rsidRPr="005A720C">
        <w:rPr>
          <w:rFonts w:ascii="Times New Roman" w:hAnsi="Times New Roman"/>
          <w:sz w:val="24"/>
          <w:szCs w:val="24"/>
          <w:lang w:val="en-US"/>
        </w:rPr>
        <w:t xml:space="preserve">Other advantage of purchasing an EV is lower operational costs </w:t>
      </w:r>
      <w:r>
        <w:rPr>
          <w:rFonts w:ascii="Times New Roman" w:hAnsi="Times New Roman"/>
          <w:sz w:val="24"/>
          <w:szCs w:val="24"/>
          <w:lang w:val="en-US"/>
        </w:rPr>
        <w:t xml:space="preserve">related to </w:t>
      </w:r>
      <w:r w:rsidRPr="005A720C">
        <w:rPr>
          <w:rFonts w:ascii="Times New Roman" w:hAnsi="Times New Roman"/>
          <w:sz w:val="24"/>
          <w:szCs w:val="24"/>
          <w:lang w:val="en-US"/>
        </w:rPr>
        <w:t xml:space="preserve">its higher fuel efficiency in comparison to </w:t>
      </w:r>
      <w:r w:rsidR="000F6837">
        <w:rPr>
          <w:rFonts w:ascii="Times New Roman" w:hAnsi="Times New Roman"/>
          <w:sz w:val="24"/>
          <w:szCs w:val="24"/>
          <w:lang w:val="en-US"/>
        </w:rPr>
        <w:t>internal combustion engine (ICE) cars</w:t>
      </w:r>
      <w:r w:rsidRPr="005A720C">
        <w:rPr>
          <w:rFonts w:ascii="Times New Roman" w:hAnsi="Times New Roman"/>
          <w:sz w:val="24"/>
          <w:szCs w:val="24"/>
          <w:lang w:val="en-US"/>
        </w:rPr>
        <w:t xml:space="preserve"> (</w:t>
      </w:r>
      <w:proofErr w:type="spellStart"/>
      <w:r w:rsidRPr="005A720C">
        <w:rPr>
          <w:rFonts w:ascii="Times New Roman" w:hAnsi="Times New Roman"/>
          <w:sz w:val="24"/>
          <w:szCs w:val="24"/>
          <w:lang w:val="en-US"/>
        </w:rPr>
        <w:t>Caperello</w:t>
      </w:r>
      <w:proofErr w:type="spellEnd"/>
      <w:r w:rsidRPr="005A720C">
        <w:rPr>
          <w:rFonts w:ascii="Times New Roman" w:hAnsi="Times New Roman"/>
          <w:sz w:val="24"/>
          <w:szCs w:val="24"/>
          <w:lang w:val="en-US"/>
        </w:rPr>
        <w:t xml:space="preserve"> and </w:t>
      </w:r>
      <w:proofErr w:type="spellStart"/>
      <w:r w:rsidRPr="005A720C">
        <w:rPr>
          <w:rFonts w:ascii="Times New Roman" w:hAnsi="Times New Roman"/>
          <w:sz w:val="24"/>
          <w:szCs w:val="24"/>
          <w:lang w:val="en-US"/>
        </w:rPr>
        <w:t>Kurani</w:t>
      </w:r>
      <w:proofErr w:type="spellEnd"/>
      <w:r w:rsidRPr="005A720C">
        <w:rPr>
          <w:rFonts w:ascii="Times New Roman" w:hAnsi="Times New Roman"/>
          <w:sz w:val="24"/>
          <w:szCs w:val="24"/>
          <w:lang w:val="en-US"/>
        </w:rPr>
        <w:t xml:space="preserve">, 2011; Graham-Rowe et al., 2012; </w:t>
      </w:r>
      <w:proofErr w:type="spellStart"/>
      <w:r w:rsidRPr="00CB1B80">
        <w:rPr>
          <w:rFonts w:ascii="Times New Roman" w:hAnsi="Times New Roman"/>
          <w:color w:val="FF0000"/>
          <w:sz w:val="24"/>
          <w:szCs w:val="24"/>
          <w:lang w:val="en-US"/>
        </w:rPr>
        <w:t>Sovacool</w:t>
      </w:r>
      <w:proofErr w:type="spellEnd"/>
      <w:r w:rsidRPr="00CB1B80">
        <w:rPr>
          <w:rFonts w:ascii="Times New Roman" w:hAnsi="Times New Roman"/>
          <w:color w:val="FF0000"/>
          <w:sz w:val="24"/>
          <w:szCs w:val="24"/>
          <w:lang w:val="en-US"/>
        </w:rPr>
        <w:t xml:space="preserve"> and Hirsh, 2009; </w:t>
      </w:r>
      <w:proofErr w:type="spellStart"/>
      <w:r w:rsidRPr="005A720C">
        <w:rPr>
          <w:rFonts w:ascii="Times New Roman" w:hAnsi="Times New Roman"/>
          <w:sz w:val="24"/>
          <w:szCs w:val="24"/>
          <w:lang w:val="en-US"/>
        </w:rPr>
        <w:t>Egbue</w:t>
      </w:r>
      <w:proofErr w:type="spellEnd"/>
      <w:r w:rsidRPr="005A720C">
        <w:rPr>
          <w:rFonts w:ascii="Times New Roman" w:hAnsi="Times New Roman"/>
          <w:sz w:val="24"/>
          <w:szCs w:val="24"/>
          <w:lang w:val="en-US"/>
        </w:rPr>
        <w:t xml:space="preserve"> and Long, 2012; Jensen et al., 2013; Lieven et al., 2011; Zhang et al., 2011). However, many studies show that consumers are not able to calculate and compare the operational costs of ICE and BEV cars (</w:t>
      </w:r>
      <w:proofErr w:type="spellStart"/>
      <w:r w:rsidRPr="005A720C">
        <w:rPr>
          <w:rFonts w:ascii="Times New Roman" w:hAnsi="Times New Roman"/>
          <w:sz w:val="24"/>
          <w:szCs w:val="24"/>
          <w:lang w:val="en-US"/>
        </w:rPr>
        <w:t>Caperello</w:t>
      </w:r>
      <w:proofErr w:type="spellEnd"/>
      <w:r w:rsidRPr="005A720C">
        <w:rPr>
          <w:rFonts w:ascii="Times New Roman" w:hAnsi="Times New Roman"/>
          <w:sz w:val="24"/>
          <w:szCs w:val="24"/>
          <w:lang w:val="en-US"/>
        </w:rPr>
        <w:t xml:space="preserve"> and </w:t>
      </w:r>
      <w:proofErr w:type="spellStart"/>
      <w:r w:rsidRPr="005A720C">
        <w:rPr>
          <w:rFonts w:ascii="Times New Roman" w:hAnsi="Times New Roman"/>
          <w:sz w:val="24"/>
          <w:szCs w:val="24"/>
          <w:lang w:val="en-US"/>
        </w:rPr>
        <w:t>Kurani</w:t>
      </w:r>
      <w:proofErr w:type="spellEnd"/>
      <w:r w:rsidRPr="005A720C">
        <w:rPr>
          <w:rFonts w:ascii="Times New Roman" w:hAnsi="Times New Roman"/>
          <w:sz w:val="24"/>
          <w:szCs w:val="24"/>
          <w:lang w:val="en-US"/>
        </w:rPr>
        <w:t xml:space="preserve">, 2011; </w:t>
      </w:r>
      <w:proofErr w:type="spellStart"/>
      <w:r w:rsidRPr="005A720C">
        <w:rPr>
          <w:rFonts w:ascii="Times New Roman" w:hAnsi="Times New Roman"/>
          <w:sz w:val="24"/>
          <w:szCs w:val="24"/>
          <w:lang w:val="en-US"/>
        </w:rPr>
        <w:t>Sovacool</w:t>
      </w:r>
      <w:proofErr w:type="spellEnd"/>
      <w:r w:rsidRPr="005A720C">
        <w:rPr>
          <w:rFonts w:ascii="Times New Roman" w:hAnsi="Times New Roman"/>
          <w:sz w:val="24"/>
          <w:szCs w:val="24"/>
          <w:lang w:val="en-US"/>
        </w:rPr>
        <w:t xml:space="preserve"> and Hirsh, 2009; Lane and Potter, 2007; </w:t>
      </w:r>
      <w:proofErr w:type="spellStart"/>
      <w:r w:rsidRPr="00CB1B80">
        <w:rPr>
          <w:rFonts w:ascii="Times New Roman" w:hAnsi="Times New Roman"/>
          <w:color w:val="FF0000"/>
          <w:sz w:val="24"/>
          <w:szCs w:val="24"/>
          <w:lang w:val="en-US"/>
        </w:rPr>
        <w:t>Turrentine</w:t>
      </w:r>
      <w:proofErr w:type="spellEnd"/>
      <w:r w:rsidRPr="00CB1B80">
        <w:rPr>
          <w:rFonts w:ascii="Times New Roman" w:hAnsi="Times New Roman"/>
          <w:color w:val="FF0000"/>
          <w:sz w:val="24"/>
          <w:szCs w:val="24"/>
          <w:lang w:val="en-US"/>
        </w:rPr>
        <w:t xml:space="preserve"> and </w:t>
      </w:r>
      <w:proofErr w:type="spellStart"/>
      <w:r w:rsidRPr="00CB1B80">
        <w:rPr>
          <w:rFonts w:ascii="Times New Roman" w:hAnsi="Times New Roman"/>
          <w:color w:val="FF0000"/>
          <w:sz w:val="24"/>
          <w:szCs w:val="24"/>
          <w:lang w:val="en-US"/>
        </w:rPr>
        <w:t>Kurani</w:t>
      </w:r>
      <w:proofErr w:type="spellEnd"/>
      <w:r w:rsidRPr="00CB1B80">
        <w:rPr>
          <w:rFonts w:ascii="Times New Roman" w:hAnsi="Times New Roman"/>
          <w:color w:val="FF0000"/>
          <w:sz w:val="24"/>
          <w:szCs w:val="24"/>
          <w:lang w:val="en-US"/>
        </w:rPr>
        <w:t>, 2007</w:t>
      </w:r>
      <w:r w:rsidRPr="005A720C">
        <w:rPr>
          <w:rFonts w:ascii="Times New Roman" w:hAnsi="Times New Roman"/>
          <w:sz w:val="24"/>
          <w:szCs w:val="24"/>
          <w:lang w:val="en-US"/>
        </w:rPr>
        <w:t xml:space="preserve">). </w:t>
      </w:r>
    </w:p>
    <w:p w:rsidR="00972D49" w:rsidRPr="005A720C" w:rsidRDefault="002273CA" w:rsidP="00CE182C">
      <w:pPr>
        <w:pStyle w:val="2"/>
        <w:jc w:val="both"/>
        <w:rPr>
          <w:lang w:val="en-US"/>
        </w:rPr>
      </w:pPr>
      <w:bookmarkStart w:id="15" w:name="_Toc535248651"/>
      <w:r>
        <w:rPr>
          <w:lang w:val="en-US"/>
        </w:rPr>
        <w:t>Empirical research</w:t>
      </w:r>
      <w:r w:rsidR="00164D8E" w:rsidRPr="005A720C">
        <w:rPr>
          <w:lang w:val="en-US"/>
        </w:rPr>
        <w:t xml:space="preserve"> o</w:t>
      </w:r>
      <w:r>
        <w:rPr>
          <w:lang w:val="en-US"/>
        </w:rPr>
        <w:t>f</w:t>
      </w:r>
      <w:r w:rsidR="00164D8E" w:rsidRPr="005A720C">
        <w:rPr>
          <w:lang w:val="en-US"/>
        </w:rPr>
        <w:t xml:space="preserve"> the EV adoption</w:t>
      </w:r>
      <w:bookmarkEnd w:id="15"/>
    </w:p>
    <w:p w:rsidR="00164D8E" w:rsidRDefault="00164D8E" w:rsidP="00CE182C">
      <w:pPr>
        <w:spacing w:after="120" w:line="360" w:lineRule="auto"/>
        <w:jc w:val="both"/>
        <w:rPr>
          <w:rFonts w:ascii="Times New Roman" w:hAnsi="Times New Roman"/>
          <w:sz w:val="24"/>
          <w:szCs w:val="24"/>
          <w:lang w:val="en-US"/>
        </w:rPr>
      </w:pPr>
      <w:r w:rsidRPr="005A720C">
        <w:rPr>
          <w:rFonts w:ascii="Times New Roman" w:hAnsi="Times New Roman"/>
          <w:sz w:val="24"/>
          <w:szCs w:val="24"/>
          <w:lang w:val="en-US"/>
        </w:rPr>
        <w:t xml:space="preserve">Empirical research </w:t>
      </w:r>
      <w:r w:rsidR="000C4748" w:rsidRPr="005A720C">
        <w:rPr>
          <w:rFonts w:ascii="Times New Roman" w:hAnsi="Times New Roman"/>
          <w:sz w:val="24"/>
          <w:szCs w:val="24"/>
          <w:lang w:val="en-US"/>
        </w:rPr>
        <w:t xml:space="preserve">using secondary data </w:t>
      </w:r>
      <w:r w:rsidRPr="005A720C">
        <w:rPr>
          <w:rFonts w:ascii="Times New Roman" w:hAnsi="Times New Roman"/>
          <w:sz w:val="24"/>
          <w:szCs w:val="24"/>
          <w:lang w:val="en-US"/>
        </w:rPr>
        <w:t>also studied the effect of policy incentives on</w:t>
      </w:r>
      <w:r w:rsidR="00C81367">
        <w:rPr>
          <w:rFonts w:ascii="Times New Roman" w:hAnsi="Times New Roman"/>
          <w:sz w:val="24"/>
          <w:szCs w:val="24"/>
          <w:lang w:val="en-US"/>
        </w:rPr>
        <w:t xml:space="preserve"> </w:t>
      </w:r>
      <w:r w:rsidRPr="005A720C">
        <w:rPr>
          <w:rFonts w:ascii="Times New Roman" w:hAnsi="Times New Roman"/>
          <w:sz w:val="24"/>
          <w:szCs w:val="24"/>
          <w:lang w:val="en-US"/>
        </w:rPr>
        <w:t>EV adoption, and thus, cross-checked the results from the stated preference surveys. As expected, government tax</w:t>
      </w:r>
      <w:r w:rsidR="000C4748" w:rsidRPr="005A720C">
        <w:rPr>
          <w:rFonts w:ascii="Times New Roman" w:hAnsi="Times New Roman"/>
          <w:sz w:val="24"/>
          <w:szCs w:val="24"/>
          <w:lang w:val="en-US"/>
        </w:rPr>
        <w:t>/</w:t>
      </w:r>
      <w:r w:rsidRPr="005A720C">
        <w:rPr>
          <w:rFonts w:ascii="Times New Roman" w:hAnsi="Times New Roman"/>
          <w:sz w:val="24"/>
          <w:szCs w:val="24"/>
          <w:lang w:val="en-US"/>
        </w:rPr>
        <w:t xml:space="preserve">financial incentives and charging infrastructure are shown to positively influence the intention to adopt EVs (Krupa et al., 2014; Lane and Potter, 2007; Zhang et al., 2011; </w:t>
      </w:r>
      <w:r w:rsidRPr="005A720C">
        <w:rPr>
          <w:rFonts w:ascii="Times New Roman" w:hAnsi="Times New Roman"/>
          <w:sz w:val="24"/>
          <w:szCs w:val="24"/>
          <w:lang w:val="en-US"/>
        </w:rPr>
        <w:fldChar w:fldCharType="begin" w:fldLock="1"/>
      </w:r>
      <w:r w:rsidRPr="005A720C">
        <w:rPr>
          <w:rFonts w:ascii="Times New Roman" w:hAnsi="Times New Roman"/>
          <w:sz w:val="24"/>
          <w:szCs w:val="24"/>
          <w:lang w:val="en-US"/>
        </w:rPr>
        <w:instrText>ADDIN CSL_CITATION {"citationItems":[{"id":"ITEM-1","itemData":{"DOI":"10.1016/j.enpol.2014.01.043","ISSN":"0301-4215","abstract":"Electric vehicles represent an innovation with the potential to lower greenhouse gas emissions and help mitigate the causes of climate change. However, externalities including the appropriability of knowledge and pollution abatement result in societal/economic benefits that are not incorporated in electric vehicle prices. In order to address resulting market failures, governments have employed a number of policies. We seek to determine the relationship of one such policy instrument (consumer financial incentives) to electric vehicle adoption. Based on existing literature, we identified several additional socio-economic factors that are expected to be influential in determining electric vehicle adoption rates. Using multiple linear regression analysis, we examined the relationship between those variables and 30 national electric vehicle market shares for the year 2012. The model found financial incentives, charging infrastructure, and local presence of production facilities to be significant and positively correlated to a country's electric vehicle market share. Results suggest that of those factors, charging infrastructure was most strongly related to electric vehicle adoption. However, descriptive analysis suggests that neither financial incentives nor charging infrastructure ensure high electric vehicle adoption rates.","author":[{"dropping-particle":"","family":"Sierzchula","given":"William","non-dropping-particle":"","parse-names":false,"suffix":""},{"dropping-particle":"","family":"Bakker","given":"Sjoerd","non-dropping-particle":"","parse-names":false,"suffix":""},{"dropping-particle":"","family":"Maat","given":"Kees","non-dropping-particle":"","parse-names":false,"suffix":""},{"dropping-particle":"Van","family":"Wee","given":"Bert","non-dropping-particle":"","parse-names":false,"suffix":""}],"container-title":"Energy Policy","id":"ITEM-1","issued":{"date-parts":[["2014"]]},"page":"183-194","publisher":"Elsevier","title":"The influence of financial incentives and other socio-economic factors on electric vehicle adoption","type":"article-journal","volume":"68"},"uris":["http://www.mendeley.com/documents/?uuid=f1a1a9f7-9f18-4164-9ee7-21721c9a3735"]}],"mendeley":{"formattedCitation":"(Sierzchula, Bakker, Maat, &amp; Wee, 2014)","manualFormatting":"Sierzchula, Bakker, Maat, &amp; Wee, 2014","plainTextFormattedCitation":"(Sierzchula, Bakker, Maat, &amp; Wee, 2014)","previouslyFormattedCitation":"(Sierzchula, Bakker, Maat, &amp; Wee, 2014)"},"properties":{"noteIndex":0},"schema":"https://github.com/citation-style-language/schema/raw/master/csl-citation.json"}</w:instrText>
      </w:r>
      <w:r w:rsidRPr="005A720C">
        <w:rPr>
          <w:rFonts w:ascii="Times New Roman" w:hAnsi="Times New Roman"/>
          <w:sz w:val="24"/>
          <w:szCs w:val="24"/>
          <w:lang w:val="en-US"/>
        </w:rPr>
        <w:fldChar w:fldCharType="separate"/>
      </w:r>
      <w:r w:rsidRPr="005A720C">
        <w:rPr>
          <w:rFonts w:ascii="Times New Roman" w:hAnsi="Times New Roman"/>
          <w:noProof/>
          <w:sz w:val="24"/>
          <w:szCs w:val="24"/>
          <w:lang w:val="en-US"/>
        </w:rPr>
        <w:t>Sierzchula, Bakker, Maat, &amp; Wee, 2014</w:t>
      </w:r>
      <w:r w:rsidRPr="005A720C">
        <w:rPr>
          <w:rFonts w:ascii="Times New Roman" w:hAnsi="Times New Roman"/>
          <w:sz w:val="24"/>
          <w:szCs w:val="24"/>
          <w:lang w:val="en-US"/>
        </w:rPr>
        <w:fldChar w:fldCharType="end"/>
      </w:r>
      <w:r w:rsidRPr="005A720C">
        <w:rPr>
          <w:rFonts w:ascii="Times New Roman" w:hAnsi="Times New Roman"/>
          <w:sz w:val="24"/>
          <w:szCs w:val="24"/>
          <w:lang w:val="en-US"/>
        </w:rPr>
        <w:t xml:space="preserve">). In Norway, EV sales were found to be sensitive to exclusive access </w:t>
      </w:r>
      <w:r w:rsidR="000277A9" w:rsidRPr="005A720C">
        <w:rPr>
          <w:rFonts w:ascii="Times New Roman" w:hAnsi="Times New Roman"/>
          <w:sz w:val="24"/>
          <w:szCs w:val="24"/>
          <w:lang w:val="en-US"/>
        </w:rPr>
        <w:t xml:space="preserve">to </w:t>
      </w:r>
      <w:r w:rsidRPr="005A720C">
        <w:rPr>
          <w:rFonts w:ascii="Times New Roman" w:hAnsi="Times New Roman"/>
          <w:sz w:val="24"/>
          <w:szCs w:val="24"/>
          <w:lang w:val="en-US"/>
        </w:rPr>
        <w:t>bus lanes</w:t>
      </w:r>
      <w:r w:rsidR="000F6837">
        <w:rPr>
          <w:rFonts w:ascii="Times New Roman" w:hAnsi="Times New Roman"/>
          <w:sz w:val="24"/>
          <w:szCs w:val="24"/>
          <w:lang w:val="en-US"/>
        </w:rPr>
        <w:t xml:space="preserve">, and </w:t>
      </w:r>
      <w:r w:rsidRPr="005A720C">
        <w:rPr>
          <w:rFonts w:ascii="Times New Roman" w:hAnsi="Times New Roman"/>
          <w:sz w:val="24"/>
          <w:szCs w:val="24"/>
          <w:lang w:val="en-US"/>
        </w:rPr>
        <w:t xml:space="preserve">charging stations </w:t>
      </w:r>
      <w:r w:rsidRPr="005A720C">
        <w:rPr>
          <w:rFonts w:ascii="Times New Roman" w:hAnsi="Times New Roman"/>
          <w:sz w:val="24"/>
          <w:szCs w:val="24"/>
          <w:lang w:val="en-US"/>
        </w:rPr>
        <w:fldChar w:fldCharType="begin" w:fldLock="1"/>
      </w:r>
      <w:r w:rsidRPr="005A720C">
        <w:rPr>
          <w:rFonts w:ascii="Times New Roman" w:hAnsi="Times New Roman"/>
          <w:sz w:val="24"/>
          <w:szCs w:val="24"/>
          <w:lang w:val="en-US"/>
        </w:rPr>
        <w:instrText>ADDIN CSL_CITATION {"citationItems":[{"id":"ITEM-1","itemData":{"DOI":"10.1016/j.trd.2016.03.011","ISBN":"1361-9209","ISSN":"13619209","PMID":"7573998","abstract":"Battery Electric vehicles (BEVs) shift pollution off the road and to potentially less damaging and more varied sources than petroleum. Depending on the source of electricity, a transition to electrified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significant predictive power for BEV sales in our linear municipal-level models, but this could be due to neighboring major cities containing those incentive features.","author":[{"dropping-particle":"","family":"Mersky","given":"Avi Chaim","non-dropping-particle":"","parse-names":false,"suffix":""},{"dropping-particle":"","family":"Sprei","given":"Frances","non-dropping-particle":"","parse-names":false,"suffix":""},{"dropping-particle":"","family":"Samaras","given":"Constantine","non-dropping-particle":"","parse-names":false,"suffix":""},{"dropping-particle":"","family":"Qian","given":"Zhen Sean","non-dropping-particle":"","parse-names":false,"suffix":""}],"container-title":"Transportation Research Part D: Transport and Environment","id":"ITEM-1","issued":{"date-parts":[["2016"]]},"page":"56-68","publisher":"Elsevier Ltd","title":"Effectiveness of incentives on electric vehicle adoption in Norway","type":"article-journal","volume":"46"},"uris":["http://www.mendeley.com/documents/?uuid=b98d8ac0-fe3b-42f8-b0f1-e787ce810c38"]}],"mendeley":{"formattedCitation":"(Mersky, Sprei, Samaras, &amp; Qian, 2016)","plainTextFormattedCitation":"(Mersky, Sprei, Samaras, &amp; Qian, 2016)","previouslyFormattedCitation":"(Mersky, Sprei, Samaras, &amp; Qian, 2016)"},"properties":{"noteIndex":0},"schema":"https://github.com/citation-style-language/schema/raw/master/csl-citation.json"}</w:instrText>
      </w:r>
      <w:r w:rsidRPr="005A720C">
        <w:rPr>
          <w:rFonts w:ascii="Times New Roman" w:hAnsi="Times New Roman"/>
          <w:sz w:val="24"/>
          <w:szCs w:val="24"/>
          <w:lang w:val="en-US"/>
        </w:rPr>
        <w:fldChar w:fldCharType="separate"/>
      </w:r>
      <w:r w:rsidRPr="005A720C">
        <w:rPr>
          <w:rFonts w:ascii="Times New Roman" w:hAnsi="Times New Roman"/>
          <w:noProof/>
          <w:sz w:val="24"/>
          <w:szCs w:val="24"/>
          <w:lang w:val="en-US"/>
        </w:rPr>
        <w:t>(Mersky, Sprei, Samaras, &amp; Qian, 2016)</w:t>
      </w:r>
      <w:r w:rsidRPr="005A720C">
        <w:rPr>
          <w:rFonts w:ascii="Times New Roman" w:hAnsi="Times New Roman"/>
          <w:sz w:val="24"/>
          <w:szCs w:val="24"/>
          <w:lang w:val="en-US"/>
        </w:rPr>
        <w:fldChar w:fldCharType="end"/>
      </w:r>
      <w:r w:rsidRPr="005A720C">
        <w:rPr>
          <w:rFonts w:ascii="Times New Roman" w:hAnsi="Times New Roman"/>
          <w:sz w:val="24"/>
          <w:szCs w:val="24"/>
          <w:lang w:val="en-US"/>
        </w:rPr>
        <w:t xml:space="preserve">. </w:t>
      </w:r>
      <w:r>
        <w:rPr>
          <w:rFonts w:ascii="Times New Roman" w:hAnsi="Times New Roman"/>
          <w:sz w:val="24"/>
          <w:szCs w:val="24"/>
          <w:lang w:val="en-US"/>
        </w:rPr>
        <w:t>The mentioned empirical research studied the cases of specific countries such as Norway, US or China</w:t>
      </w:r>
      <w:r w:rsidR="003E2B6C">
        <w:rPr>
          <w:rFonts w:ascii="Times New Roman" w:hAnsi="Times New Roman"/>
          <w:sz w:val="24"/>
          <w:szCs w:val="24"/>
          <w:lang w:val="en-US"/>
        </w:rPr>
        <w:t xml:space="preserve">; </w:t>
      </w:r>
      <w:r>
        <w:rPr>
          <w:rFonts w:ascii="Times New Roman" w:hAnsi="Times New Roman"/>
          <w:sz w:val="24"/>
          <w:szCs w:val="24"/>
          <w:lang w:val="en-US"/>
        </w:rPr>
        <w:t>a few stu</w:t>
      </w:r>
      <w:r w:rsidR="00CB509C">
        <w:rPr>
          <w:rFonts w:ascii="Times New Roman" w:hAnsi="Times New Roman"/>
          <w:sz w:val="24"/>
          <w:szCs w:val="24"/>
          <w:lang w:val="en-US"/>
        </w:rPr>
        <w:t>dies examined</w:t>
      </w:r>
      <w:r>
        <w:rPr>
          <w:rFonts w:ascii="Times New Roman" w:hAnsi="Times New Roman"/>
          <w:sz w:val="24"/>
          <w:szCs w:val="24"/>
          <w:lang w:val="en-US"/>
        </w:rPr>
        <w:t xml:space="preserve"> cross-country samples in their analysis. For example, </w:t>
      </w:r>
      <w:r>
        <w:rPr>
          <w:rFonts w:ascii="Times New Roman" w:hAnsi="Times New Roman"/>
          <w:sz w:val="24"/>
          <w:szCs w:val="24"/>
          <w:lang w:val="en-US"/>
        </w:rPr>
        <w:fldChar w:fldCharType="begin" w:fldLock="1"/>
      </w:r>
      <w:r w:rsidR="000277A9">
        <w:rPr>
          <w:rFonts w:ascii="Times New Roman" w:hAnsi="Times New Roman"/>
          <w:sz w:val="24"/>
          <w:szCs w:val="24"/>
          <w:lang w:val="en-US"/>
        </w:rPr>
        <w:instrText>ADDIN CSL_CITATION {"citationItems":[{"id":"ITEM-1","itemData":{"abstract":"At the current stage of plug-in electric vehicle (PEV) market development, sales rates vary dramatically across different countries and regions. For policy-makers and other stakeholders it is useful to understand the major social, economic, and policy drivers of vehicle adoption. This paper provides insights into the developing PEV markets in Norway, Netherlands, California, United States, France, Japan, and Germany. This is accomplished by applying a Technological Innovation System (TIS) approach that systematically identifies the role of different factors in promulgating new markets. Our comparison between markets shows that in all studied regions, sales of PEVs are supported through various types of government incentives, government resources, and other legitimation activities. However, regions with relatively strong PEV markets have a greater focus on market formation activities and relatively higher costs savings associated with operating an electric vehicle as compared to a conventional vehicle. To determine whether these factors are the primary determinants of PEV market shares, further research should be undertaken that also incorporates analysis related to the presence and government support for entrepreneurial activities related to electric vehicle innovation. Introduction","author":[{"dropping-particle":"","family":"Vergis","given":"Sydney","non-dropping-particle":"","parse-names":false,"suffix":""},{"dropping-particle":"","family":"Turrentine","given":"Thomas S","non-dropping-particle":"","parse-names":false,"suffix":""},{"dropping-particle":"","family":"Fulton","given":"Lewis","non-dropping-particle":"","parse-names":false,"suffix":""},{"dropping-particle":"","family":"Fulton","given":"Elizabeth","non-dropping-particle":"","parse-names":false,"suffix":""}],"id":"ITEM-1","issue":"October","issued":{"date-parts":[["2014"]]},"number-of-pages":"35","publisher-place":"Davis","title":"Plug-In Electric Vehicles : A Case Study of Seven Markets","type":"report"},"uris":["http://www.mendeley.com/documents/?uuid=6e1a4d39-f8c2-4c5a-8010-1dc7cdd35244"]}],"mendeley":{"formattedCitation":"(Vergis, Turrentine, Fulton, &amp; Fulton, 2014)","manualFormatting":"Vergis, Turrentine, Fulton, &amp; Fulton, 2014","plainTextFormattedCitation":"(Vergis, Turrentine, Fulton, &amp; Fulton, 2014)","previouslyFormattedCitation":"(Vergis, Turrentine, Fulton, &amp; Fulton, 2014)"},"properties":{"noteIndex":0},"schema":"https://github.com/citation-style-language/schema/raw/master/csl-citation.json"}</w:instrText>
      </w:r>
      <w:r>
        <w:rPr>
          <w:rFonts w:ascii="Times New Roman" w:hAnsi="Times New Roman"/>
          <w:sz w:val="24"/>
          <w:szCs w:val="24"/>
          <w:lang w:val="en-US"/>
        </w:rPr>
        <w:fldChar w:fldCharType="separate"/>
      </w:r>
      <w:r w:rsidRPr="007E2572">
        <w:rPr>
          <w:rFonts w:ascii="Times New Roman" w:hAnsi="Times New Roman"/>
          <w:noProof/>
          <w:sz w:val="24"/>
          <w:szCs w:val="24"/>
          <w:lang w:val="en-US"/>
        </w:rPr>
        <w:t>Vergis, Turrentine, Fulton, &amp; Fulton, 2014</w:t>
      </w:r>
      <w:r>
        <w:rPr>
          <w:rFonts w:ascii="Times New Roman" w:hAnsi="Times New Roman"/>
          <w:sz w:val="24"/>
          <w:szCs w:val="24"/>
          <w:lang w:val="en-US"/>
        </w:rPr>
        <w:fldChar w:fldCharType="end"/>
      </w:r>
      <w:r>
        <w:rPr>
          <w:rFonts w:ascii="Times New Roman" w:hAnsi="Times New Roman"/>
          <w:sz w:val="24"/>
          <w:szCs w:val="24"/>
          <w:lang w:val="en-US"/>
        </w:rPr>
        <w:t xml:space="preserve"> tried to understand the drivers of the EV markets in </w:t>
      </w:r>
      <w:r w:rsidR="003E2B6C">
        <w:rPr>
          <w:rFonts w:ascii="Times New Roman" w:hAnsi="Times New Roman"/>
          <w:sz w:val="24"/>
          <w:szCs w:val="24"/>
          <w:lang w:val="en-US"/>
        </w:rPr>
        <w:t>seven countries</w:t>
      </w:r>
      <w:r>
        <w:rPr>
          <w:rFonts w:ascii="Times New Roman" w:hAnsi="Times New Roman"/>
          <w:sz w:val="24"/>
          <w:szCs w:val="24"/>
          <w:lang w:val="en-US"/>
        </w:rPr>
        <w:t xml:space="preserve"> </w:t>
      </w:r>
      <w:r w:rsidRPr="00667EC8">
        <w:rPr>
          <w:rFonts w:ascii="Times New Roman" w:hAnsi="Times New Roman"/>
          <w:sz w:val="24"/>
          <w:szCs w:val="24"/>
          <w:lang w:val="en-US"/>
        </w:rPr>
        <w:t xml:space="preserve">applying a </w:t>
      </w:r>
      <w:r>
        <w:rPr>
          <w:rFonts w:ascii="Times New Roman" w:hAnsi="Times New Roman"/>
          <w:sz w:val="24"/>
          <w:szCs w:val="24"/>
          <w:lang w:val="en-US"/>
        </w:rPr>
        <w:t xml:space="preserve">qualitative </w:t>
      </w:r>
      <w:r w:rsidRPr="00667EC8">
        <w:rPr>
          <w:rFonts w:ascii="Times New Roman" w:hAnsi="Times New Roman"/>
          <w:sz w:val="24"/>
          <w:szCs w:val="24"/>
          <w:lang w:val="en-US"/>
        </w:rPr>
        <w:t>Technological Innovation System (TIS) approach</w:t>
      </w:r>
      <w:r>
        <w:rPr>
          <w:rFonts w:ascii="Times New Roman" w:hAnsi="Times New Roman"/>
          <w:sz w:val="24"/>
          <w:szCs w:val="24"/>
          <w:lang w:val="en-US"/>
        </w:rPr>
        <w:t xml:space="preserve">. </w:t>
      </w:r>
    </w:p>
    <w:p w:rsidR="00164D8E" w:rsidRDefault="00164D8E" w:rsidP="00CE182C">
      <w:pPr>
        <w:spacing w:after="120" w:line="360" w:lineRule="auto"/>
        <w:jc w:val="both"/>
        <w:rPr>
          <w:rFonts w:ascii="Times New Roman" w:hAnsi="Times New Roman"/>
          <w:sz w:val="24"/>
          <w:szCs w:val="24"/>
          <w:lang w:val="en-US"/>
        </w:rPr>
      </w:pPr>
      <w:r w:rsidRPr="00587276">
        <w:rPr>
          <w:rFonts w:ascii="Times New Roman" w:hAnsi="Times New Roman"/>
          <w:sz w:val="24"/>
          <w:szCs w:val="24"/>
          <w:lang w:val="en-US"/>
        </w:rPr>
        <w:t>Just one study (</w:t>
      </w:r>
      <w:proofErr w:type="spellStart"/>
      <w:r w:rsidRPr="00587276">
        <w:rPr>
          <w:rFonts w:ascii="Times New Roman" w:hAnsi="Times New Roman"/>
          <w:noProof/>
          <w:sz w:val="24"/>
          <w:szCs w:val="24"/>
          <w:lang w:val="en-US"/>
        </w:rPr>
        <w:t>Sierzchula</w:t>
      </w:r>
      <w:proofErr w:type="spellEnd"/>
      <w:r w:rsidRPr="00587276">
        <w:rPr>
          <w:rFonts w:ascii="Times New Roman" w:hAnsi="Times New Roman"/>
          <w:noProof/>
          <w:sz w:val="24"/>
          <w:szCs w:val="24"/>
          <w:lang w:val="en-US"/>
        </w:rPr>
        <w:t xml:space="preserve"> et al., 2014)</w:t>
      </w:r>
      <w:r w:rsidRPr="00587276">
        <w:rPr>
          <w:rFonts w:ascii="Times New Roman" w:hAnsi="Times New Roman"/>
          <w:sz w:val="24"/>
          <w:szCs w:val="24"/>
          <w:lang w:val="en-US"/>
        </w:rPr>
        <w:t xml:space="preserve"> was found that conducted a global empirical analysis of the factors identified in the stated preference s</w:t>
      </w:r>
      <w:r w:rsidR="00192EDC" w:rsidRPr="00587276">
        <w:rPr>
          <w:rFonts w:ascii="Times New Roman" w:hAnsi="Times New Roman"/>
          <w:sz w:val="24"/>
          <w:szCs w:val="24"/>
          <w:lang w:val="en-US"/>
        </w:rPr>
        <w:t>urveys</w:t>
      </w:r>
      <w:r w:rsidRPr="00587276">
        <w:rPr>
          <w:rFonts w:ascii="Times New Roman" w:hAnsi="Times New Roman"/>
          <w:sz w:val="24"/>
          <w:szCs w:val="24"/>
          <w:lang w:val="en-US"/>
        </w:rPr>
        <w:t>. However, this analysis</w:t>
      </w:r>
      <w:r w:rsidR="000277A9" w:rsidRPr="00587276">
        <w:rPr>
          <w:rFonts w:ascii="Times New Roman" w:hAnsi="Times New Roman"/>
          <w:sz w:val="24"/>
          <w:szCs w:val="24"/>
          <w:lang w:val="en-US"/>
        </w:rPr>
        <w:t xml:space="preserve"> lacks </w:t>
      </w:r>
      <w:r w:rsidR="000277A9" w:rsidRPr="00587276">
        <w:rPr>
          <w:rFonts w:ascii="Times New Roman" w:hAnsi="Times New Roman"/>
          <w:sz w:val="24"/>
          <w:szCs w:val="24"/>
          <w:lang w:val="en-US"/>
        </w:rPr>
        <w:lastRenderedPageBreak/>
        <w:t>multidimensionality since</w:t>
      </w:r>
      <w:r w:rsidR="000277A9">
        <w:rPr>
          <w:rFonts w:ascii="Times New Roman" w:hAnsi="Times New Roman"/>
          <w:sz w:val="24"/>
          <w:szCs w:val="24"/>
          <w:lang w:val="en-US"/>
        </w:rPr>
        <w:t xml:space="preserve"> it does not</w:t>
      </w:r>
      <w:r>
        <w:rPr>
          <w:rFonts w:ascii="Times New Roman" w:hAnsi="Times New Roman"/>
          <w:sz w:val="24"/>
          <w:szCs w:val="24"/>
          <w:lang w:val="en-US"/>
        </w:rPr>
        <w:t xml:space="preserve"> consider the EV-specific variables like driving range, price, variability in EV policy incentives depending on the </w:t>
      </w:r>
      <w:r w:rsidR="000277A9">
        <w:rPr>
          <w:rFonts w:ascii="Times New Roman" w:hAnsi="Times New Roman"/>
          <w:sz w:val="24"/>
          <w:szCs w:val="24"/>
          <w:lang w:val="en-US"/>
        </w:rPr>
        <w:t xml:space="preserve">country </w:t>
      </w:r>
      <w:r>
        <w:rPr>
          <w:rFonts w:ascii="Times New Roman" w:hAnsi="Times New Roman"/>
          <w:sz w:val="24"/>
          <w:szCs w:val="24"/>
          <w:lang w:val="en-US"/>
        </w:rPr>
        <w:t>(</w:t>
      </w:r>
      <w:r w:rsidR="00CB509C">
        <w:rPr>
          <w:rFonts w:ascii="Times New Roman" w:hAnsi="Times New Roman"/>
          <w:sz w:val="24"/>
          <w:szCs w:val="24"/>
          <w:lang w:val="en-US"/>
        </w:rPr>
        <w:t xml:space="preserve">i.e. </w:t>
      </w:r>
      <w:r>
        <w:rPr>
          <w:rFonts w:ascii="Times New Roman" w:hAnsi="Times New Roman"/>
          <w:sz w:val="24"/>
          <w:szCs w:val="24"/>
          <w:lang w:val="en-US"/>
        </w:rPr>
        <w:t xml:space="preserve">in some countries, the amount of </w:t>
      </w:r>
      <w:r w:rsidR="00C94149">
        <w:rPr>
          <w:rFonts w:ascii="Times New Roman" w:hAnsi="Times New Roman"/>
          <w:sz w:val="24"/>
          <w:szCs w:val="24"/>
          <w:lang w:val="en-US"/>
        </w:rPr>
        <w:t xml:space="preserve">a </w:t>
      </w:r>
      <w:r>
        <w:rPr>
          <w:rFonts w:ascii="Times New Roman" w:hAnsi="Times New Roman"/>
          <w:sz w:val="24"/>
          <w:szCs w:val="24"/>
          <w:lang w:val="en-US"/>
        </w:rPr>
        <w:t xml:space="preserve">government grant is calculated based on the EV driving range) and </w:t>
      </w:r>
      <w:r w:rsidR="00C94149">
        <w:rPr>
          <w:rFonts w:ascii="Times New Roman" w:hAnsi="Times New Roman"/>
          <w:sz w:val="24"/>
          <w:szCs w:val="24"/>
          <w:lang w:val="en-US"/>
        </w:rPr>
        <w:t xml:space="preserve">the variation in the extent to which charging infrastructure was rolled out. </w:t>
      </w:r>
      <w:r w:rsidR="007F163D">
        <w:rPr>
          <w:rFonts w:ascii="Times New Roman" w:hAnsi="Times New Roman"/>
          <w:sz w:val="24"/>
          <w:szCs w:val="24"/>
          <w:lang w:val="en-US"/>
        </w:rPr>
        <w:t xml:space="preserve">In addition, </w:t>
      </w:r>
      <w:r w:rsidR="00C94149">
        <w:rPr>
          <w:rFonts w:ascii="Times New Roman" w:hAnsi="Times New Roman"/>
          <w:sz w:val="24"/>
          <w:szCs w:val="24"/>
          <w:lang w:val="en-US"/>
        </w:rPr>
        <w:t xml:space="preserve">it is rather early to include </w:t>
      </w:r>
      <w:r>
        <w:rPr>
          <w:rFonts w:ascii="Times New Roman" w:hAnsi="Times New Roman"/>
          <w:sz w:val="24"/>
          <w:szCs w:val="24"/>
          <w:lang w:val="en-US"/>
        </w:rPr>
        <w:t>socio-economic variables, since the market shares are still very small</w:t>
      </w:r>
      <w:r w:rsidR="00CB509C">
        <w:rPr>
          <w:rFonts w:ascii="Times New Roman" w:hAnsi="Times New Roman"/>
          <w:sz w:val="24"/>
          <w:szCs w:val="24"/>
          <w:lang w:val="en-US"/>
        </w:rPr>
        <w:t xml:space="preserve"> and generated by early adopters</w:t>
      </w:r>
      <w:r>
        <w:rPr>
          <w:rFonts w:ascii="Times New Roman" w:hAnsi="Times New Roman"/>
          <w:sz w:val="24"/>
          <w:szCs w:val="24"/>
          <w:lang w:val="en-US"/>
        </w:rPr>
        <w:t xml:space="preserve">. </w:t>
      </w:r>
      <w:r w:rsidR="00C94149">
        <w:rPr>
          <w:rFonts w:ascii="Times New Roman" w:hAnsi="Times New Roman"/>
          <w:sz w:val="24"/>
          <w:szCs w:val="24"/>
          <w:lang w:val="en-US"/>
        </w:rPr>
        <w:t xml:space="preserve">The </w:t>
      </w:r>
      <w:r>
        <w:rPr>
          <w:rFonts w:ascii="Times New Roman" w:hAnsi="Times New Roman"/>
          <w:sz w:val="24"/>
          <w:szCs w:val="24"/>
          <w:lang w:val="en-US"/>
        </w:rPr>
        <w:t>characteristics</w:t>
      </w:r>
      <w:r w:rsidR="00C94149">
        <w:rPr>
          <w:rFonts w:ascii="Times New Roman" w:hAnsi="Times New Roman"/>
          <w:sz w:val="24"/>
          <w:szCs w:val="24"/>
          <w:lang w:val="en-US"/>
        </w:rPr>
        <w:t xml:space="preserve"> of early adopters</w:t>
      </w:r>
      <w:r>
        <w:rPr>
          <w:rFonts w:ascii="Times New Roman" w:hAnsi="Times New Roman"/>
          <w:sz w:val="24"/>
          <w:szCs w:val="24"/>
          <w:lang w:val="en-US"/>
        </w:rPr>
        <w:t xml:space="preserve"> are not representative</w:t>
      </w:r>
      <w:r w:rsidR="00C94149">
        <w:rPr>
          <w:rFonts w:ascii="Times New Roman" w:hAnsi="Times New Roman"/>
          <w:sz w:val="24"/>
          <w:szCs w:val="24"/>
          <w:lang w:val="en-US"/>
        </w:rPr>
        <w:t xml:space="preserve"> of the population</w:t>
      </w:r>
      <w:r>
        <w:rPr>
          <w:rFonts w:ascii="Times New Roman" w:hAnsi="Times New Roman"/>
          <w:sz w:val="24"/>
          <w:szCs w:val="24"/>
          <w:lang w:val="en-US"/>
        </w:rPr>
        <w:t xml:space="preserve"> and </w:t>
      </w:r>
      <w:r w:rsidR="007F163D">
        <w:rPr>
          <w:rFonts w:ascii="Times New Roman" w:hAnsi="Times New Roman"/>
          <w:sz w:val="24"/>
          <w:szCs w:val="24"/>
          <w:lang w:val="en-US"/>
        </w:rPr>
        <w:t>cannot become</w:t>
      </w:r>
      <w:r>
        <w:rPr>
          <w:rFonts w:ascii="Times New Roman" w:hAnsi="Times New Roman"/>
          <w:sz w:val="24"/>
          <w:szCs w:val="24"/>
          <w:lang w:val="en-US"/>
        </w:rPr>
        <w:t xml:space="preserve"> good indicator</w:t>
      </w:r>
      <w:r w:rsidR="007F163D">
        <w:rPr>
          <w:rFonts w:ascii="Times New Roman" w:hAnsi="Times New Roman"/>
          <w:sz w:val="24"/>
          <w:szCs w:val="24"/>
          <w:lang w:val="en-US"/>
        </w:rPr>
        <w:t>s</w:t>
      </w:r>
      <w:r>
        <w:rPr>
          <w:rFonts w:ascii="Times New Roman" w:hAnsi="Times New Roman"/>
          <w:sz w:val="24"/>
          <w:szCs w:val="24"/>
          <w:lang w:val="en-US"/>
        </w:rPr>
        <w:t xml:space="preserve"> of adoption levels when comparing countries. At the current stage of </w:t>
      </w:r>
      <w:r w:rsidR="007F163D">
        <w:rPr>
          <w:rFonts w:ascii="Times New Roman" w:hAnsi="Times New Roman"/>
          <w:sz w:val="24"/>
          <w:szCs w:val="24"/>
          <w:lang w:val="en-US"/>
        </w:rPr>
        <w:t xml:space="preserve">the </w:t>
      </w:r>
      <w:r>
        <w:rPr>
          <w:rFonts w:ascii="Times New Roman" w:hAnsi="Times New Roman"/>
          <w:sz w:val="24"/>
          <w:szCs w:val="24"/>
          <w:lang w:val="en-US"/>
        </w:rPr>
        <w:t xml:space="preserve">EV diffusion, </w:t>
      </w:r>
      <w:r w:rsidR="00CB509C">
        <w:rPr>
          <w:rFonts w:ascii="Times New Roman" w:hAnsi="Times New Roman"/>
          <w:sz w:val="24"/>
          <w:szCs w:val="24"/>
          <w:lang w:val="en-US"/>
        </w:rPr>
        <w:t>EV</w:t>
      </w:r>
      <w:r w:rsidR="007F163D">
        <w:rPr>
          <w:rFonts w:ascii="Times New Roman" w:hAnsi="Times New Roman"/>
          <w:sz w:val="24"/>
          <w:szCs w:val="24"/>
          <w:lang w:val="en-US"/>
        </w:rPr>
        <w:t>-</w:t>
      </w:r>
      <w:r>
        <w:rPr>
          <w:rFonts w:ascii="Times New Roman" w:hAnsi="Times New Roman"/>
          <w:sz w:val="24"/>
          <w:szCs w:val="24"/>
          <w:lang w:val="en-US"/>
        </w:rPr>
        <w:t xml:space="preserve"> and context-specific characteristics are more accurate factors for the estimation of</w:t>
      </w:r>
      <w:r w:rsidR="007F163D">
        <w:rPr>
          <w:rFonts w:ascii="Times New Roman" w:hAnsi="Times New Roman"/>
          <w:sz w:val="24"/>
          <w:szCs w:val="24"/>
          <w:lang w:val="en-US"/>
        </w:rPr>
        <w:t xml:space="preserve"> </w:t>
      </w:r>
      <w:r w:rsidR="00CB509C">
        <w:rPr>
          <w:rFonts w:ascii="Times New Roman" w:hAnsi="Times New Roman"/>
          <w:sz w:val="24"/>
          <w:szCs w:val="24"/>
          <w:lang w:val="en-US"/>
        </w:rPr>
        <w:t xml:space="preserve">the </w:t>
      </w:r>
      <w:r w:rsidR="007F163D">
        <w:rPr>
          <w:rFonts w:ascii="Times New Roman" w:hAnsi="Times New Roman"/>
          <w:sz w:val="24"/>
          <w:szCs w:val="24"/>
          <w:lang w:val="en-US"/>
        </w:rPr>
        <w:t>EV adoption rates</w:t>
      </w:r>
      <w:r>
        <w:rPr>
          <w:rFonts w:ascii="Times New Roman" w:hAnsi="Times New Roman"/>
          <w:sz w:val="24"/>
          <w:szCs w:val="24"/>
          <w:lang w:val="en-US"/>
        </w:rPr>
        <w:t xml:space="preserve">. </w:t>
      </w:r>
    </w:p>
    <w:p w:rsidR="00164D8E" w:rsidRPr="00787809" w:rsidRDefault="00164D8E"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In turn, </w:t>
      </w:r>
      <w:r w:rsidR="002F6A67">
        <w:rPr>
          <w:rFonts w:ascii="Times New Roman" w:hAnsi="Times New Roman"/>
          <w:sz w:val="24"/>
          <w:szCs w:val="24"/>
          <w:lang w:val="en-US"/>
        </w:rPr>
        <w:t>numerous</w:t>
      </w:r>
      <w:r>
        <w:rPr>
          <w:rFonts w:ascii="Times New Roman" w:hAnsi="Times New Roman"/>
          <w:sz w:val="24"/>
          <w:szCs w:val="24"/>
          <w:lang w:val="en-US"/>
        </w:rPr>
        <w:t xml:space="preserve"> studies tried to model the process of EV diffusion with scenario techniques </w:t>
      </w:r>
      <w:r w:rsidRPr="00787809">
        <w:rPr>
          <w:rFonts w:ascii="Times New Roman" w:hAnsi="Times New Roman"/>
          <w:sz w:val="24"/>
          <w:szCs w:val="24"/>
          <w:lang w:val="en-US"/>
        </w:rPr>
        <w:t xml:space="preserve">(BCG, 2011; </w:t>
      </w:r>
      <w:proofErr w:type="spellStart"/>
      <w:r w:rsidRPr="00787809">
        <w:rPr>
          <w:rFonts w:ascii="Times New Roman" w:hAnsi="Times New Roman"/>
          <w:sz w:val="24"/>
          <w:szCs w:val="24"/>
          <w:lang w:val="en-US"/>
        </w:rPr>
        <w:t>Berhart</w:t>
      </w:r>
      <w:proofErr w:type="spellEnd"/>
      <w:r w:rsidRPr="00787809">
        <w:rPr>
          <w:rFonts w:ascii="Times New Roman" w:hAnsi="Times New Roman"/>
          <w:sz w:val="24"/>
          <w:szCs w:val="24"/>
          <w:lang w:val="en-US"/>
        </w:rPr>
        <w:t xml:space="preserve">, </w:t>
      </w:r>
      <w:proofErr w:type="spellStart"/>
      <w:r w:rsidRPr="00787809">
        <w:rPr>
          <w:rFonts w:ascii="Times New Roman" w:hAnsi="Times New Roman"/>
          <w:sz w:val="24"/>
          <w:szCs w:val="24"/>
          <w:lang w:val="en-US"/>
        </w:rPr>
        <w:t>Kleimann</w:t>
      </w:r>
      <w:proofErr w:type="spellEnd"/>
      <w:r w:rsidRPr="00787809">
        <w:rPr>
          <w:rFonts w:ascii="Times New Roman" w:hAnsi="Times New Roman"/>
          <w:sz w:val="24"/>
          <w:szCs w:val="24"/>
          <w:lang w:val="en-US"/>
        </w:rPr>
        <w:t xml:space="preserve"> &amp; Hoffmann, 2011; Bharat Book, 2014; CARB, 2011; Dunne, 2013; Element Energy, 2013; ETS Insights, 2014; Greene et al., 2013, 2014 ; IEA, 2011; IEA, 2013b; </w:t>
      </w:r>
      <w:proofErr w:type="spellStart"/>
      <w:r w:rsidRPr="00787809">
        <w:rPr>
          <w:rFonts w:ascii="Times New Roman" w:hAnsi="Times New Roman"/>
          <w:sz w:val="24"/>
          <w:szCs w:val="24"/>
          <w:lang w:val="en-US"/>
        </w:rPr>
        <w:t>Malins</w:t>
      </w:r>
      <w:proofErr w:type="spellEnd"/>
      <w:r w:rsidRPr="00787809">
        <w:rPr>
          <w:rFonts w:ascii="Times New Roman" w:hAnsi="Times New Roman"/>
          <w:sz w:val="24"/>
          <w:szCs w:val="24"/>
          <w:lang w:val="en-US"/>
        </w:rPr>
        <w:t xml:space="preserve"> et al., 2015; McKinsey, 2014; Navigant, 2013, 2014; NRC, 2013)</w:t>
      </w:r>
      <w:r>
        <w:rPr>
          <w:rFonts w:ascii="Times New Roman" w:hAnsi="Times New Roman"/>
          <w:sz w:val="24"/>
          <w:szCs w:val="24"/>
          <w:lang w:val="en-US"/>
        </w:rPr>
        <w:t xml:space="preserve">. Studies that assumed greater technical advancement and higher policy support indicated </w:t>
      </w:r>
      <w:r w:rsidR="00C94149">
        <w:rPr>
          <w:rFonts w:ascii="Times New Roman" w:hAnsi="Times New Roman"/>
          <w:sz w:val="24"/>
          <w:szCs w:val="24"/>
          <w:lang w:val="en-US"/>
        </w:rPr>
        <w:t xml:space="preserve">that </w:t>
      </w:r>
      <w:r>
        <w:rPr>
          <w:rFonts w:ascii="Times New Roman" w:hAnsi="Times New Roman"/>
          <w:sz w:val="24"/>
          <w:szCs w:val="24"/>
          <w:lang w:val="en-US"/>
        </w:rPr>
        <w:t>20-50% EV market shares were possible in leading markets in 2025-2030. On the other hand, lower policy support and technical advancement would translate into still very low market shares of 5-10% in the same time horizon (</w:t>
      </w:r>
      <w:proofErr w:type="spellStart"/>
      <w:r>
        <w:rPr>
          <w:rFonts w:ascii="Times New Roman" w:hAnsi="Times New Roman"/>
          <w:sz w:val="24"/>
          <w:szCs w:val="24"/>
          <w:lang w:val="en-US"/>
        </w:rPr>
        <w:t>Lutsey</w:t>
      </w:r>
      <w:proofErr w:type="spellEnd"/>
      <w:r>
        <w:rPr>
          <w:rFonts w:ascii="Times New Roman" w:hAnsi="Times New Roman"/>
          <w:sz w:val="24"/>
          <w:szCs w:val="24"/>
          <w:lang w:val="en-US"/>
        </w:rPr>
        <w:t xml:space="preserve">, 2015). </w:t>
      </w:r>
      <w:r w:rsidRPr="00787809">
        <w:rPr>
          <w:rFonts w:ascii="Times New Roman" w:hAnsi="Times New Roman"/>
          <w:sz w:val="24"/>
          <w:szCs w:val="24"/>
          <w:lang w:val="en-US"/>
        </w:rPr>
        <w:t>These models</w:t>
      </w:r>
      <w:r w:rsidR="002309FF">
        <w:rPr>
          <w:rFonts w:ascii="Times New Roman" w:hAnsi="Times New Roman"/>
          <w:sz w:val="24"/>
          <w:szCs w:val="24"/>
          <w:lang w:val="en-US"/>
        </w:rPr>
        <w:t xml:space="preserve"> aimed at</w:t>
      </w:r>
      <w:r w:rsidRPr="00787809">
        <w:rPr>
          <w:rFonts w:ascii="Times New Roman" w:hAnsi="Times New Roman"/>
          <w:sz w:val="24"/>
          <w:szCs w:val="24"/>
          <w:lang w:val="en-US"/>
        </w:rPr>
        <w:t xml:space="preserve"> </w:t>
      </w:r>
      <w:r>
        <w:rPr>
          <w:rFonts w:ascii="Times New Roman" w:hAnsi="Times New Roman"/>
          <w:sz w:val="24"/>
          <w:szCs w:val="24"/>
          <w:lang w:val="en-US"/>
        </w:rPr>
        <w:t>predict</w:t>
      </w:r>
      <w:r w:rsidR="002309FF">
        <w:rPr>
          <w:rFonts w:ascii="Times New Roman" w:hAnsi="Times New Roman"/>
          <w:sz w:val="24"/>
          <w:szCs w:val="24"/>
          <w:lang w:val="en-US"/>
        </w:rPr>
        <w:t>ing</w:t>
      </w:r>
      <w:r w:rsidRPr="00787809">
        <w:rPr>
          <w:rFonts w:ascii="Times New Roman" w:hAnsi="Times New Roman"/>
          <w:sz w:val="24"/>
          <w:szCs w:val="24"/>
          <w:lang w:val="en-US"/>
        </w:rPr>
        <w:t xml:space="preserve"> the long-term development of the </w:t>
      </w:r>
      <w:r w:rsidR="002309FF">
        <w:rPr>
          <w:rFonts w:ascii="Times New Roman" w:hAnsi="Times New Roman"/>
          <w:sz w:val="24"/>
          <w:szCs w:val="24"/>
          <w:lang w:val="en-US"/>
        </w:rPr>
        <w:t>EV</w:t>
      </w:r>
      <w:r w:rsidRPr="00787809">
        <w:rPr>
          <w:rFonts w:ascii="Times New Roman" w:hAnsi="Times New Roman"/>
          <w:sz w:val="24"/>
          <w:szCs w:val="24"/>
          <w:lang w:val="en-US"/>
        </w:rPr>
        <w:t xml:space="preserve"> market depending on the changes in technology</w:t>
      </w:r>
      <w:r w:rsidR="002309FF">
        <w:rPr>
          <w:rFonts w:ascii="Times New Roman" w:hAnsi="Times New Roman"/>
          <w:sz w:val="24"/>
          <w:szCs w:val="24"/>
          <w:lang w:val="en-US"/>
        </w:rPr>
        <w:t xml:space="preserve"> and </w:t>
      </w:r>
      <w:r w:rsidRPr="00787809">
        <w:rPr>
          <w:rFonts w:ascii="Times New Roman" w:hAnsi="Times New Roman"/>
          <w:sz w:val="24"/>
          <w:szCs w:val="24"/>
          <w:lang w:val="en-US"/>
        </w:rPr>
        <w:t xml:space="preserve">policies. </w:t>
      </w:r>
      <w:r>
        <w:rPr>
          <w:rFonts w:ascii="Times New Roman" w:hAnsi="Times New Roman"/>
          <w:sz w:val="24"/>
          <w:szCs w:val="24"/>
          <w:lang w:val="en-US"/>
        </w:rPr>
        <w:t xml:space="preserve">However, </w:t>
      </w:r>
      <w:r w:rsidR="002309FF">
        <w:rPr>
          <w:rFonts w:ascii="Times New Roman" w:hAnsi="Times New Roman"/>
          <w:sz w:val="24"/>
          <w:szCs w:val="24"/>
          <w:lang w:val="en-US"/>
        </w:rPr>
        <w:t>it is questionable if</w:t>
      </w:r>
      <w:r>
        <w:rPr>
          <w:rFonts w:ascii="Times New Roman" w:hAnsi="Times New Roman"/>
          <w:sz w:val="24"/>
          <w:szCs w:val="24"/>
          <w:lang w:val="en-US"/>
        </w:rPr>
        <w:t xml:space="preserve"> </w:t>
      </w:r>
      <w:r w:rsidR="002309FF">
        <w:rPr>
          <w:rFonts w:ascii="Times New Roman" w:hAnsi="Times New Roman"/>
          <w:sz w:val="24"/>
          <w:szCs w:val="24"/>
          <w:lang w:val="en-US"/>
        </w:rPr>
        <w:t>these</w:t>
      </w:r>
      <w:r>
        <w:rPr>
          <w:rFonts w:ascii="Times New Roman" w:hAnsi="Times New Roman"/>
          <w:sz w:val="24"/>
          <w:szCs w:val="24"/>
          <w:lang w:val="en-US"/>
        </w:rPr>
        <w:t xml:space="preserve"> models </w:t>
      </w:r>
      <w:r w:rsidR="002309FF">
        <w:rPr>
          <w:rFonts w:ascii="Times New Roman" w:hAnsi="Times New Roman"/>
          <w:sz w:val="24"/>
          <w:szCs w:val="24"/>
          <w:lang w:val="en-US"/>
        </w:rPr>
        <w:t xml:space="preserve">can </w:t>
      </w:r>
      <w:r w:rsidR="007F163D">
        <w:rPr>
          <w:rFonts w:ascii="Times New Roman" w:hAnsi="Times New Roman"/>
          <w:sz w:val="24"/>
          <w:szCs w:val="24"/>
          <w:lang w:val="en-US"/>
        </w:rPr>
        <w:t xml:space="preserve">provide </w:t>
      </w:r>
      <w:r w:rsidR="002309FF">
        <w:rPr>
          <w:rFonts w:ascii="Times New Roman" w:hAnsi="Times New Roman"/>
          <w:sz w:val="24"/>
          <w:szCs w:val="24"/>
          <w:lang w:val="en-US"/>
        </w:rPr>
        <w:t>reliable</w:t>
      </w:r>
      <w:r>
        <w:rPr>
          <w:rFonts w:ascii="Times New Roman" w:hAnsi="Times New Roman"/>
          <w:sz w:val="24"/>
          <w:szCs w:val="24"/>
          <w:lang w:val="en-US"/>
        </w:rPr>
        <w:t xml:space="preserve"> results, given that at this stage electric drive technology and markets develop very fast. In 2025-2030, </w:t>
      </w:r>
      <w:r w:rsidR="002309FF">
        <w:rPr>
          <w:rFonts w:ascii="Times New Roman" w:hAnsi="Times New Roman"/>
          <w:sz w:val="24"/>
          <w:szCs w:val="24"/>
          <w:lang w:val="en-US"/>
        </w:rPr>
        <w:t>EVs</w:t>
      </w:r>
      <w:r>
        <w:rPr>
          <w:rFonts w:ascii="Times New Roman" w:hAnsi="Times New Roman"/>
          <w:sz w:val="24"/>
          <w:szCs w:val="24"/>
          <w:lang w:val="en-US"/>
        </w:rPr>
        <w:t xml:space="preserve"> will presumably have different specifications and prices, not comparable to current models. </w:t>
      </w:r>
    </w:p>
    <w:p w:rsidR="00972D49" w:rsidRDefault="00164D8E" w:rsidP="00CE182C">
      <w:pPr>
        <w:pStyle w:val="2"/>
        <w:jc w:val="both"/>
        <w:rPr>
          <w:lang w:val="en-US"/>
        </w:rPr>
      </w:pPr>
      <w:bookmarkStart w:id="16" w:name="_Toc535248652"/>
      <w:r>
        <w:rPr>
          <w:lang w:val="en-US"/>
        </w:rPr>
        <w:t>The aim</w:t>
      </w:r>
      <w:r w:rsidR="009F7EDA">
        <w:rPr>
          <w:lang w:val="en-US"/>
        </w:rPr>
        <w:t xml:space="preserve"> of the paper</w:t>
      </w:r>
      <w:r>
        <w:rPr>
          <w:lang w:val="en-US"/>
        </w:rPr>
        <w:t>, r</w:t>
      </w:r>
      <w:r w:rsidR="00972D49" w:rsidRPr="00F01C3C">
        <w:rPr>
          <w:lang w:val="en-US"/>
        </w:rPr>
        <w:t>esearch questions</w:t>
      </w:r>
      <w:r w:rsidR="000C4748">
        <w:rPr>
          <w:lang w:val="en-US"/>
        </w:rPr>
        <w:t>, hypotheses and novelty</w:t>
      </w:r>
      <w:bookmarkEnd w:id="16"/>
    </w:p>
    <w:p w:rsidR="000C4748" w:rsidRDefault="00274243"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Having </w:t>
      </w:r>
      <w:r w:rsidR="003E5DB7">
        <w:rPr>
          <w:rFonts w:ascii="Times New Roman" w:hAnsi="Times New Roman"/>
          <w:sz w:val="24"/>
          <w:szCs w:val="24"/>
          <w:lang w:val="en-US"/>
        </w:rPr>
        <w:t>explored previous studies</w:t>
      </w:r>
      <w:r w:rsidR="00DE6CEF">
        <w:rPr>
          <w:rFonts w:ascii="Times New Roman" w:hAnsi="Times New Roman"/>
          <w:sz w:val="24"/>
          <w:szCs w:val="24"/>
          <w:lang w:val="en-US"/>
        </w:rPr>
        <w:t>,</w:t>
      </w:r>
      <w:r w:rsidR="000C4748">
        <w:rPr>
          <w:rFonts w:ascii="Times New Roman" w:hAnsi="Times New Roman"/>
          <w:sz w:val="24"/>
          <w:szCs w:val="24"/>
          <w:lang w:val="en-US"/>
        </w:rPr>
        <w:t xml:space="preserve"> </w:t>
      </w:r>
      <w:r w:rsidR="003E5DB7">
        <w:rPr>
          <w:rFonts w:ascii="Times New Roman" w:hAnsi="Times New Roman"/>
          <w:sz w:val="24"/>
          <w:szCs w:val="24"/>
          <w:lang w:val="en-US"/>
        </w:rPr>
        <w:t xml:space="preserve">we will concentrate on </w:t>
      </w:r>
      <w:r w:rsidR="00DE6CEF">
        <w:rPr>
          <w:rFonts w:ascii="Times New Roman" w:hAnsi="Times New Roman"/>
          <w:sz w:val="24"/>
          <w:szCs w:val="24"/>
          <w:lang w:val="en-US"/>
        </w:rPr>
        <w:t>t</w:t>
      </w:r>
      <w:r w:rsidR="000C4748">
        <w:rPr>
          <w:rFonts w:ascii="Times New Roman" w:hAnsi="Times New Roman"/>
          <w:sz w:val="24"/>
          <w:szCs w:val="24"/>
          <w:lang w:val="en-US"/>
        </w:rPr>
        <w:t>he following questions:</w:t>
      </w:r>
    </w:p>
    <w:p w:rsidR="000C4748" w:rsidRPr="007F163D" w:rsidRDefault="00E9425D" w:rsidP="00CE182C">
      <w:pPr>
        <w:pStyle w:val="a"/>
        <w:numPr>
          <w:ilvl w:val="0"/>
          <w:numId w:val="37"/>
        </w:numPr>
        <w:spacing w:after="120" w:line="360" w:lineRule="auto"/>
        <w:jc w:val="both"/>
        <w:rPr>
          <w:rFonts w:ascii="Times New Roman" w:hAnsi="Times New Roman"/>
          <w:sz w:val="24"/>
          <w:szCs w:val="24"/>
          <w:lang w:val="en-US"/>
        </w:rPr>
      </w:pPr>
      <w:bookmarkStart w:id="17" w:name="_Hlk533424116"/>
      <w:r w:rsidRPr="007F163D">
        <w:rPr>
          <w:rFonts w:ascii="Times New Roman" w:hAnsi="Times New Roman"/>
          <w:sz w:val="24"/>
          <w:szCs w:val="24"/>
          <w:lang w:val="en-US"/>
        </w:rPr>
        <w:t xml:space="preserve">If and which countries are significantly different from others in terms of </w:t>
      </w:r>
      <w:r w:rsidR="000C4748" w:rsidRPr="007F163D">
        <w:rPr>
          <w:rFonts w:ascii="Times New Roman" w:hAnsi="Times New Roman"/>
          <w:sz w:val="24"/>
          <w:szCs w:val="24"/>
          <w:lang w:val="en-US"/>
        </w:rPr>
        <w:t>t</w:t>
      </w:r>
      <w:r w:rsidR="00B11EED">
        <w:rPr>
          <w:rFonts w:ascii="Times New Roman" w:hAnsi="Times New Roman"/>
          <w:sz w:val="24"/>
          <w:szCs w:val="24"/>
          <w:lang w:val="en-US"/>
        </w:rPr>
        <w:t xml:space="preserve">he </w:t>
      </w:r>
      <w:r w:rsidR="002F6A67">
        <w:rPr>
          <w:rFonts w:ascii="Times New Roman" w:hAnsi="Times New Roman"/>
          <w:sz w:val="24"/>
          <w:szCs w:val="24"/>
          <w:lang w:val="en-US"/>
        </w:rPr>
        <w:t>BEV market shares</w:t>
      </w:r>
      <w:r w:rsidRPr="007F163D">
        <w:rPr>
          <w:rFonts w:ascii="Times New Roman" w:hAnsi="Times New Roman"/>
          <w:sz w:val="24"/>
          <w:szCs w:val="24"/>
          <w:lang w:val="en-US"/>
        </w:rPr>
        <w:t xml:space="preserve">? </w:t>
      </w:r>
    </w:p>
    <w:p w:rsidR="000C4748" w:rsidRDefault="000C4748" w:rsidP="00CE182C">
      <w:pPr>
        <w:pStyle w:val="a"/>
        <w:numPr>
          <w:ilvl w:val="0"/>
          <w:numId w:val="37"/>
        </w:num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What are the factors positively influencing adoption rates? Primarily the role of the government policy: if and </w:t>
      </w:r>
      <w:r w:rsidR="009C5B0D">
        <w:rPr>
          <w:rFonts w:ascii="Times New Roman" w:hAnsi="Times New Roman"/>
          <w:sz w:val="24"/>
          <w:szCs w:val="24"/>
          <w:lang w:val="en-US"/>
        </w:rPr>
        <w:t>which public incentives</w:t>
      </w:r>
      <w:r>
        <w:rPr>
          <w:rFonts w:ascii="Times New Roman" w:hAnsi="Times New Roman"/>
          <w:sz w:val="24"/>
          <w:szCs w:val="24"/>
          <w:lang w:val="en-US"/>
        </w:rPr>
        <w:t xml:space="preserve"> </w:t>
      </w:r>
      <w:r w:rsidR="009C5B0D">
        <w:rPr>
          <w:rFonts w:ascii="Times New Roman" w:hAnsi="Times New Roman"/>
          <w:sz w:val="24"/>
          <w:szCs w:val="24"/>
          <w:lang w:val="en-US"/>
        </w:rPr>
        <w:t>foster</w:t>
      </w:r>
      <w:r w:rsidR="005C064D">
        <w:rPr>
          <w:rFonts w:ascii="Times New Roman" w:hAnsi="Times New Roman"/>
          <w:sz w:val="24"/>
          <w:szCs w:val="24"/>
          <w:lang w:val="en-US"/>
        </w:rPr>
        <w:t xml:space="preserve"> EV market penetration</w:t>
      </w:r>
      <w:r>
        <w:rPr>
          <w:rFonts w:ascii="Times New Roman" w:hAnsi="Times New Roman"/>
          <w:sz w:val="24"/>
          <w:szCs w:val="24"/>
          <w:lang w:val="en-US"/>
        </w:rPr>
        <w:t xml:space="preserve">. </w:t>
      </w:r>
    </w:p>
    <w:p w:rsidR="000C4748" w:rsidRDefault="000C4748" w:rsidP="00CE182C">
      <w:pPr>
        <w:pStyle w:val="a"/>
        <w:numPr>
          <w:ilvl w:val="0"/>
          <w:numId w:val="37"/>
        </w:num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What are the factors negatively influencing adoption rates? </w:t>
      </w:r>
    </w:p>
    <w:p w:rsidR="000C4748" w:rsidRDefault="00274243"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Based on these questions</w:t>
      </w:r>
      <w:r w:rsidR="000C4748">
        <w:rPr>
          <w:rFonts w:ascii="Times New Roman" w:hAnsi="Times New Roman"/>
          <w:sz w:val="24"/>
          <w:szCs w:val="24"/>
          <w:lang w:val="en-US"/>
        </w:rPr>
        <w:t>, the following hypotheses are introduced:</w:t>
      </w:r>
    </w:p>
    <w:p w:rsidR="000C4748" w:rsidRPr="00932888" w:rsidRDefault="000C4748" w:rsidP="00CE182C">
      <w:pPr>
        <w:spacing w:after="120" w:line="360" w:lineRule="auto"/>
        <w:jc w:val="both"/>
        <w:rPr>
          <w:rFonts w:ascii="Times New Roman" w:hAnsi="Times New Roman"/>
          <w:sz w:val="24"/>
          <w:szCs w:val="24"/>
          <w:lang w:val="en-US"/>
        </w:rPr>
      </w:pPr>
      <w:r w:rsidRPr="00932888">
        <w:rPr>
          <w:rFonts w:ascii="Times New Roman" w:hAnsi="Times New Roman"/>
          <w:sz w:val="24"/>
          <w:szCs w:val="24"/>
          <w:lang w:val="en-US"/>
        </w:rPr>
        <w:t>1.</w:t>
      </w:r>
      <w:r w:rsidRPr="00932888">
        <w:rPr>
          <w:rFonts w:ascii="Times New Roman" w:hAnsi="Times New Roman"/>
          <w:sz w:val="24"/>
          <w:szCs w:val="24"/>
          <w:lang w:val="en-US"/>
        </w:rPr>
        <w:tab/>
        <w:t xml:space="preserve">Null hypothesis: No relationship exists between government </w:t>
      </w:r>
      <w:r w:rsidR="006F194C" w:rsidRPr="00932888">
        <w:rPr>
          <w:rFonts w:ascii="Times New Roman" w:hAnsi="Times New Roman"/>
          <w:sz w:val="24"/>
          <w:szCs w:val="24"/>
          <w:lang w:val="en-US"/>
        </w:rPr>
        <w:t>grant</w:t>
      </w:r>
      <w:r w:rsidRPr="00932888">
        <w:rPr>
          <w:rFonts w:ascii="Times New Roman" w:hAnsi="Times New Roman"/>
          <w:sz w:val="24"/>
          <w:szCs w:val="24"/>
          <w:lang w:val="en-US"/>
        </w:rPr>
        <w:t xml:space="preserve"> and BEV market share. </w:t>
      </w:r>
    </w:p>
    <w:p w:rsidR="000C4748" w:rsidRPr="00932888" w:rsidRDefault="000C4748" w:rsidP="00CE182C">
      <w:pPr>
        <w:spacing w:after="120" w:line="360" w:lineRule="auto"/>
        <w:jc w:val="both"/>
        <w:rPr>
          <w:rFonts w:ascii="Times New Roman" w:hAnsi="Times New Roman"/>
          <w:sz w:val="24"/>
          <w:szCs w:val="24"/>
          <w:lang w:val="en-US"/>
        </w:rPr>
      </w:pPr>
      <w:r w:rsidRPr="00932888">
        <w:rPr>
          <w:rFonts w:ascii="Times New Roman" w:hAnsi="Times New Roman"/>
          <w:sz w:val="24"/>
          <w:szCs w:val="24"/>
          <w:lang w:val="en-US"/>
        </w:rPr>
        <w:lastRenderedPageBreak/>
        <w:t>2.</w:t>
      </w:r>
      <w:r w:rsidRPr="00932888">
        <w:rPr>
          <w:rFonts w:ascii="Times New Roman" w:hAnsi="Times New Roman"/>
          <w:sz w:val="24"/>
          <w:szCs w:val="24"/>
          <w:lang w:val="en-US"/>
        </w:rPr>
        <w:tab/>
        <w:t xml:space="preserve">Alternative hypothesis: A relationship exists between government </w:t>
      </w:r>
      <w:r w:rsidR="006F194C" w:rsidRPr="00932888">
        <w:rPr>
          <w:rFonts w:ascii="Times New Roman" w:hAnsi="Times New Roman"/>
          <w:sz w:val="24"/>
          <w:szCs w:val="24"/>
          <w:lang w:val="en-US"/>
        </w:rPr>
        <w:t>grant</w:t>
      </w:r>
      <w:r w:rsidRPr="00932888">
        <w:rPr>
          <w:rFonts w:ascii="Times New Roman" w:hAnsi="Times New Roman"/>
          <w:sz w:val="24"/>
          <w:szCs w:val="24"/>
          <w:lang w:val="en-US"/>
        </w:rPr>
        <w:t xml:space="preserve"> and BEV market share. The </w:t>
      </w:r>
      <w:r w:rsidR="006F194C" w:rsidRPr="00932888">
        <w:rPr>
          <w:rFonts w:ascii="Times New Roman" w:hAnsi="Times New Roman"/>
          <w:sz w:val="24"/>
          <w:szCs w:val="24"/>
          <w:lang w:val="en-US"/>
        </w:rPr>
        <w:t>higher the government grant is</w:t>
      </w:r>
      <w:r w:rsidRPr="00932888">
        <w:rPr>
          <w:rFonts w:ascii="Times New Roman" w:hAnsi="Times New Roman"/>
          <w:sz w:val="24"/>
          <w:szCs w:val="24"/>
          <w:lang w:val="en-US"/>
        </w:rPr>
        <w:t xml:space="preserve">, the higher </w:t>
      </w:r>
      <w:r w:rsidR="005C064D" w:rsidRPr="00932888">
        <w:rPr>
          <w:rFonts w:ascii="Times New Roman" w:hAnsi="Times New Roman"/>
          <w:sz w:val="24"/>
          <w:szCs w:val="24"/>
          <w:lang w:val="en-US"/>
        </w:rPr>
        <w:t xml:space="preserve">BEV </w:t>
      </w:r>
      <w:r w:rsidRPr="00932888">
        <w:rPr>
          <w:rFonts w:ascii="Times New Roman" w:hAnsi="Times New Roman"/>
          <w:sz w:val="24"/>
          <w:szCs w:val="24"/>
          <w:lang w:val="en-US"/>
        </w:rPr>
        <w:t>sales</w:t>
      </w:r>
      <w:r w:rsidR="005C064D" w:rsidRPr="00932888">
        <w:rPr>
          <w:rFonts w:ascii="Times New Roman" w:hAnsi="Times New Roman"/>
          <w:sz w:val="24"/>
          <w:szCs w:val="24"/>
          <w:lang w:val="en-US"/>
        </w:rPr>
        <w:t xml:space="preserve"> </w:t>
      </w:r>
      <w:r w:rsidRPr="00932888">
        <w:rPr>
          <w:rFonts w:ascii="Times New Roman" w:hAnsi="Times New Roman"/>
          <w:sz w:val="24"/>
          <w:szCs w:val="24"/>
          <w:lang w:val="en-US"/>
        </w:rPr>
        <w:t>are.</w:t>
      </w:r>
    </w:p>
    <w:bookmarkEnd w:id="17"/>
    <w:p w:rsidR="000C4748" w:rsidRPr="00EA34D9" w:rsidRDefault="000C4748" w:rsidP="00CE182C">
      <w:pPr>
        <w:spacing w:after="120" w:line="360" w:lineRule="auto"/>
        <w:jc w:val="both"/>
        <w:rPr>
          <w:rFonts w:ascii="Times New Roman" w:hAnsi="Times New Roman"/>
          <w:sz w:val="24"/>
          <w:szCs w:val="24"/>
          <w:lang w:val="en-US"/>
        </w:rPr>
      </w:pPr>
      <w:r w:rsidRPr="00A51852">
        <w:rPr>
          <w:rFonts w:ascii="Times New Roman" w:hAnsi="Times New Roman"/>
          <w:sz w:val="24"/>
          <w:szCs w:val="24"/>
          <w:lang w:val="en-US"/>
        </w:rPr>
        <w:t xml:space="preserve">As found out, there is little </w:t>
      </w:r>
      <w:r w:rsidR="002273CA">
        <w:rPr>
          <w:rFonts w:ascii="Times New Roman" w:hAnsi="Times New Roman"/>
          <w:sz w:val="24"/>
          <w:szCs w:val="24"/>
          <w:lang w:val="en-US"/>
        </w:rPr>
        <w:t>empirical analysis</w:t>
      </w:r>
      <w:r w:rsidRPr="00A51852">
        <w:rPr>
          <w:rFonts w:ascii="Times New Roman" w:hAnsi="Times New Roman"/>
          <w:sz w:val="24"/>
          <w:szCs w:val="24"/>
          <w:lang w:val="en-US"/>
        </w:rPr>
        <w:t xml:space="preserve"> so far that would study this relationship, especially on a cross-country sample. Researchers only studied the effects of financial incentives and did not include other incentives that </w:t>
      </w:r>
      <w:r w:rsidR="006D45A6">
        <w:rPr>
          <w:rFonts w:ascii="Times New Roman" w:hAnsi="Times New Roman"/>
          <w:sz w:val="24"/>
          <w:szCs w:val="24"/>
          <w:lang w:val="en-US"/>
        </w:rPr>
        <w:t xml:space="preserve">the </w:t>
      </w:r>
      <w:r w:rsidRPr="00A51852">
        <w:rPr>
          <w:rFonts w:ascii="Times New Roman" w:hAnsi="Times New Roman"/>
          <w:sz w:val="24"/>
          <w:szCs w:val="24"/>
          <w:lang w:val="en-US"/>
        </w:rPr>
        <w:t xml:space="preserve">preference surveys found influential. By our study, we want to correct for this deficiency and investigate all </w:t>
      </w:r>
      <w:r w:rsidR="000D1091">
        <w:rPr>
          <w:rFonts w:ascii="Times New Roman" w:hAnsi="Times New Roman"/>
          <w:sz w:val="24"/>
          <w:szCs w:val="24"/>
          <w:lang w:val="en-US"/>
        </w:rPr>
        <w:t xml:space="preserve">the </w:t>
      </w:r>
      <w:r w:rsidRPr="00A51852">
        <w:rPr>
          <w:rFonts w:ascii="Times New Roman" w:hAnsi="Times New Roman"/>
          <w:sz w:val="24"/>
          <w:szCs w:val="24"/>
          <w:lang w:val="en-US"/>
        </w:rPr>
        <w:t>incentives commonly provided by national governments. Another missing part in the current research is failure to consider fast-charging infrastructure roll-out, even though</w:t>
      </w:r>
      <w:r w:rsidR="006D45A6">
        <w:rPr>
          <w:rFonts w:ascii="Times New Roman" w:hAnsi="Times New Roman"/>
          <w:sz w:val="24"/>
          <w:szCs w:val="24"/>
          <w:lang w:val="en-US"/>
        </w:rPr>
        <w:t xml:space="preserve"> the</w:t>
      </w:r>
      <w:r w:rsidRPr="00A51852">
        <w:rPr>
          <w:rFonts w:ascii="Times New Roman" w:hAnsi="Times New Roman"/>
          <w:sz w:val="24"/>
          <w:szCs w:val="24"/>
          <w:lang w:val="en-US"/>
        </w:rPr>
        <w:t xml:space="preserve"> surveys confirmed that this is one of the biggest barriers of the EV adoption. We also find it </w:t>
      </w:r>
      <w:r>
        <w:rPr>
          <w:rFonts w:ascii="Times New Roman" w:hAnsi="Times New Roman"/>
          <w:sz w:val="24"/>
          <w:szCs w:val="24"/>
          <w:lang w:val="en-US"/>
        </w:rPr>
        <w:t xml:space="preserve">is </w:t>
      </w:r>
      <w:r w:rsidRPr="00A51852">
        <w:rPr>
          <w:rFonts w:ascii="Times New Roman" w:hAnsi="Times New Roman"/>
          <w:sz w:val="24"/>
          <w:szCs w:val="24"/>
          <w:lang w:val="en-US"/>
        </w:rPr>
        <w:t xml:space="preserve">important to conduct a multi-level international analysis, including country-specific and EV-specific predictors in our model. In our opinion, it </w:t>
      </w:r>
      <w:r w:rsidR="000D1091">
        <w:rPr>
          <w:rFonts w:ascii="Times New Roman" w:hAnsi="Times New Roman"/>
          <w:sz w:val="24"/>
          <w:szCs w:val="24"/>
          <w:lang w:val="en-US"/>
        </w:rPr>
        <w:t>is</w:t>
      </w:r>
      <w:r w:rsidRPr="00A51852">
        <w:rPr>
          <w:rFonts w:ascii="Times New Roman" w:hAnsi="Times New Roman"/>
          <w:sz w:val="24"/>
          <w:szCs w:val="24"/>
          <w:lang w:val="en-US"/>
        </w:rPr>
        <w:t xml:space="preserve"> crucial to include actual EV prices for each </w:t>
      </w:r>
      <w:r w:rsidR="002F6A67">
        <w:rPr>
          <w:rFonts w:ascii="Times New Roman" w:hAnsi="Times New Roman"/>
          <w:sz w:val="24"/>
          <w:szCs w:val="24"/>
          <w:lang w:val="en-US"/>
        </w:rPr>
        <w:t>EV</w:t>
      </w:r>
      <w:r w:rsidRPr="00A51852">
        <w:rPr>
          <w:rFonts w:ascii="Times New Roman" w:hAnsi="Times New Roman"/>
          <w:sz w:val="24"/>
          <w:szCs w:val="24"/>
          <w:lang w:val="en-US"/>
        </w:rPr>
        <w:t xml:space="preserve"> model. On the other hand, </w:t>
      </w:r>
      <w:r w:rsidR="000D1091">
        <w:rPr>
          <w:rFonts w:ascii="Times New Roman" w:hAnsi="Times New Roman"/>
          <w:sz w:val="24"/>
          <w:szCs w:val="24"/>
          <w:lang w:val="en-US"/>
        </w:rPr>
        <w:t xml:space="preserve">it is unsound </w:t>
      </w:r>
      <w:r w:rsidRPr="00A51852">
        <w:rPr>
          <w:rFonts w:ascii="Times New Roman" w:hAnsi="Times New Roman"/>
          <w:sz w:val="24"/>
          <w:szCs w:val="24"/>
          <w:lang w:val="en-US"/>
        </w:rPr>
        <w:t xml:space="preserve">to include socio-economic variable in our model at this early stage of </w:t>
      </w:r>
      <w:r w:rsidR="00192EDC">
        <w:rPr>
          <w:rFonts w:ascii="Times New Roman" w:hAnsi="Times New Roman"/>
          <w:sz w:val="24"/>
          <w:szCs w:val="24"/>
          <w:lang w:val="en-US"/>
        </w:rPr>
        <w:t xml:space="preserve">the </w:t>
      </w:r>
      <w:r w:rsidRPr="00A51852">
        <w:rPr>
          <w:rFonts w:ascii="Times New Roman" w:hAnsi="Times New Roman"/>
          <w:sz w:val="24"/>
          <w:szCs w:val="24"/>
          <w:lang w:val="en-US"/>
        </w:rPr>
        <w:t>EV market development</w:t>
      </w:r>
      <w:r>
        <w:rPr>
          <w:rFonts w:ascii="Times New Roman" w:hAnsi="Times New Roman"/>
          <w:sz w:val="24"/>
          <w:szCs w:val="24"/>
          <w:lang w:val="en-US"/>
        </w:rPr>
        <w:t xml:space="preserve">. To </w:t>
      </w:r>
      <w:r w:rsidR="000D5604">
        <w:rPr>
          <w:rFonts w:ascii="Times New Roman" w:hAnsi="Times New Roman"/>
          <w:sz w:val="24"/>
          <w:szCs w:val="24"/>
          <w:lang w:val="en-US"/>
        </w:rPr>
        <w:t>measure consumer attention to EVs and study its impact on the EV adoption</w:t>
      </w:r>
      <w:r>
        <w:rPr>
          <w:rFonts w:ascii="Times New Roman" w:hAnsi="Times New Roman"/>
          <w:sz w:val="24"/>
          <w:szCs w:val="24"/>
          <w:lang w:val="en-US"/>
        </w:rPr>
        <w:t xml:space="preserve">, we use the </w:t>
      </w:r>
      <w:r w:rsidR="00D362D0">
        <w:rPr>
          <w:rFonts w:ascii="Times New Roman" w:hAnsi="Times New Roman"/>
          <w:sz w:val="24"/>
          <w:szCs w:val="24"/>
          <w:lang w:val="en-US"/>
        </w:rPr>
        <w:t xml:space="preserve">search </w:t>
      </w:r>
      <w:r>
        <w:rPr>
          <w:rFonts w:ascii="Times New Roman" w:hAnsi="Times New Roman"/>
          <w:sz w:val="24"/>
          <w:szCs w:val="24"/>
          <w:lang w:val="en-US"/>
        </w:rPr>
        <w:t>popularity scores provided by Google Trends.</w:t>
      </w:r>
    </w:p>
    <w:p w:rsidR="00972D49" w:rsidRPr="006A0807" w:rsidRDefault="00972D49" w:rsidP="00CE182C">
      <w:pPr>
        <w:jc w:val="both"/>
        <w:rPr>
          <w:rFonts w:ascii="Times New Roman" w:hAnsi="Times New Roman"/>
          <w:b/>
          <w:sz w:val="24"/>
          <w:szCs w:val="24"/>
          <w:lang w:val="en-US"/>
        </w:rPr>
        <w:sectPr w:rsidR="00972D49" w:rsidRPr="006A0807" w:rsidSect="005943CC">
          <w:pgSz w:w="11906" w:h="16838"/>
          <w:pgMar w:top="1418" w:right="1418" w:bottom="1418" w:left="1701" w:header="709" w:footer="709" w:gutter="0"/>
          <w:pgNumType w:start="1"/>
          <w:cols w:space="708"/>
          <w:docGrid w:linePitch="360"/>
        </w:sectPr>
      </w:pPr>
    </w:p>
    <w:p w:rsidR="002F72B8" w:rsidRPr="002273CA" w:rsidRDefault="00F53DE1" w:rsidP="00F84058">
      <w:pPr>
        <w:pStyle w:val="1"/>
        <w:rPr>
          <w:lang w:val="en-US"/>
        </w:rPr>
      </w:pPr>
      <w:bookmarkStart w:id="18" w:name="_Toc535248653"/>
      <w:r>
        <w:rPr>
          <w:lang w:val="en-US"/>
        </w:rPr>
        <w:lastRenderedPageBreak/>
        <w:t>Method</w:t>
      </w:r>
      <w:r w:rsidR="00E324C3">
        <w:rPr>
          <w:lang w:val="en-US"/>
        </w:rPr>
        <w:t>ology</w:t>
      </w:r>
      <w:bookmarkEnd w:id="18"/>
    </w:p>
    <w:p w:rsidR="002F72B8" w:rsidRDefault="00F53DE1" w:rsidP="00CE182C">
      <w:pPr>
        <w:pStyle w:val="2"/>
        <w:jc w:val="both"/>
        <w:rPr>
          <w:lang w:val="en-US"/>
        </w:rPr>
      </w:pPr>
      <w:bookmarkStart w:id="19" w:name="_Toc535248654"/>
      <w:r>
        <w:rPr>
          <w:lang w:val="en-US"/>
        </w:rPr>
        <w:t>Data collection</w:t>
      </w:r>
      <w:bookmarkEnd w:id="19"/>
    </w:p>
    <w:p w:rsidR="00997685" w:rsidRPr="00997685" w:rsidRDefault="00F33666" w:rsidP="00CE182C">
      <w:pPr>
        <w:pStyle w:val="af"/>
        <w:spacing w:after="120" w:line="360" w:lineRule="auto"/>
        <w:jc w:val="both"/>
        <w:rPr>
          <w:lang w:val="en-US"/>
        </w:rPr>
      </w:pPr>
      <w:r>
        <w:rPr>
          <w:lang w:val="en-US"/>
        </w:rPr>
        <w:t>Cross-sectional d</w:t>
      </w:r>
      <w:r w:rsidR="00997685" w:rsidRPr="00997685">
        <w:rPr>
          <w:lang w:val="en-US"/>
        </w:rPr>
        <w:t>ata f</w:t>
      </w:r>
      <w:r w:rsidR="004824B0">
        <w:rPr>
          <w:lang w:val="en-US"/>
        </w:rPr>
        <w:t>or</w:t>
      </w:r>
      <w:r w:rsidR="00997685" w:rsidRPr="00997685">
        <w:rPr>
          <w:lang w:val="en-US"/>
        </w:rPr>
        <w:t xml:space="preserve"> </w:t>
      </w:r>
      <w:r>
        <w:rPr>
          <w:lang w:val="en-US"/>
        </w:rPr>
        <w:t xml:space="preserve">BEV models in </w:t>
      </w:r>
      <w:r w:rsidR="00997685" w:rsidRPr="00997685">
        <w:rPr>
          <w:lang w:val="en-US"/>
        </w:rPr>
        <w:t xml:space="preserve">17 countries </w:t>
      </w:r>
      <w:r w:rsidR="004824B0">
        <w:rPr>
          <w:lang w:val="en-US"/>
        </w:rPr>
        <w:t>in</w:t>
      </w:r>
      <w:r w:rsidR="00997685" w:rsidRPr="00997685">
        <w:rPr>
          <w:lang w:val="en-US"/>
        </w:rPr>
        <w:t xml:space="preserve"> 2016 was collected and analyzed. By looking at the year 2016, we </w:t>
      </w:r>
      <w:r w:rsidR="00C430BA">
        <w:rPr>
          <w:lang w:val="en-US"/>
        </w:rPr>
        <w:t>studied</w:t>
      </w:r>
      <w:r w:rsidR="00124166">
        <w:rPr>
          <w:lang w:val="en-US"/>
        </w:rPr>
        <w:t xml:space="preserve"> the status of EV policy measures </w:t>
      </w:r>
      <w:r w:rsidR="00997685" w:rsidRPr="00997685">
        <w:rPr>
          <w:lang w:val="en-US"/>
        </w:rPr>
        <w:t>after the Paris agreement and in many cases, before the announcements of the bans</w:t>
      </w:r>
      <w:r w:rsidR="006D45A6">
        <w:rPr>
          <w:lang w:val="en-US"/>
        </w:rPr>
        <w:t xml:space="preserve"> for ICE cars</w:t>
      </w:r>
      <w:r w:rsidR="00997685" w:rsidRPr="00997685">
        <w:rPr>
          <w:lang w:val="en-US"/>
        </w:rPr>
        <w:t xml:space="preserve">. </w:t>
      </w:r>
      <w:r w:rsidR="00564A16">
        <w:rPr>
          <w:lang w:val="en-US"/>
        </w:rPr>
        <w:t>Besides</w:t>
      </w:r>
      <w:r w:rsidR="00997685" w:rsidRPr="00997685">
        <w:rPr>
          <w:lang w:val="en-US"/>
        </w:rPr>
        <w:t xml:space="preserve">, in 2016 the number of </w:t>
      </w:r>
      <w:r w:rsidR="00C430BA">
        <w:rPr>
          <w:lang w:val="en-US"/>
        </w:rPr>
        <w:t>EVs</w:t>
      </w:r>
      <w:r w:rsidR="00997685" w:rsidRPr="00997685">
        <w:rPr>
          <w:lang w:val="en-US"/>
        </w:rPr>
        <w:t xml:space="preserve"> on the roads exceeded one million, which almost doubled during </w:t>
      </w:r>
      <w:r w:rsidR="00D362D0">
        <w:rPr>
          <w:lang w:val="en-US"/>
        </w:rPr>
        <w:t xml:space="preserve">the </w:t>
      </w:r>
      <w:r w:rsidR="00997685" w:rsidRPr="00587276">
        <w:rPr>
          <w:lang w:val="en-US"/>
        </w:rPr>
        <w:t>last years (</w:t>
      </w:r>
      <w:r w:rsidR="00C430BA" w:rsidRPr="00587276">
        <w:rPr>
          <w:lang w:val="en-US"/>
        </w:rPr>
        <w:t>IEA</w:t>
      </w:r>
      <w:r w:rsidR="00997685" w:rsidRPr="00587276">
        <w:rPr>
          <w:lang w:val="en-US"/>
        </w:rPr>
        <w:t xml:space="preserve">, 2016). The </w:t>
      </w:r>
      <w:r w:rsidR="000035F3" w:rsidRPr="00587276">
        <w:rPr>
          <w:lang w:val="en-US"/>
        </w:rPr>
        <w:t xml:space="preserve">front-runner </w:t>
      </w:r>
      <w:r w:rsidR="00997685" w:rsidRPr="00587276">
        <w:rPr>
          <w:lang w:val="en-US"/>
        </w:rPr>
        <w:t>countries</w:t>
      </w:r>
      <w:r w:rsidR="000035F3" w:rsidRPr="00587276">
        <w:rPr>
          <w:lang w:val="en-US"/>
        </w:rPr>
        <w:t xml:space="preserve"> </w:t>
      </w:r>
      <w:r w:rsidR="00EF22E8" w:rsidRPr="00587276">
        <w:rPr>
          <w:lang w:val="en-US"/>
        </w:rPr>
        <w:t>were analyzed</w:t>
      </w:r>
      <w:r w:rsidR="00997685" w:rsidRPr="00587276">
        <w:rPr>
          <w:lang w:val="en-US"/>
        </w:rPr>
        <w:t>: China, the United States, France, Belgium, Germany, Denmark, Norway, the Netherlands, Austria, Switzerland</w:t>
      </w:r>
      <w:r w:rsidR="00997685" w:rsidRPr="00997685">
        <w:rPr>
          <w:lang w:val="en-US"/>
        </w:rPr>
        <w:t xml:space="preserve">, the United Kingdom, Finland, Sweden, Japan, South Korea, Canada, Iceland. Most of these countries have extensive incentive schemes to promote EV adoption; among them are countries </w:t>
      </w:r>
      <w:r w:rsidR="00D362D0">
        <w:rPr>
          <w:lang w:val="en-US"/>
        </w:rPr>
        <w:t>which</w:t>
      </w:r>
      <w:r w:rsidR="00124166">
        <w:rPr>
          <w:lang w:val="en-US"/>
        </w:rPr>
        <w:t xml:space="preserve"> later </w:t>
      </w:r>
      <w:r w:rsidR="00997685" w:rsidRPr="00997685">
        <w:rPr>
          <w:lang w:val="en-US"/>
        </w:rPr>
        <w:t>introduced bans o</w:t>
      </w:r>
      <w:r w:rsidR="00D362D0">
        <w:rPr>
          <w:lang w:val="en-US"/>
        </w:rPr>
        <w:t>n</w:t>
      </w:r>
      <w:r w:rsidR="00997685" w:rsidRPr="00997685">
        <w:rPr>
          <w:lang w:val="en-US"/>
        </w:rPr>
        <w:t xml:space="preserve"> fossil fuel vehicles. </w:t>
      </w:r>
    </w:p>
    <w:p w:rsidR="00997685" w:rsidRPr="00997685" w:rsidRDefault="00997685" w:rsidP="00CE182C">
      <w:pPr>
        <w:pStyle w:val="af"/>
        <w:spacing w:after="120" w:line="360" w:lineRule="auto"/>
        <w:jc w:val="both"/>
        <w:rPr>
          <w:lang w:val="en-US"/>
        </w:rPr>
      </w:pPr>
      <w:r w:rsidRPr="00997685">
        <w:rPr>
          <w:lang w:val="en-US"/>
        </w:rPr>
        <w:t>Secondary data is used because the consumer attitude-action gap</w:t>
      </w:r>
      <w:r w:rsidR="00EF22E8">
        <w:rPr>
          <w:lang w:val="en-US"/>
        </w:rPr>
        <w:t xml:space="preserve"> is seen</w:t>
      </w:r>
      <w:r w:rsidRPr="00997685">
        <w:rPr>
          <w:lang w:val="en-US"/>
        </w:rPr>
        <w:t xml:space="preserve"> as a serious barrier in using primary data.</w:t>
      </w:r>
      <w:r w:rsidR="001B44BC">
        <w:rPr>
          <w:lang w:val="en-US"/>
        </w:rPr>
        <w:t xml:space="preserve"> </w:t>
      </w:r>
      <w:r w:rsidR="00DD5D9A">
        <w:rPr>
          <w:lang w:val="en-US"/>
        </w:rPr>
        <w:t>P</w:t>
      </w:r>
      <w:r w:rsidR="001B44BC">
        <w:rPr>
          <w:lang w:val="en-US"/>
        </w:rPr>
        <w:t>urchase d</w:t>
      </w:r>
      <w:r w:rsidRPr="00997685">
        <w:rPr>
          <w:lang w:val="en-US"/>
        </w:rPr>
        <w:t xml:space="preserve">ecisions </w:t>
      </w:r>
      <w:r w:rsidR="001B44BC">
        <w:rPr>
          <w:lang w:val="en-US"/>
        </w:rPr>
        <w:t xml:space="preserve">may </w:t>
      </w:r>
      <w:r w:rsidRPr="00997685">
        <w:rPr>
          <w:lang w:val="en-US"/>
        </w:rPr>
        <w:t xml:space="preserve">deviate from reported choices in a </w:t>
      </w:r>
      <w:r w:rsidR="001B44BC">
        <w:rPr>
          <w:lang w:val="en-US"/>
        </w:rPr>
        <w:t xml:space="preserve">stated preference study </w:t>
      </w:r>
      <w:r w:rsidRPr="00997685">
        <w:rPr>
          <w:lang w:val="en-US"/>
        </w:rPr>
        <w:t>(</w:t>
      </w:r>
      <w:proofErr w:type="spellStart"/>
      <w:r w:rsidRPr="00997685">
        <w:rPr>
          <w:lang w:val="en-US"/>
        </w:rPr>
        <w:t>Helveston</w:t>
      </w:r>
      <w:proofErr w:type="spellEnd"/>
      <w:r w:rsidRPr="00997685">
        <w:rPr>
          <w:lang w:val="en-US"/>
        </w:rPr>
        <w:t xml:space="preserve"> et al., 201</w:t>
      </w:r>
      <w:r w:rsidR="001B44BC">
        <w:rPr>
          <w:lang w:val="en-US"/>
        </w:rPr>
        <w:t>5; Lane and Potter, 2007</w:t>
      </w:r>
      <w:r w:rsidRPr="00997685">
        <w:rPr>
          <w:lang w:val="en-US"/>
        </w:rPr>
        <w:t xml:space="preserve">). </w:t>
      </w:r>
      <w:r w:rsidR="001B44BC">
        <w:rPr>
          <w:lang w:val="en-US"/>
        </w:rPr>
        <w:t xml:space="preserve">With the </w:t>
      </w:r>
      <w:r w:rsidR="00883A4D">
        <w:rPr>
          <w:lang w:val="en-US"/>
        </w:rPr>
        <w:t xml:space="preserve">EV market development, </w:t>
      </w:r>
      <w:r w:rsidRPr="00997685">
        <w:rPr>
          <w:lang w:val="en-US"/>
        </w:rPr>
        <w:t>it becomes more feasible and important to focus on the actual adoption behavior</w:t>
      </w:r>
      <w:r w:rsidR="00883A4D">
        <w:rPr>
          <w:lang w:val="en-US"/>
        </w:rPr>
        <w:t xml:space="preserve"> </w:t>
      </w:r>
      <w:r w:rsidRPr="00997685">
        <w:rPr>
          <w:lang w:val="en-US"/>
        </w:rPr>
        <w:t xml:space="preserve">and not </w:t>
      </w:r>
      <w:r w:rsidR="00883A4D">
        <w:rPr>
          <w:lang w:val="en-US"/>
        </w:rPr>
        <w:t>merely</w:t>
      </w:r>
      <w:r w:rsidRPr="00997685">
        <w:rPr>
          <w:lang w:val="en-US"/>
        </w:rPr>
        <w:t xml:space="preserve"> on intentions (Zeinab </w:t>
      </w:r>
      <w:proofErr w:type="spellStart"/>
      <w:r w:rsidRPr="00997685">
        <w:rPr>
          <w:lang w:val="en-US"/>
        </w:rPr>
        <w:t>Rezvani</w:t>
      </w:r>
      <w:proofErr w:type="spellEnd"/>
      <w:r w:rsidRPr="00997685">
        <w:rPr>
          <w:lang w:val="en-US"/>
        </w:rPr>
        <w:t xml:space="preserve"> et al., 2015)</w:t>
      </w:r>
    </w:p>
    <w:p w:rsidR="00F53DE1" w:rsidRDefault="00997685" w:rsidP="00CE182C">
      <w:pPr>
        <w:pStyle w:val="af"/>
        <w:spacing w:after="120" w:line="360" w:lineRule="auto"/>
        <w:jc w:val="both"/>
        <w:rPr>
          <w:lang w:val="en-US"/>
        </w:rPr>
      </w:pPr>
      <w:r w:rsidRPr="00997685">
        <w:rPr>
          <w:lang w:val="en-US"/>
        </w:rPr>
        <w:t xml:space="preserve">In our analysis, we focus on </w:t>
      </w:r>
      <w:r w:rsidR="00564A16">
        <w:rPr>
          <w:lang w:val="en-US"/>
        </w:rPr>
        <w:t>BEVs</w:t>
      </w:r>
      <w:r w:rsidR="00883A4D">
        <w:rPr>
          <w:lang w:val="en-US"/>
        </w:rPr>
        <w:t xml:space="preserve"> (and not </w:t>
      </w:r>
      <w:r w:rsidR="00883A4D" w:rsidRPr="00997685">
        <w:rPr>
          <w:lang w:val="en-US"/>
        </w:rPr>
        <w:t>Plug-in Hybrid Electric Vehicles (PHEVs)</w:t>
      </w:r>
      <w:r w:rsidR="00883A4D">
        <w:rPr>
          <w:lang w:val="en-US"/>
        </w:rPr>
        <w:t>)</w:t>
      </w:r>
      <w:r w:rsidR="00DD5D9A">
        <w:rPr>
          <w:lang w:val="en-US"/>
        </w:rPr>
        <w:t xml:space="preserve"> </w:t>
      </w:r>
      <w:r w:rsidR="00D362D0">
        <w:rPr>
          <w:lang w:val="en-US"/>
        </w:rPr>
        <w:t xml:space="preserve">at </w:t>
      </w:r>
      <w:r w:rsidR="00DD5D9A">
        <w:rPr>
          <w:lang w:val="en-US"/>
        </w:rPr>
        <w:t xml:space="preserve">which </w:t>
      </w:r>
      <w:r w:rsidR="00D362D0" w:rsidRPr="00997685">
        <w:rPr>
          <w:lang w:val="en-US"/>
        </w:rPr>
        <w:t>government</w:t>
      </w:r>
      <w:r w:rsidR="00D362D0">
        <w:rPr>
          <w:lang w:val="en-US"/>
        </w:rPr>
        <w:t xml:space="preserve"> </w:t>
      </w:r>
      <w:r w:rsidR="00DD5D9A">
        <w:rPr>
          <w:lang w:val="en-US"/>
        </w:rPr>
        <w:t xml:space="preserve">promotion </w:t>
      </w:r>
      <w:r w:rsidR="00DD5D9A" w:rsidRPr="00997685">
        <w:rPr>
          <w:lang w:val="en-US"/>
        </w:rPr>
        <w:t xml:space="preserve">policies are mostly </w:t>
      </w:r>
      <w:r w:rsidR="00DD5D9A">
        <w:rPr>
          <w:lang w:val="en-US"/>
        </w:rPr>
        <w:t>directed</w:t>
      </w:r>
      <w:r w:rsidR="00DD5D9A" w:rsidRPr="00997685">
        <w:rPr>
          <w:lang w:val="en-US"/>
        </w:rPr>
        <w:t>.</w:t>
      </w:r>
      <w:r w:rsidR="00DD5D9A">
        <w:rPr>
          <w:lang w:val="en-US"/>
        </w:rPr>
        <w:t xml:space="preserve"> First, because </w:t>
      </w:r>
      <w:r w:rsidR="002257BF">
        <w:rPr>
          <w:lang w:val="en-US"/>
        </w:rPr>
        <w:t>they produce</w:t>
      </w:r>
      <w:r w:rsidRPr="00997685">
        <w:rPr>
          <w:lang w:val="en-US"/>
        </w:rPr>
        <w:t xml:space="preserve"> zero-emissions</w:t>
      </w:r>
      <w:r w:rsidR="00D362D0">
        <w:rPr>
          <w:lang w:val="en-US"/>
        </w:rPr>
        <w:t xml:space="preserve"> when driving</w:t>
      </w:r>
      <w:r w:rsidRPr="00997685">
        <w:rPr>
          <w:lang w:val="en-US"/>
        </w:rPr>
        <w:t xml:space="preserve">. </w:t>
      </w:r>
      <w:r w:rsidR="00DD5D9A">
        <w:rPr>
          <w:lang w:val="en-US"/>
        </w:rPr>
        <w:t>Secondly, u</w:t>
      </w:r>
      <w:r w:rsidRPr="00997685">
        <w:rPr>
          <w:lang w:val="en-US"/>
        </w:rPr>
        <w:t>nlike fuel cell electric vehicles (</w:t>
      </w:r>
      <w:r w:rsidR="00883A4D">
        <w:rPr>
          <w:lang w:val="en-US"/>
        </w:rPr>
        <w:t>FCEVs</w:t>
      </w:r>
      <w:r w:rsidRPr="00997685">
        <w:rPr>
          <w:lang w:val="en-US"/>
        </w:rPr>
        <w:t xml:space="preserve">), BEVs are not just </w:t>
      </w:r>
      <w:r w:rsidR="00D362D0">
        <w:rPr>
          <w:lang w:val="en-US"/>
        </w:rPr>
        <w:t xml:space="preserve">a </w:t>
      </w:r>
      <w:r w:rsidRPr="00997685">
        <w:rPr>
          <w:lang w:val="en-US"/>
        </w:rPr>
        <w:t xml:space="preserve">few concepts but a range of models that already actively sell on the market. </w:t>
      </w:r>
    </w:p>
    <w:p w:rsidR="002F72B8" w:rsidRPr="001C52B6" w:rsidRDefault="00997685" w:rsidP="00CE182C">
      <w:pPr>
        <w:pStyle w:val="2"/>
        <w:jc w:val="both"/>
        <w:rPr>
          <w:lang w:val="en-US"/>
        </w:rPr>
      </w:pPr>
      <w:bookmarkStart w:id="20" w:name="_Toc535248655"/>
      <w:r>
        <w:rPr>
          <w:lang w:val="en-US"/>
        </w:rPr>
        <w:t>Variables</w:t>
      </w:r>
      <w:bookmarkEnd w:id="20"/>
    </w:p>
    <w:p w:rsidR="00997685" w:rsidRPr="00997685" w:rsidRDefault="00BB5DB2" w:rsidP="00CE182C">
      <w:pPr>
        <w:autoSpaceDE w:val="0"/>
        <w:autoSpaceDN w:val="0"/>
        <w:adjustRightInd w:val="0"/>
        <w:spacing w:after="120" w:line="360" w:lineRule="auto"/>
        <w:jc w:val="both"/>
        <w:rPr>
          <w:rFonts w:ascii="Times New Roman" w:hAnsi="Times New Roman"/>
          <w:sz w:val="24"/>
          <w:szCs w:val="24"/>
          <w:lang w:val="en-US"/>
        </w:rPr>
      </w:pPr>
      <w:r>
        <w:rPr>
          <w:rFonts w:ascii="Times New Roman" w:hAnsi="Times New Roman"/>
          <w:sz w:val="24"/>
          <w:szCs w:val="24"/>
          <w:lang w:val="en-US"/>
        </w:rPr>
        <w:t>Data was collected for the</w:t>
      </w:r>
      <w:r w:rsidR="00997685" w:rsidRPr="00997685">
        <w:rPr>
          <w:rFonts w:ascii="Times New Roman" w:hAnsi="Times New Roman"/>
          <w:sz w:val="24"/>
          <w:szCs w:val="24"/>
          <w:lang w:val="en-US"/>
        </w:rPr>
        <w:t xml:space="preserve"> following variables</w:t>
      </w:r>
      <w:r>
        <w:rPr>
          <w:rFonts w:ascii="Times New Roman" w:hAnsi="Times New Roman"/>
          <w:sz w:val="24"/>
          <w:szCs w:val="24"/>
          <w:lang w:val="en-US"/>
        </w:rPr>
        <w:t xml:space="preserve"> identified in Section </w:t>
      </w:r>
      <w:r w:rsidR="009E4573">
        <w:rPr>
          <w:rFonts w:ascii="Times New Roman" w:hAnsi="Times New Roman"/>
          <w:sz w:val="24"/>
          <w:szCs w:val="24"/>
          <w:lang w:val="en-US"/>
        </w:rPr>
        <w:t>2</w:t>
      </w:r>
      <w:r w:rsidR="00997685" w:rsidRPr="00997685">
        <w:rPr>
          <w:rFonts w:ascii="Times New Roman" w:hAnsi="Times New Roman"/>
          <w:sz w:val="24"/>
          <w:szCs w:val="24"/>
          <w:lang w:val="en-US"/>
        </w:rPr>
        <w:t>: number of BEV registrations, BEV price, driving range, number of charging stations, number of fast</w:t>
      </w:r>
      <w:r w:rsidR="00287DC8">
        <w:rPr>
          <w:rFonts w:ascii="Times New Roman" w:hAnsi="Times New Roman"/>
          <w:sz w:val="24"/>
          <w:szCs w:val="24"/>
          <w:lang w:val="en-US"/>
        </w:rPr>
        <w:t>-</w:t>
      </w:r>
      <w:r w:rsidR="00997685" w:rsidRPr="00997685">
        <w:rPr>
          <w:rFonts w:ascii="Times New Roman" w:hAnsi="Times New Roman"/>
          <w:sz w:val="24"/>
          <w:szCs w:val="24"/>
          <w:lang w:val="en-US"/>
        </w:rPr>
        <w:t xml:space="preserve">charging stations, urban density, electricity prices, interest score, government grant, reduction (annual circulation tax), reduction (purchase tax), reduction (company car tax), VAT amount, </w:t>
      </w:r>
      <w:r w:rsidR="00BB39FA" w:rsidRPr="00E01CE4">
        <w:rPr>
          <w:rFonts w:ascii="Times New Roman" w:hAnsi="Times New Roman"/>
          <w:sz w:val="24"/>
          <w:szCs w:val="24"/>
          <w:lang w:val="en-US"/>
        </w:rPr>
        <w:t xml:space="preserve">high-occupancy vehicle </w:t>
      </w:r>
      <w:r w:rsidR="00BB39FA">
        <w:rPr>
          <w:rFonts w:ascii="Times New Roman" w:hAnsi="Times New Roman"/>
          <w:sz w:val="24"/>
          <w:szCs w:val="24"/>
          <w:lang w:val="en-US"/>
        </w:rPr>
        <w:t>(</w:t>
      </w:r>
      <w:r w:rsidR="00BB39FA" w:rsidRPr="001F21F3">
        <w:rPr>
          <w:rFonts w:ascii="Times New Roman" w:hAnsi="Times New Roman"/>
          <w:sz w:val="24"/>
          <w:szCs w:val="24"/>
          <w:lang w:val="en-US"/>
        </w:rPr>
        <w:t>HOV</w:t>
      </w:r>
      <w:r w:rsidR="00BB39FA">
        <w:rPr>
          <w:rFonts w:ascii="Times New Roman" w:hAnsi="Times New Roman"/>
          <w:sz w:val="24"/>
          <w:szCs w:val="24"/>
          <w:lang w:val="en-US"/>
        </w:rPr>
        <w:t>)/</w:t>
      </w:r>
      <w:r w:rsidR="006C6678">
        <w:rPr>
          <w:rFonts w:ascii="Times New Roman" w:hAnsi="Times New Roman"/>
          <w:sz w:val="24"/>
          <w:szCs w:val="24"/>
          <w:lang w:val="en-US"/>
        </w:rPr>
        <w:t>b</w:t>
      </w:r>
      <w:r w:rsidR="00997685" w:rsidRPr="00997685">
        <w:rPr>
          <w:rFonts w:ascii="Times New Roman" w:hAnsi="Times New Roman"/>
          <w:sz w:val="24"/>
          <w:szCs w:val="24"/>
          <w:lang w:val="en-US"/>
        </w:rPr>
        <w:t>us lane access, number of BEV models available. Variable descriptions and their sources are provided in Table 1</w:t>
      </w:r>
      <w:r>
        <w:rPr>
          <w:rFonts w:ascii="Times New Roman" w:hAnsi="Times New Roman"/>
          <w:sz w:val="24"/>
          <w:szCs w:val="24"/>
          <w:lang w:val="en-US"/>
        </w:rPr>
        <w:t xml:space="preserve"> </w:t>
      </w:r>
      <w:r w:rsidR="001732AB">
        <w:rPr>
          <w:rFonts w:ascii="Times New Roman" w:hAnsi="Times New Roman"/>
          <w:sz w:val="24"/>
          <w:szCs w:val="24"/>
          <w:lang w:val="en-US"/>
        </w:rPr>
        <w:t>(see</w:t>
      </w:r>
      <w:r>
        <w:rPr>
          <w:rFonts w:ascii="Times New Roman" w:hAnsi="Times New Roman"/>
          <w:sz w:val="24"/>
          <w:szCs w:val="24"/>
          <w:lang w:val="en-US"/>
        </w:rPr>
        <w:t xml:space="preserve"> Appendix</w:t>
      </w:r>
      <w:r w:rsidR="008D5AAA">
        <w:rPr>
          <w:rFonts w:ascii="Times New Roman" w:hAnsi="Times New Roman"/>
          <w:sz w:val="24"/>
          <w:szCs w:val="24"/>
          <w:lang w:val="en-US"/>
        </w:rPr>
        <w:t xml:space="preserve"> </w:t>
      </w:r>
      <w:r w:rsidR="00333DCF">
        <w:rPr>
          <w:rFonts w:ascii="Times New Roman" w:hAnsi="Times New Roman"/>
          <w:sz w:val="24"/>
          <w:szCs w:val="24"/>
          <w:lang w:val="en-US"/>
        </w:rPr>
        <w:t>8</w:t>
      </w:r>
      <w:r w:rsidR="008D5AAA">
        <w:rPr>
          <w:rFonts w:ascii="Times New Roman" w:hAnsi="Times New Roman"/>
          <w:sz w:val="24"/>
          <w:szCs w:val="24"/>
          <w:lang w:val="en-US"/>
        </w:rPr>
        <w:t>.1</w:t>
      </w:r>
      <w:r w:rsidR="001732AB">
        <w:rPr>
          <w:rFonts w:ascii="Times New Roman" w:hAnsi="Times New Roman"/>
          <w:sz w:val="24"/>
          <w:szCs w:val="24"/>
          <w:lang w:val="en-US"/>
        </w:rPr>
        <w:t>)</w:t>
      </w:r>
      <w:r w:rsidR="00997685" w:rsidRPr="00997685">
        <w:rPr>
          <w:rFonts w:ascii="Times New Roman" w:hAnsi="Times New Roman"/>
          <w:sz w:val="24"/>
          <w:szCs w:val="24"/>
          <w:lang w:val="en-US"/>
        </w:rPr>
        <w:t xml:space="preserve">. </w:t>
      </w:r>
    </w:p>
    <w:p w:rsidR="00997685" w:rsidRDefault="00855767" w:rsidP="00CE182C">
      <w:pPr>
        <w:autoSpaceDE w:val="0"/>
        <w:autoSpaceDN w:val="0"/>
        <w:adjustRightInd w:val="0"/>
        <w:spacing w:after="120" w:line="360" w:lineRule="auto"/>
        <w:jc w:val="both"/>
        <w:rPr>
          <w:rFonts w:ascii="Times New Roman" w:hAnsi="Times New Roman"/>
          <w:sz w:val="24"/>
          <w:szCs w:val="24"/>
          <w:lang w:val="en-US"/>
        </w:rPr>
      </w:pPr>
      <w:r w:rsidRPr="00587276">
        <w:rPr>
          <w:rFonts w:ascii="Times New Roman" w:hAnsi="Times New Roman"/>
          <w:noProof/>
          <w:sz w:val="24"/>
          <w:szCs w:val="24"/>
        </w:rPr>
        <w:drawing>
          <wp:anchor distT="0" distB="0" distL="114300" distR="114300" simplePos="0" relativeHeight="251675648" behindDoc="0" locked="0" layoutInCell="1" allowOverlap="1" wp14:anchorId="075F384B" wp14:editId="6AFF38D6">
            <wp:simplePos x="0" y="0"/>
            <wp:positionH relativeFrom="column">
              <wp:posOffset>-942975</wp:posOffset>
            </wp:positionH>
            <wp:positionV relativeFrom="paragraph">
              <wp:posOffset>2614295</wp:posOffset>
            </wp:positionV>
            <wp:extent cx="3437890" cy="2066290"/>
            <wp:effectExtent l="0" t="0" r="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890" cy="2066290"/>
                    </a:xfrm>
                    <a:prstGeom prst="rect">
                      <a:avLst/>
                    </a:prstGeom>
                    <a:noFill/>
                  </pic:spPr>
                </pic:pic>
              </a:graphicData>
            </a:graphic>
          </wp:anchor>
        </w:drawing>
      </w:r>
      <w:r w:rsidRPr="00587276">
        <w:rPr>
          <w:rFonts w:ascii="Times New Roman" w:hAnsi="Times New Roman"/>
          <w:noProof/>
          <w:sz w:val="24"/>
          <w:szCs w:val="24"/>
        </w:rPr>
        <w:drawing>
          <wp:anchor distT="0" distB="0" distL="114300" distR="114300" simplePos="0" relativeHeight="251676672" behindDoc="0" locked="0" layoutInCell="1" allowOverlap="1" wp14:anchorId="5DAC8A75" wp14:editId="3F4883F8">
            <wp:simplePos x="0" y="0"/>
            <wp:positionH relativeFrom="column">
              <wp:posOffset>2505075</wp:posOffset>
            </wp:positionH>
            <wp:positionV relativeFrom="paragraph">
              <wp:posOffset>2613025</wp:posOffset>
            </wp:positionV>
            <wp:extent cx="3437890" cy="2066290"/>
            <wp:effectExtent l="0" t="0" r="0" b="0"/>
            <wp:wrapNone/>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7890" cy="2066290"/>
                    </a:xfrm>
                    <a:prstGeom prst="rect">
                      <a:avLst/>
                    </a:prstGeom>
                    <a:noFill/>
                  </pic:spPr>
                </pic:pic>
              </a:graphicData>
            </a:graphic>
          </wp:anchor>
        </w:drawing>
      </w:r>
      <w:r w:rsidR="00BB5DB2" w:rsidRPr="00587276">
        <w:rPr>
          <w:rFonts w:ascii="Times New Roman" w:hAnsi="Times New Roman"/>
          <w:sz w:val="24"/>
          <w:szCs w:val="24"/>
          <w:lang w:val="en-US"/>
        </w:rPr>
        <w:t xml:space="preserve">EV market </w:t>
      </w:r>
      <w:r w:rsidR="0049132C" w:rsidRPr="00587276">
        <w:rPr>
          <w:rFonts w:ascii="Times New Roman" w:hAnsi="Times New Roman"/>
          <w:sz w:val="24"/>
          <w:szCs w:val="24"/>
          <w:lang w:val="en-US"/>
        </w:rPr>
        <w:t>uptake</w:t>
      </w:r>
      <w:r w:rsidR="00BB5DB2" w:rsidRPr="00587276">
        <w:rPr>
          <w:rFonts w:ascii="Times New Roman" w:hAnsi="Times New Roman"/>
          <w:sz w:val="24"/>
          <w:szCs w:val="24"/>
          <w:lang w:val="en-US"/>
        </w:rPr>
        <w:t xml:space="preserve"> is </w:t>
      </w:r>
      <w:r w:rsidR="0049132C" w:rsidRPr="00587276">
        <w:rPr>
          <w:rFonts w:ascii="Times New Roman" w:hAnsi="Times New Roman"/>
          <w:sz w:val="24"/>
          <w:szCs w:val="24"/>
          <w:lang w:val="en-US"/>
        </w:rPr>
        <w:t xml:space="preserve">measured by </w:t>
      </w:r>
      <w:r w:rsidR="00997685" w:rsidRPr="00587276">
        <w:rPr>
          <w:rFonts w:ascii="Times New Roman" w:hAnsi="Times New Roman"/>
          <w:sz w:val="24"/>
          <w:szCs w:val="24"/>
          <w:lang w:val="en-US"/>
        </w:rPr>
        <w:t xml:space="preserve">the number of BEV </w:t>
      </w:r>
      <w:r w:rsidR="00885372" w:rsidRPr="00587276">
        <w:rPr>
          <w:rFonts w:ascii="Times New Roman" w:hAnsi="Times New Roman"/>
          <w:sz w:val="24"/>
          <w:szCs w:val="24"/>
          <w:lang w:val="en-US"/>
        </w:rPr>
        <w:t>registrations</w:t>
      </w:r>
      <w:r w:rsidR="00997685" w:rsidRPr="00587276">
        <w:rPr>
          <w:rFonts w:ascii="Times New Roman" w:hAnsi="Times New Roman"/>
          <w:sz w:val="24"/>
          <w:szCs w:val="24"/>
          <w:lang w:val="en-US"/>
        </w:rPr>
        <w:t xml:space="preserve">. </w:t>
      </w:r>
      <w:r w:rsidR="00124166" w:rsidRPr="00587276">
        <w:rPr>
          <w:rFonts w:ascii="Times New Roman" w:hAnsi="Times New Roman"/>
          <w:sz w:val="24"/>
          <w:szCs w:val="24"/>
          <w:lang w:val="en-US"/>
        </w:rPr>
        <w:t xml:space="preserve">Note: we use words ‘sales’ and ‘registrations’ interchangeably. </w:t>
      </w:r>
      <w:r w:rsidR="00997685" w:rsidRPr="00587276">
        <w:rPr>
          <w:rFonts w:ascii="Times New Roman" w:hAnsi="Times New Roman"/>
          <w:sz w:val="24"/>
          <w:szCs w:val="24"/>
          <w:lang w:val="en-US"/>
        </w:rPr>
        <w:t xml:space="preserve">As </w:t>
      </w:r>
      <w:r w:rsidR="004B6E66" w:rsidRPr="00587276">
        <w:rPr>
          <w:rFonts w:ascii="Times New Roman" w:hAnsi="Times New Roman"/>
          <w:sz w:val="24"/>
          <w:szCs w:val="24"/>
          <w:lang w:val="en-US"/>
        </w:rPr>
        <w:t>can be seen</w:t>
      </w:r>
      <w:r w:rsidR="00997685" w:rsidRPr="00587276">
        <w:rPr>
          <w:rFonts w:ascii="Times New Roman" w:hAnsi="Times New Roman"/>
          <w:sz w:val="24"/>
          <w:szCs w:val="24"/>
          <w:lang w:val="en-US"/>
        </w:rPr>
        <w:t xml:space="preserve"> from </w:t>
      </w:r>
      <w:r w:rsidR="00885372" w:rsidRPr="00587276">
        <w:rPr>
          <w:rFonts w:ascii="Times New Roman" w:hAnsi="Times New Roman"/>
          <w:sz w:val="24"/>
          <w:szCs w:val="24"/>
          <w:lang w:val="en-US"/>
        </w:rPr>
        <w:t>Fig.</w:t>
      </w:r>
      <w:r w:rsidR="00997685" w:rsidRPr="00587276">
        <w:rPr>
          <w:rFonts w:ascii="Times New Roman" w:hAnsi="Times New Roman"/>
          <w:sz w:val="24"/>
          <w:szCs w:val="24"/>
          <w:lang w:val="en-US"/>
        </w:rPr>
        <w:t xml:space="preserve"> 1.1 and 1.2, </w:t>
      </w:r>
      <w:r w:rsidR="00885372" w:rsidRPr="00587276">
        <w:rPr>
          <w:rFonts w:ascii="Times New Roman" w:hAnsi="Times New Roman"/>
          <w:sz w:val="24"/>
          <w:szCs w:val="24"/>
          <w:lang w:val="en-US"/>
        </w:rPr>
        <w:t>the</w:t>
      </w:r>
      <w:r w:rsidR="00885372">
        <w:rPr>
          <w:rFonts w:ascii="Times New Roman" w:hAnsi="Times New Roman"/>
          <w:sz w:val="24"/>
          <w:szCs w:val="24"/>
          <w:lang w:val="en-US"/>
        </w:rPr>
        <w:t xml:space="preserve"> </w:t>
      </w:r>
      <w:r w:rsidR="004B6E66">
        <w:rPr>
          <w:rFonts w:ascii="Times New Roman" w:hAnsi="Times New Roman"/>
          <w:sz w:val="24"/>
          <w:szCs w:val="24"/>
          <w:lang w:val="en-US"/>
        </w:rPr>
        <w:t>s</w:t>
      </w:r>
      <w:r w:rsidR="0092487C">
        <w:rPr>
          <w:rFonts w:ascii="Times New Roman" w:hAnsi="Times New Roman"/>
          <w:sz w:val="24"/>
          <w:szCs w:val="24"/>
          <w:lang w:val="en-US"/>
        </w:rPr>
        <w:t>napshots</w:t>
      </w:r>
      <w:r w:rsidR="00885372">
        <w:rPr>
          <w:rFonts w:ascii="Times New Roman" w:hAnsi="Times New Roman"/>
          <w:sz w:val="24"/>
          <w:szCs w:val="24"/>
          <w:lang w:val="en-US"/>
        </w:rPr>
        <w:t xml:space="preserve"> of </w:t>
      </w:r>
      <w:r w:rsidR="0092487C">
        <w:rPr>
          <w:rFonts w:ascii="Times New Roman" w:hAnsi="Times New Roman"/>
          <w:sz w:val="24"/>
          <w:szCs w:val="24"/>
          <w:lang w:val="en-US"/>
        </w:rPr>
        <w:t xml:space="preserve">global </w:t>
      </w:r>
      <w:r w:rsidR="00997685" w:rsidRPr="00997685">
        <w:rPr>
          <w:rFonts w:ascii="Times New Roman" w:hAnsi="Times New Roman"/>
          <w:sz w:val="24"/>
          <w:szCs w:val="24"/>
          <w:lang w:val="en-US"/>
        </w:rPr>
        <w:t xml:space="preserve">BEV and passenger vehicle markets </w:t>
      </w:r>
      <w:r w:rsidR="00885372">
        <w:rPr>
          <w:rFonts w:ascii="Times New Roman" w:hAnsi="Times New Roman"/>
          <w:sz w:val="24"/>
          <w:szCs w:val="24"/>
          <w:lang w:val="en-US"/>
        </w:rPr>
        <w:t>at the end of 2016</w:t>
      </w:r>
      <w:r w:rsidR="0092487C">
        <w:rPr>
          <w:rFonts w:ascii="Times New Roman" w:hAnsi="Times New Roman"/>
          <w:sz w:val="24"/>
          <w:szCs w:val="24"/>
          <w:lang w:val="en-US"/>
        </w:rPr>
        <w:t xml:space="preserve">, regardless of </w:t>
      </w:r>
      <w:r w:rsidR="0092487C">
        <w:rPr>
          <w:rFonts w:ascii="Times New Roman" w:hAnsi="Times New Roman"/>
          <w:sz w:val="24"/>
          <w:szCs w:val="24"/>
          <w:lang w:val="en-US"/>
        </w:rPr>
        <w:lastRenderedPageBreak/>
        <w:t>scale,</w:t>
      </w:r>
      <w:r w:rsidR="004B6E66">
        <w:rPr>
          <w:rFonts w:ascii="Times New Roman" w:hAnsi="Times New Roman"/>
          <w:sz w:val="24"/>
          <w:szCs w:val="24"/>
          <w:lang w:val="en-US"/>
        </w:rPr>
        <w:t xml:space="preserve"> </w:t>
      </w:r>
      <w:r w:rsidR="0092487C">
        <w:rPr>
          <w:rFonts w:ascii="Times New Roman" w:hAnsi="Times New Roman"/>
          <w:sz w:val="24"/>
          <w:szCs w:val="24"/>
          <w:lang w:val="en-US"/>
        </w:rPr>
        <w:t>seem identical</w:t>
      </w:r>
      <w:r w:rsidR="00881443">
        <w:rPr>
          <w:rFonts w:ascii="Times New Roman" w:hAnsi="Times New Roman"/>
          <w:sz w:val="24"/>
          <w:szCs w:val="24"/>
          <w:lang w:val="en-US"/>
        </w:rPr>
        <w:t xml:space="preserve"> or </w:t>
      </w:r>
      <w:r w:rsidR="00AD1F41">
        <w:rPr>
          <w:rFonts w:ascii="Times New Roman" w:hAnsi="Times New Roman"/>
          <w:sz w:val="24"/>
          <w:szCs w:val="24"/>
          <w:lang w:val="en-US"/>
        </w:rPr>
        <w:t>linearly related</w:t>
      </w:r>
      <w:r w:rsidR="00997685" w:rsidRPr="00997685">
        <w:rPr>
          <w:rFonts w:ascii="Times New Roman" w:hAnsi="Times New Roman"/>
          <w:sz w:val="24"/>
          <w:szCs w:val="24"/>
          <w:lang w:val="en-US"/>
        </w:rPr>
        <w:t xml:space="preserve">, </w:t>
      </w:r>
      <w:r w:rsidR="004B6E66">
        <w:rPr>
          <w:rFonts w:ascii="Times New Roman" w:hAnsi="Times New Roman"/>
          <w:sz w:val="24"/>
          <w:szCs w:val="24"/>
          <w:lang w:val="en-US"/>
        </w:rPr>
        <w:t>suggesting that BEV sales do not have to be corrected</w:t>
      </w:r>
      <w:r w:rsidR="00997685" w:rsidRPr="00997685">
        <w:rPr>
          <w:rFonts w:ascii="Times New Roman" w:hAnsi="Times New Roman"/>
          <w:sz w:val="24"/>
          <w:szCs w:val="24"/>
          <w:lang w:val="en-US"/>
        </w:rPr>
        <w:t xml:space="preserve"> </w:t>
      </w:r>
      <w:r w:rsidR="004B6E66">
        <w:rPr>
          <w:rFonts w:ascii="Times New Roman" w:hAnsi="Times New Roman"/>
          <w:sz w:val="24"/>
          <w:szCs w:val="24"/>
          <w:lang w:val="en-US"/>
        </w:rPr>
        <w:t xml:space="preserve">for </w:t>
      </w:r>
      <w:r w:rsidR="00997685" w:rsidRPr="00997685">
        <w:rPr>
          <w:rFonts w:ascii="Times New Roman" w:hAnsi="Times New Roman"/>
          <w:sz w:val="24"/>
          <w:szCs w:val="24"/>
          <w:lang w:val="en-US"/>
        </w:rPr>
        <w:t>market size</w:t>
      </w:r>
      <w:r w:rsidR="004B6E66">
        <w:rPr>
          <w:rFonts w:ascii="Times New Roman" w:hAnsi="Times New Roman"/>
          <w:sz w:val="24"/>
          <w:szCs w:val="24"/>
          <w:lang w:val="en-US"/>
        </w:rPr>
        <w:t>s</w:t>
      </w:r>
      <w:r w:rsidR="00EA60F2">
        <w:rPr>
          <w:rFonts w:ascii="Times New Roman" w:hAnsi="Times New Roman"/>
          <w:sz w:val="24"/>
          <w:szCs w:val="24"/>
          <w:lang w:val="en-US"/>
        </w:rPr>
        <w:t xml:space="preserve"> (checked formally in Section 3.1)</w:t>
      </w:r>
      <w:r w:rsidR="00EB6E3F">
        <w:rPr>
          <w:rFonts w:ascii="Times New Roman" w:hAnsi="Times New Roman"/>
          <w:sz w:val="24"/>
          <w:szCs w:val="24"/>
          <w:lang w:val="en-US"/>
        </w:rPr>
        <w:t>.</w:t>
      </w:r>
    </w:p>
    <w:p w:rsidR="005625E4" w:rsidRPr="00655295" w:rsidRDefault="005625E4" w:rsidP="00404132">
      <w:pPr>
        <w:autoSpaceDE w:val="0"/>
        <w:autoSpaceDN w:val="0"/>
        <w:adjustRightInd w:val="0"/>
        <w:spacing w:after="120" w:line="360" w:lineRule="auto"/>
        <w:jc w:val="center"/>
        <w:rPr>
          <w:rFonts w:ascii="Times New Roman" w:hAnsi="Times New Roman"/>
          <w:b/>
          <w:sz w:val="24"/>
          <w:szCs w:val="24"/>
          <w:lang w:val="en-US"/>
        </w:rPr>
      </w:pPr>
      <w:r w:rsidRPr="00655295">
        <w:rPr>
          <w:b/>
          <w:noProof/>
        </w:rPr>
        <w:drawing>
          <wp:anchor distT="0" distB="0" distL="114300" distR="114300" simplePos="0" relativeHeight="251681792" behindDoc="0" locked="0" layoutInCell="1" allowOverlap="1" wp14:anchorId="1D02528B">
            <wp:simplePos x="0" y="0"/>
            <wp:positionH relativeFrom="column">
              <wp:posOffset>43815</wp:posOffset>
            </wp:positionH>
            <wp:positionV relativeFrom="paragraph">
              <wp:posOffset>4445</wp:posOffset>
            </wp:positionV>
            <wp:extent cx="5486400" cy="3291840"/>
            <wp:effectExtent l="0" t="0" r="0" b="3810"/>
            <wp:wrapTopAndBottom/>
            <wp:docPr id="1" name="Диаграмма 1">
              <a:extLst xmlns:a="http://schemas.openxmlformats.org/drawingml/2006/main">
                <a:ext uri="{FF2B5EF4-FFF2-40B4-BE49-F238E27FC236}">
                  <a16:creationId xmlns:a16="http://schemas.microsoft.com/office/drawing/2014/main" id="{377BC772-EFAD-406D-BD44-D6EB35D091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Pr="00655295">
        <w:rPr>
          <w:rFonts w:ascii="Times New Roman" w:hAnsi="Times New Roman"/>
          <w:b/>
          <w:lang w:val="en-US"/>
        </w:rPr>
        <w:t>Fig. 1.</w:t>
      </w:r>
      <w:r w:rsidR="006C403F" w:rsidRPr="00655295">
        <w:rPr>
          <w:rFonts w:ascii="Times New Roman" w:hAnsi="Times New Roman"/>
          <w:b/>
          <w:lang w:val="en-US"/>
        </w:rPr>
        <w:t>1</w:t>
      </w:r>
      <w:r w:rsidRPr="00655295">
        <w:rPr>
          <w:rFonts w:ascii="Times New Roman" w:hAnsi="Times New Roman"/>
          <w:b/>
          <w:lang w:val="en-US"/>
        </w:rPr>
        <w:t xml:space="preserve"> Number of BEV registrations</w:t>
      </w:r>
      <w:r w:rsidR="00466106" w:rsidRPr="00655295">
        <w:rPr>
          <w:rFonts w:ascii="Times New Roman" w:hAnsi="Times New Roman"/>
          <w:b/>
          <w:lang w:val="en-US"/>
        </w:rPr>
        <w:t xml:space="preserve"> </w:t>
      </w:r>
      <w:r w:rsidR="00466106" w:rsidRPr="00655295">
        <w:rPr>
          <w:rFonts w:ascii="Times New Roman" w:hAnsi="Times New Roman"/>
          <w:b/>
          <w:lang w:val="en-US"/>
        </w:rPr>
        <w:fldChar w:fldCharType="begin" w:fldLock="1"/>
      </w:r>
      <w:r w:rsidR="00655295" w:rsidRPr="00655295">
        <w:rPr>
          <w:rFonts w:ascii="Times New Roman" w:hAnsi="Times New Roman"/>
          <w:b/>
          <w:lang w:val="en-US"/>
        </w:rPr>
        <w:instrText>ADDIN CSL_CITATION {"citationItems":[{"id":"ITEM-1","itemData":{"URL":"http://ev-sales.blogspot.com/2016/","accessed":{"date-parts":[["2018","10","15"]]},"author":[{"dropping-particle":"","family":"Pontes","given":"Jose","non-dropping-particle":"","parse-names":false,"suffix":""}],"container-title":"EV Sales Blog","id":"ITEM-1","issued":{"date-parts":[["2016"]]},"title":"EV Sales","type":"webpage"},"uris":["http://www.mendeley.com/documents/?uuid=e3b45050-11bb-4f7e-be0e-35c5fdc6163d"]}],"mendeley":{"formattedCitation":"(Pontes, 2016)","plainTextFormattedCitation":"(Pontes, 2016)","previouslyFormattedCitation":"(Pontes, 2016)"},"properties":{"noteIndex":0},"schema":"https://github.com/citation-style-language/schema/raw/master/csl-citation.json"}</w:instrText>
      </w:r>
      <w:r w:rsidR="00466106" w:rsidRPr="00655295">
        <w:rPr>
          <w:rFonts w:ascii="Times New Roman" w:hAnsi="Times New Roman"/>
          <w:b/>
          <w:lang w:val="en-US"/>
        </w:rPr>
        <w:fldChar w:fldCharType="separate"/>
      </w:r>
      <w:r w:rsidR="00466106" w:rsidRPr="00655295">
        <w:rPr>
          <w:rFonts w:ascii="Times New Roman" w:hAnsi="Times New Roman"/>
          <w:b/>
          <w:noProof/>
          <w:lang w:val="en-US"/>
        </w:rPr>
        <w:t>(Pontes, 2016)</w:t>
      </w:r>
      <w:r w:rsidR="00466106" w:rsidRPr="00655295">
        <w:rPr>
          <w:rFonts w:ascii="Times New Roman" w:hAnsi="Times New Roman"/>
          <w:b/>
          <w:lang w:val="en-US"/>
        </w:rPr>
        <w:fldChar w:fldCharType="end"/>
      </w:r>
      <w:r w:rsidR="00C65BE4">
        <w:rPr>
          <w:rStyle w:val="af7"/>
          <w:rFonts w:ascii="Times New Roman" w:hAnsi="Times New Roman"/>
          <w:b/>
          <w:lang w:val="en-US"/>
        </w:rPr>
        <w:footnoteReference w:id="1"/>
      </w:r>
    </w:p>
    <w:p w:rsidR="00997685" w:rsidRPr="00997685" w:rsidRDefault="005625E4" w:rsidP="00655295">
      <w:pPr>
        <w:autoSpaceDE w:val="0"/>
        <w:autoSpaceDN w:val="0"/>
        <w:adjustRightInd w:val="0"/>
        <w:spacing w:after="120"/>
        <w:jc w:val="center"/>
        <w:rPr>
          <w:rFonts w:ascii="Times New Roman" w:hAnsi="Times New Roman"/>
          <w:lang w:val="en-US"/>
        </w:rPr>
      </w:pPr>
      <w:r>
        <w:rPr>
          <w:noProof/>
        </w:rPr>
        <w:drawing>
          <wp:anchor distT="0" distB="0" distL="114300" distR="114300" simplePos="0" relativeHeight="251682816" behindDoc="0" locked="0" layoutInCell="1" allowOverlap="1" wp14:anchorId="7A0EC440">
            <wp:simplePos x="0" y="0"/>
            <wp:positionH relativeFrom="column">
              <wp:posOffset>43815</wp:posOffset>
            </wp:positionH>
            <wp:positionV relativeFrom="paragraph">
              <wp:posOffset>0</wp:posOffset>
            </wp:positionV>
            <wp:extent cx="5486400" cy="3291840"/>
            <wp:effectExtent l="0" t="0" r="0" b="3810"/>
            <wp:wrapTopAndBottom/>
            <wp:docPr id="2" name="Диаграмма 2">
              <a:extLst xmlns:a="http://schemas.openxmlformats.org/drawingml/2006/main">
                <a:ext uri="{FF2B5EF4-FFF2-40B4-BE49-F238E27FC236}">
                  <a16:creationId xmlns:a16="http://schemas.microsoft.com/office/drawing/2014/main" id="{9A89C8B9-2363-45A8-99B4-4FEA83745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855767">
        <w:rPr>
          <w:rFonts w:ascii="Times New Roman" w:hAnsi="Times New Roman"/>
          <w:b/>
          <w:lang w:val="en-US"/>
        </w:rPr>
        <w:t>Fig.</w:t>
      </w:r>
      <w:r w:rsidR="00997685">
        <w:rPr>
          <w:rFonts w:ascii="Times New Roman" w:hAnsi="Times New Roman"/>
          <w:b/>
          <w:lang w:val="en-US"/>
        </w:rPr>
        <w:t xml:space="preserve"> 1.2 </w:t>
      </w:r>
      <w:r w:rsidR="00997685" w:rsidRPr="00655295">
        <w:rPr>
          <w:rFonts w:ascii="Times New Roman" w:hAnsi="Times New Roman"/>
          <w:b/>
          <w:lang w:val="en-US"/>
        </w:rPr>
        <w:t>Total number of passenger car registrations</w:t>
      </w:r>
      <w:r w:rsidR="00655295" w:rsidRPr="00655295">
        <w:rPr>
          <w:rFonts w:ascii="Times New Roman" w:hAnsi="Times New Roman"/>
          <w:b/>
          <w:lang w:val="en-US"/>
        </w:rPr>
        <w:t xml:space="preserve"> </w:t>
      </w:r>
      <w:r w:rsidR="00655295" w:rsidRPr="00655295">
        <w:rPr>
          <w:rFonts w:ascii="Times New Roman" w:hAnsi="Times New Roman"/>
          <w:b/>
          <w:lang w:val="en-US"/>
        </w:rPr>
        <w:fldChar w:fldCharType="begin" w:fldLock="1"/>
      </w:r>
      <w:r w:rsidR="003163AE">
        <w:rPr>
          <w:rFonts w:ascii="Times New Roman" w:hAnsi="Times New Roman"/>
          <w:b/>
          <w:lang w:val="en-US"/>
        </w:rPr>
        <w:instrText>ADDIN CSL_CITATION {"citationItems":[{"id":"ITEM-1","itemData":{"URL":"https://www.acea.be/statistics/tag/category/by-country-registrations","accessed":{"date-parts":[["2018","10","15"]]},"author":[{"dropping-particle":"","family":"ACEA","given":"","non-dropping-particle":"","parse-names":false,"suffix":""}],"id":"ITEM-1","issued":{"date-parts":[["2018"]]},"title":"Consolidated Registrations - By Country","type":"webpage"},"uris":["http://www.mendeley.com/documents/?uuid=2a473bba-84ac-410b-8a92-7600607eccf7"]},{"id":"ITEM-2","itemData":{"URL":"https://countryeconomy.com/business/car-registrations/usa?year=2016","accessed":{"date-parts":[["2018","10","15"]]},"author":[{"dropping-particle":"","family":"Countryeconomy.com","given":"","non-dropping-particle":"","parse-names":false,"suffix":""}],"id":"ITEM-2","issued":{"date-parts":[["2016"]]},"title":"United States - New motor vehicle registrations","type":"webpage"},"uris":["http://www.mendeley.com/documents/?uuid=c5423f45-a705-402d-9245-804e88d6d30d"]},{"id":"ITEM-3","itemData":{"URL":"https://www.statista.com/statistics/278436/new-vehicle-registration-in-china/","accessed":{"date-parts":[["2018","10","15"]]},"author":[{"dropping-particle":"","family":"Statista","given":"","non-dropping-particle":"","parse-names":false,"suffix":""}],"id":"ITEM-3","issued":{"date-parts":[["2017"]]},"title":"Number of new vehicle registrations in China from 2007 to 2017 (in millions)","type":"webpage"},"uris":["http://www.mendeley.com/documents/?uuid=575147a5-e5a8-42aa-bacd-6c87d6491242"]}],"mendeley":{"formattedCitation":"(ACEA, 2018b; Countryeconomy.com, 2016; Statista, 2017)","plainTextFormattedCitation":"(ACEA, 2018b; Countryeconomy.com, 2016; Statista, 2017)","previouslyFormattedCitation":"(ACEA, 2018b; Countryeconomy.com, 2016; Statista, 2017)"},"properties":{"noteIndex":0},"schema":"https://github.com/citation-style-language/schema/raw/master/csl-citation.json"}</w:instrText>
      </w:r>
      <w:r w:rsidR="00655295" w:rsidRPr="00655295">
        <w:rPr>
          <w:rFonts w:ascii="Times New Roman" w:hAnsi="Times New Roman"/>
          <w:b/>
          <w:lang w:val="en-US"/>
        </w:rPr>
        <w:fldChar w:fldCharType="separate"/>
      </w:r>
      <w:r w:rsidR="00655295" w:rsidRPr="00655295">
        <w:rPr>
          <w:rFonts w:ascii="Times New Roman" w:hAnsi="Times New Roman"/>
          <w:b/>
          <w:noProof/>
          <w:lang w:val="en-US"/>
        </w:rPr>
        <w:t>(ACEA, 2018b; Countryeconomy.com, 2016; Statista, 2017)</w:t>
      </w:r>
      <w:r w:rsidR="00655295" w:rsidRPr="00655295">
        <w:rPr>
          <w:rFonts w:ascii="Times New Roman" w:hAnsi="Times New Roman"/>
          <w:b/>
          <w:lang w:val="en-US"/>
        </w:rPr>
        <w:fldChar w:fldCharType="end"/>
      </w:r>
    </w:p>
    <w:p w:rsidR="001F21F3" w:rsidRPr="001C52B6" w:rsidRDefault="001F21F3" w:rsidP="00CE182C">
      <w:pPr>
        <w:pStyle w:val="2"/>
        <w:jc w:val="both"/>
        <w:rPr>
          <w:lang w:val="en-US"/>
        </w:rPr>
      </w:pPr>
      <w:bookmarkStart w:id="21" w:name="_Toc535248656"/>
      <w:r>
        <w:rPr>
          <w:lang w:val="en-US"/>
        </w:rPr>
        <w:lastRenderedPageBreak/>
        <w:t xml:space="preserve">Public </w:t>
      </w:r>
      <w:r w:rsidR="00EB6E3F">
        <w:rPr>
          <w:lang w:val="en-US"/>
        </w:rPr>
        <w:t>p</w:t>
      </w:r>
      <w:r>
        <w:rPr>
          <w:lang w:val="en-US"/>
        </w:rPr>
        <w:t xml:space="preserve">olicies: </w:t>
      </w:r>
      <w:r w:rsidR="00EB6E3F">
        <w:rPr>
          <w:lang w:val="en-US"/>
        </w:rPr>
        <w:t>o</w:t>
      </w:r>
      <w:r>
        <w:rPr>
          <w:lang w:val="en-US"/>
        </w:rPr>
        <w:t>verview</w:t>
      </w:r>
      <w:bookmarkEnd w:id="21"/>
    </w:p>
    <w:p w:rsidR="001F21F3" w:rsidRPr="001F21F3" w:rsidRDefault="001F21F3" w:rsidP="00CE182C">
      <w:pPr>
        <w:autoSpaceDE w:val="0"/>
        <w:autoSpaceDN w:val="0"/>
        <w:adjustRightInd w:val="0"/>
        <w:spacing w:after="120" w:line="360" w:lineRule="auto"/>
        <w:jc w:val="both"/>
        <w:rPr>
          <w:rFonts w:ascii="Times New Roman" w:hAnsi="Times New Roman"/>
          <w:sz w:val="24"/>
          <w:szCs w:val="24"/>
          <w:lang w:val="en-US"/>
        </w:rPr>
      </w:pPr>
      <w:r w:rsidRPr="001F21F3">
        <w:rPr>
          <w:rFonts w:ascii="Times New Roman" w:hAnsi="Times New Roman"/>
          <w:sz w:val="24"/>
          <w:szCs w:val="24"/>
          <w:lang w:val="en-US"/>
        </w:rPr>
        <w:t>In most of the countries, fiscal incentives such as tax reductions or exemptions are provided</w:t>
      </w:r>
      <w:r w:rsidR="008A3C33">
        <w:rPr>
          <w:rFonts w:ascii="Times New Roman" w:hAnsi="Times New Roman"/>
          <w:sz w:val="24"/>
          <w:szCs w:val="24"/>
          <w:lang w:val="en-US"/>
        </w:rPr>
        <w:t xml:space="preserve"> to stimulate EV demand</w:t>
      </w:r>
      <w:r w:rsidRPr="001F21F3">
        <w:rPr>
          <w:rFonts w:ascii="Times New Roman" w:hAnsi="Times New Roman"/>
          <w:sz w:val="24"/>
          <w:szCs w:val="24"/>
          <w:lang w:val="en-US"/>
        </w:rPr>
        <w:t>. The taxes involve both taxes at the point of sale</w:t>
      </w:r>
      <w:r w:rsidR="008A3C33">
        <w:rPr>
          <w:rFonts w:ascii="Times New Roman" w:hAnsi="Times New Roman"/>
          <w:sz w:val="24"/>
          <w:szCs w:val="24"/>
          <w:lang w:val="en-US"/>
        </w:rPr>
        <w:t xml:space="preserve"> or registration</w:t>
      </w:r>
      <w:r w:rsidRPr="001F21F3">
        <w:rPr>
          <w:rFonts w:ascii="Times New Roman" w:hAnsi="Times New Roman"/>
          <w:sz w:val="24"/>
          <w:szCs w:val="24"/>
          <w:lang w:val="en-US"/>
        </w:rPr>
        <w:t xml:space="preserve"> </w:t>
      </w:r>
      <w:r w:rsidR="008A3C33">
        <w:rPr>
          <w:rFonts w:ascii="Times New Roman" w:hAnsi="Times New Roman"/>
          <w:sz w:val="24"/>
          <w:szCs w:val="24"/>
          <w:lang w:val="en-US"/>
        </w:rPr>
        <w:t>(</w:t>
      </w:r>
      <w:r w:rsidR="008A3C33" w:rsidRPr="001F21F3">
        <w:rPr>
          <w:rFonts w:ascii="Times New Roman" w:hAnsi="Times New Roman"/>
          <w:sz w:val="24"/>
          <w:szCs w:val="24"/>
          <w:lang w:val="en-US"/>
        </w:rPr>
        <w:t>purchase tax</w:t>
      </w:r>
      <w:r w:rsidR="008A3C33">
        <w:rPr>
          <w:rFonts w:ascii="Times New Roman" w:hAnsi="Times New Roman"/>
          <w:sz w:val="24"/>
          <w:szCs w:val="24"/>
          <w:lang w:val="en-US"/>
        </w:rPr>
        <w:t>)</w:t>
      </w:r>
      <w:r w:rsidR="008A3C33" w:rsidRPr="001F21F3">
        <w:rPr>
          <w:rFonts w:ascii="Times New Roman" w:hAnsi="Times New Roman"/>
          <w:sz w:val="24"/>
          <w:szCs w:val="24"/>
          <w:lang w:val="en-US"/>
        </w:rPr>
        <w:t xml:space="preserve"> </w:t>
      </w:r>
      <w:r w:rsidRPr="001F21F3">
        <w:rPr>
          <w:rFonts w:ascii="Times New Roman" w:hAnsi="Times New Roman"/>
          <w:sz w:val="24"/>
          <w:szCs w:val="24"/>
          <w:lang w:val="en-US"/>
        </w:rPr>
        <w:t xml:space="preserve">and incurred </w:t>
      </w:r>
      <w:r w:rsidR="008A3C33">
        <w:rPr>
          <w:rFonts w:ascii="Times New Roman" w:hAnsi="Times New Roman"/>
          <w:sz w:val="24"/>
          <w:szCs w:val="24"/>
          <w:lang w:val="en-US"/>
        </w:rPr>
        <w:t>at</w:t>
      </w:r>
      <w:r w:rsidRPr="001F21F3">
        <w:rPr>
          <w:rFonts w:ascii="Times New Roman" w:hAnsi="Times New Roman"/>
          <w:sz w:val="24"/>
          <w:szCs w:val="24"/>
          <w:lang w:val="en-US"/>
        </w:rPr>
        <w:t xml:space="preserve"> vehicle usage such as annual circulation tax or company car tax. Some countries exempt or reduce all three taxes</w:t>
      </w:r>
      <w:r w:rsidR="008A3C33">
        <w:rPr>
          <w:rFonts w:ascii="Times New Roman" w:hAnsi="Times New Roman"/>
          <w:sz w:val="24"/>
          <w:szCs w:val="24"/>
          <w:lang w:val="en-US"/>
        </w:rPr>
        <w:t>:</w:t>
      </w:r>
      <w:r w:rsidRPr="001F21F3">
        <w:rPr>
          <w:rFonts w:ascii="Times New Roman" w:hAnsi="Times New Roman"/>
          <w:sz w:val="24"/>
          <w:szCs w:val="24"/>
          <w:lang w:val="en-US"/>
        </w:rPr>
        <w:t xml:space="preserve"> Austria, France, Belgium, Norway, </w:t>
      </w:r>
      <w:r w:rsidR="00D362D0">
        <w:rPr>
          <w:rFonts w:ascii="Times New Roman" w:hAnsi="Times New Roman"/>
          <w:sz w:val="24"/>
          <w:szCs w:val="24"/>
          <w:lang w:val="en-US"/>
        </w:rPr>
        <w:t xml:space="preserve">the </w:t>
      </w:r>
      <w:r w:rsidRPr="001F21F3">
        <w:rPr>
          <w:rFonts w:ascii="Times New Roman" w:hAnsi="Times New Roman"/>
          <w:sz w:val="24"/>
          <w:szCs w:val="24"/>
          <w:lang w:val="en-US"/>
        </w:rPr>
        <w:t xml:space="preserve">Netherlands, </w:t>
      </w:r>
      <w:r w:rsidR="00D362D0">
        <w:rPr>
          <w:rFonts w:ascii="Times New Roman" w:hAnsi="Times New Roman"/>
          <w:sz w:val="24"/>
          <w:szCs w:val="24"/>
          <w:lang w:val="en-US"/>
        </w:rPr>
        <w:t xml:space="preserve">and </w:t>
      </w:r>
      <w:r w:rsidRPr="001F21F3">
        <w:rPr>
          <w:rFonts w:ascii="Times New Roman" w:hAnsi="Times New Roman"/>
          <w:sz w:val="24"/>
          <w:szCs w:val="24"/>
          <w:lang w:val="en-US"/>
        </w:rPr>
        <w:t>France</w:t>
      </w:r>
      <w:r w:rsidR="008A3C33">
        <w:rPr>
          <w:rFonts w:ascii="Times New Roman" w:hAnsi="Times New Roman"/>
          <w:sz w:val="24"/>
          <w:szCs w:val="24"/>
          <w:lang w:val="en-US"/>
        </w:rPr>
        <w:t>;</w:t>
      </w:r>
      <w:r w:rsidRPr="001F21F3">
        <w:rPr>
          <w:rFonts w:ascii="Times New Roman" w:hAnsi="Times New Roman"/>
          <w:sz w:val="24"/>
          <w:szCs w:val="24"/>
          <w:lang w:val="en-US"/>
        </w:rPr>
        <w:t xml:space="preserve"> some countries </w:t>
      </w:r>
      <w:r w:rsidR="00D362D0">
        <w:rPr>
          <w:rFonts w:ascii="Times New Roman" w:hAnsi="Times New Roman"/>
          <w:sz w:val="24"/>
          <w:szCs w:val="24"/>
          <w:lang w:val="en-US"/>
        </w:rPr>
        <w:t>–</w:t>
      </w:r>
      <w:r w:rsidR="008A3C33">
        <w:rPr>
          <w:rFonts w:ascii="Times New Roman" w:hAnsi="Times New Roman"/>
          <w:sz w:val="24"/>
          <w:szCs w:val="24"/>
          <w:lang w:val="en-US"/>
        </w:rPr>
        <w:t xml:space="preserve"> </w:t>
      </w:r>
      <w:r w:rsidR="00D362D0">
        <w:rPr>
          <w:rFonts w:ascii="Times New Roman" w:hAnsi="Times New Roman"/>
          <w:sz w:val="24"/>
          <w:szCs w:val="24"/>
          <w:lang w:val="en-US"/>
        </w:rPr>
        <w:t xml:space="preserve">exempt </w:t>
      </w:r>
      <w:r w:rsidRPr="001F21F3">
        <w:rPr>
          <w:rFonts w:ascii="Times New Roman" w:hAnsi="Times New Roman"/>
          <w:sz w:val="24"/>
          <w:szCs w:val="24"/>
          <w:lang w:val="en-US"/>
        </w:rPr>
        <w:t>just one of them</w:t>
      </w:r>
      <w:r w:rsidR="008A3C33">
        <w:rPr>
          <w:rFonts w:ascii="Times New Roman" w:hAnsi="Times New Roman"/>
          <w:sz w:val="24"/>
          <w:szCs w:val="24"/>
          <w:lang w:val="en-US"/>
        </w:rPr>
        <w:t xml:space="preserve">: </w:t>
      </w:r>
      <w:r w:rsidRPr="001F21F3">
        <w:rPr>
          <w:rFonts w:ascii="Times New Roman" w:hAnsi="Times New Roman"/>
          <w:sz w:val="24"/>
          <w:szCs w:val="24"/>
          <w:lang w:val="en-US"/>
        </w:rPr>
        <w:t xml:space="preserve">Denmark, Germany, </w:t>
      </w:r>
      <w:r w:rsidR="00D362D0">
        <w:rPr>
          <w:rFonts w:ascii="Times New Roman" w:hAnsi="Times New Roman"/>
          <w:sz w:val="24"/>
          <w:szCs w:val="24"/>
          <w:lang w:val="en-US"/>
        </w:rPr>
        <w:t xml:space="preserve">and </w:t>
      </w:r>
      <w:r w:rsidRPr="001F21F3">
        <w:rPr>
          <w:rFonts w:ascii="Times New Roman" w:hAnsi="Times New Roman"/>
          <w:sz w:val="24"/>
          <w:szCs w:val="24"/>
          <w:lang w:val="en-US"/>
        </w:rPr>
        <w:t>U</w:t>
      </w:r>
      <w:r w:rsidR="00E01CE4">
        <w:rPr>
          <w:rFonts w:ascii="Times New Roman" w:hAnsi="Times New Roman"/>
          <w:sz w:val="24"/>
          <w:szCs w:val="24"/>
          <w:lang w:val="en-US"/>
        </w:rPr>
        <w:t>K</w:t>
      </w:r>
      <w:r w:rsidRPr="001F21F3">
        <w:rPr>
          <w:rFonts w:ascii="Times New Roman" w:hAnsi="Times New Roman"/>
          <w:sz w:val="24"/>
          <w:szCs w:val="24"/>
          <w:lang w:val="en-US"/>
        </w:rPr>
        <w:t xml:space="preserve"> or two </w:t>
      </w:r>
      <w:r w:rsidR="008A3C33">
        <w:rPr>
          <w:rFonts w:ascii="Times New Roman" w:hAnsi="Times New Roman"/>
          <w:sz w:val="24"/>
          <w:szCs w:val="24"/>
          <w:lang w:val="en-US"/>
        </w:rPr>
        <w:t xml:space="preserve">of them: </w:t>
      </w:r>
      <w:r w:rsidRPr="001F21F3">
        <w:rPr>
          <w:rFonts w:ascii="Times New Roman" w:hAnsi="Times New Roman"/>
          <w:sz w:val="24"/>
          <w:szCs w:val="24"/>
          <w:lang w:val="en-US"/>
        </w:rPr>
        <w:t xml:space="preserve">Finland, </w:t>
      </w:r>
      <w:r w:rsidR="00D362D0">
        <w:rPr>
          <w:rFonts w:ascii="Times New Roman" w:hAnsi="Times New Roman"/>
          <w:sz w:val="24"/>
          <w:szCs w:val="24"/>
          <w:lang w:val="en-US"/>
        </w:rPr>
        <w:t xml:space="preserve">and </w:t>
      </w:r>
      <w:r w:rsidRPr="001F21F3">
        <w:rPr>
          <w:rFonts w:ascii="Times New Roman" w:hAnsi="Times New Roman"/>
          <w:sz w:val="24"/>
          <w:szCs w:val="24"/>
          <w:lang w:val="en-US"/>
        </w:rPr>
        <w:t xml:space="preserve">Sweden. In addition, the </w:t>
      </w:r>
      <w:r w:rsidR="008A3C33">
        <w:rPr>
          <w:rFonts w:ascii="Times New Roman" w:hAnsi="Times New Roman"/>
          <w:sz w:val="24"/>
          <w:szCs w:val="24"/>
          <w:lang w:val="en-US"/>
        </w:rPr>
        <w:t xml:space="preserve">financial </w:t>
      </w:r>
      <w:r w:rsidRPr="001F21F3">
        <w:rPr>
          <w:rFonts w:ascii="Times New Roman" w:hAnsi="Times New Roman"/>
          <w:sz w:val="24"/>
          <w:szCs w:val="24"/>
          <w:lang w:val="en-US"/>
        </w:rPr>
        <w:t xml:space="preserve">incentive package in some countries is strengthened by </w:t>
      </w:r>
      <w:r w:rsidR="00D362D0">
        <w:rPr>
          <w:rFonts w:ascii="Times New Roman" w:hAnsi="Times New Roman"/>
          <w:sz w:val="24"/>
          <w:szCs w:val="24"/>
          <w:lang w:val="en-US"/>
        </w:rPr>
        <w:t xml:space="preserve">the </w:t>
      </w:r>
      <w:r w:rsidRPr="001F21F3">
        <w:rPr>
          <w:rFonts w:ascii="Times New Roman" w:hAnsi="Times New Roman"/>
          <w:sz w:val="24"/>
          <w:szCs w:val="24"/>
          <w:lang w:val="en-US"/>
        </w:rPr>
        <w:t xml:space="preserve">purchase grant (South Korea, Japan, Austria, France, Sweden, Germany) or by VAT exemption (Norway, Iceland) (remark: in Europe, valuable </w:t>
      </w:r>
      <w:r w:rsidR="00EA60F2">
        <w:rPr>
          <w:rFonts w:ascii="Times New Roman" w:hAnsi="Times New Roman"/>
          <w:sz w:val="24"/>
          <w:szCs w:val="24"/>
          <w:lang w:val="en-US"/>
        </w:rPr>
        <w:t>incentive</w:t>
      </w:r>
      <w:r w:rsidR="00403EAF">
        <w:rPr>
          <w:rFonts w:ascii="Times New Roman" w:hAnsi="Times New Roman"/>
          <w:sz w:val="24"/>
          <w:szCs w:val="24"/>
          <w:lang w:val="en-US"/>
        </w:rPr>
        <w:t>,</w:t>
      </w:r>
      <w:r w:rsidRPr="001F21F3">
        <w:rPr>
          <w:rFonts w:ascii="Times New Roman" w:hAnsi="Times New Roman"/>
          <w:sz w:val="24"/>
          <w:szCs w:val="24"/>
          <w:lang w:val="en-US"/>
        </w:rPr>
        <w:t xml:space="preserve"> given high VAT rates). Moreover, such countries as Norway or China still extend their generous packages by providing non-fi</w:t>
      </w:r>
      <w:r w:rsidR="008A3C33">
        <w:rPr>
          <w:rFonts w:ascii="Times New Roman" w:hAnsi="Times New Roman"/>
          <w:sz w:val="24"/>
          <w:szCs w:val="24"/>
          <w:lang w:val="en-US"/>
        </w:rPr>
        <w:t>nancial</w:t>
      </w:r>
      <w:r w:rsidRPr="001F21F3">
        <w:rPr>
          <w:rFonts w:ascii="Times New Roman" w:hAnsi="Times New Roman"/>
          <w:sz w:val="24"/>
          <w:szCs w:val="24"/>
          <w:lang w:val="en-US"/>
        </w:rPr>
        <w:t xml:space="preserve"> incentives </w:t>
      </w:r>
      <w:r w:rsidR="00EA60F2">
        <w:rPr>
          <w:rFonts w:ascii="Times New Roman" w:hAnsi="Times New Roman"/>
          <w:sz w:val="24"/>
          <w:szCs w:val="24"/>
          <w:lang w:val="en-US"/>
        </w:rPr>
        <w:t xml:space="preserve">such </w:t>
      </w:r>
      <w:r w:rsidRPr="001F21F3">
        <w:rPr>
          <w:rFonts w:ascii="Times New Roman" w:hAnsi="Times New Roman"/>
          <w:sz w:val="24"/>
          <w:szCs w:val="24"/>
          <w:lang w:val="en-US"/>
        </w:rPr>
        <w:t>as bus lane access, urban or highway toll exemption (Norway) or free access to a highway in a rush-hour, no license fee (China).</w:t>
      </w:r>
      <w:r w:rsidR="00403EAF">
        <w:rPr>
          <w:rFonts w:ascii="Times New Roman" w:hAnsi="Times New Roman"/>
          <w:sz w:val="24"/>
          <w:szCs w:val="24"/>
          <w:lang w:val="en-US"/>
        </w:rPr>
        <w:t xml:space="preserve"> </w:t>
      </w:r>
      <w:r w:rsidRPr="001F21F3">
        <w:rPr>
          <w:rFonts w:ascii="Times New Roman" w:hAnsi="Times New Roman"/>
          <w:sz w:val="24"/>
          <w:szCs w:val="24"/>
          <w:lang w:val="en-US"/>
        </w:rPr>
        <w:t xml:space="preserve">In some countries, additional monetary benefit is provided, mostly for the installment of a wall charger (Denmark, United Kingdom). Both Switzerland and Canada do not provide any incentives on the federal level. </w:t>
      </w:r>
      <w:r w:rsidR="00EA60F2">
        <w:rPr>
          <w:rFonts w:ascii="Times New Roman" w:hAnsi="Times New Roman"/>
          <w:sz w:val="24"/>
          <w:szCs w:val="24"/>
          <w:lang w:val="en-US"/>
        </w:rPr>
        <w:t>The</w:t>
      </w:r>
      <w:r w:rsidR="00E01CE4">
        <w:rPr>
          <w:rFonts w:ascii="Times New Roman" w:hAnsi="Times New Roman"/>
          <w:sz w:val="24"/>
          <w:szCs w:val="24"/>
          <w:lang w:val="en-US"/>
        </w:rPr>
        <w:t xml:space="preserve"> </w:t>
      </w:r>
      <w:r w:rsidRPr="001F21F3">
        <w:rPr>
          <w:rFonts w:ascii="Times New Roman" w:hAnsi="Times New Roman"/>
          <w:sz w:val="24"/>
          <w:szCs w:val="24"/>
          <w:lang w:val="en-US"/>
        </w:rPr>
        <w:t xml:space="preserve">US </w:t>
      </w:r>
      <w:r w:rsidR="00EA60F2">
        <w:rPr>
          <w:rFonts w:ascii="Times New Roman" w:hAnsi="Times New Roman"/>
          <w:sz w:val="24"/>
          <w:szCs w:val="24"/>
          <w:lang w:val="en-US"/>
        </w:rPr>
        <w:t xml:space="preserve">government </w:t>
      </w:r>
      <w:r w:rsidRPr="001F21F3">
        <w:rPr>
          <w:rFonts w:ascii="Times New Roman" w:hAnsi="Times New Roman"/>
          <w:sz w:val="24"/>
          <w:szCs w:val="24"/>
          <w:lang w:val="en-US"/>
        </w:rPr>
        <w:t>does provide a</w:t>
      </w:r>
      <w:r w:rsidR="00E01CE4">
        <w:rPr>
          <w:rFonts w:ascii="Times New Roman" w:hAnsi="Times New Roman"/>
          <w:sz w:val="24"/>
          <w:szCs w:val="24"/>
          <w:lang w:val="en-US"/>
        </w:rPr>
        <w:t>n</w:t>
      </w:r>
      <w:r w:rsidRPr="001F21F3">
        <w:rPr>
          <w:rFonts w:ascii="Times New Roman" w:hAnsi="Times New Roman"/>
          <w:sz w:val="24"/>
          <w:szCs w:val="24"/>
          <w:lang w:val="en-US"/>
        </w:rPr>
        <w:t xml:space="preserve"> upfront bonus, but in a form of a tax discount. In </w:t>
      </w:r>
      <w:r>
        <w:rPr>
          <w:rFonts w:ascii="Times New Roman" w:hAnsi="Times New Roman"/>
          <w:sz w:val="24"/>
          <w:szCs w:val="24"/>
          <w:lang w:val="en-US"/>
        </w:rPr>
        <w:t>T</w:t>
      </w:r>
      <w:r w:rsidRPr="001F21F3">
        <w:rPr>
          <w:rFonts w:ascii="Times New Roman" w:hAnsi="Times New Roman"/>
          <w:sz w:val="24"/>
          <w:szCs w:val="24"/>
          <w:lang w:val="en-US"/>
        </w:rPr>
        <w:t xml:space="preserve">able </w:t>
      </w:r>
      <w:r w:rsidR="00403EAF">
        <w:rPr>
          <w:rFonts w:ascii="Times New Roman" w:hAnsi="Times New Roman"/>
          <w:sz w:val="24"/>
          <w:szCs w:val="24"/>
          <w:lang w:val="en-US"/>
        </w:rPr>
        <w:t>2</w:t>
      </w:r>
      <w:r w:rsidR="008D5AAA">
        <w:rPr>
          <w:rFonts w:ascii="Times New Roman" w:hAnsi="Times New Roman"/>
          <w:sz w:val="24"/>
          <w:szCs w:val="24"/>
          <w:lang w:val="en-US"/>
        </w:rPr>
        <w:t xml:space="preserve"> (see Appendix </w:t>
      </w:r>
      <w:r w:rsidR="00333DCF">
        <w:rPr>
          <w:rFonts w:ascii="Times New Roman" w:hAnsi="Times New Roman"/>
          <w:sz w:val="24"/>
          <w:szCs w:val="24"/>
          <w:lang w:val="en-US"/>
        </w:rPr>
        <w:t>8</w:t>
      </w:r>
      <w:r w:rsidR="008D5AAA">
        <w:rPr>
          <w:rFonts w:ascii="Times New Roman" w:hAnsi="Times New Roman"/>
          <w:sz w:val="24"/>
          <w:szCs w:val="24"/>
          <w:lang w:val="en-US"/>
        </w:rPr>
        <w:t>.1)</w:t>
      </w:r>
      <w:r w:rsidRPr="001F21F3">
        <w:rPr>
          <w:rFonts w:ascii="Times New Roman" w:hAnsi="Times New Roman"/>
          <w:sz w:val="24"/>
          <w:szCs w:val="24"/>
          <w:lang w:val="en-US"/>
        </w:rPr>
        <w:t xml:space="preserve">, we summarized all the </w:t>
      </w:r>
      <w:r w:rsidR="00D362D0">
        <w:rPr>
          <w:rFonts w:ascii="Times New Roman" w:hAnsi="Times New Roman"/>
          <w:sz w:val="24"/>
          <w:szCs w:val="24"/>
          <w:lang w:val="en-US"/>
        </w:rPr>
        <w:t xml:space="preserve">existing </w:t>
      </w:r>
      <w:r w:rsidRPr="001F21F3">
        <w:rPr>
          <w:rFonts w:ascii="Times New Roman" w:hAnsi="Times New Roman"/>
          <w:sz w:val="24"/>
          <w:szCs w:val="24"/>
          <w:lang w:val="en-US"/>
        </w:rPr>
        <w:t>EV promotion policies</w:t>
      </w:r>
      <w:r w:rsidR="00D362D0">
        <w:rPr>
          <w:rFonts w:ascii="Times New Roman" w:hAnsi="Times New Roman"/>
          <w:sz w:val="24"/>
          <w:szCs w:val="24"/>
          <w:lang w:val="en-US"/>
        </w:rPr>
        <w:t xml:space="preserve"> </w:t>
      </w:r>
      <w:r w:rsidRPr="001F21F3">
        <w:rPr>
          <w:rFonts w:ascii="Times New Roman" w:hAnsi="Times New Roman"/>
          <w:sz w:val="24"/>
          <w:szCs w:val="24"/>
          <w:lang w:val="en-US"/>
        </w:rPr>
        <w:t>in 2016 worldwid</w:t>
      </w:r>
      <w:r>
        <w:rPr>
          <w:rFonts w:ascii="Times New Roman" w:hAnsi="Times New Roman"/>
          <w:sz w:val="24"/>
          <w:szCs w:val="24"/>
          <w:lang w:val="en-US"/>
        </w:rPr>
        <w:t>e.</w:t>
      </w:r>
    </w:p>
    <w:p w:rsidR="00E324C3" w:rsidRPr="001C52B6" w:rsidRDefault="00E324C3" w:rsidP="00CE182C">
      <w:pPr>
        <w:pStyle w:val="2"/>
        <w:jc w:val="both"/>
        <w:rPr>
          <w:lang w:val="en-US"/>
        </w:rPr>
      </w:pPr>
      <w:bookmarkStart w:id="22" w:name="_Toc535248657"/>
      <w:r>
        <w:rPr>
          <w:lang w:val="en-US"/>
        </w:rPr>
        <w:t>Method</w:t>
      </w:r>
      <w:bookmarkEnd w:id="22"/>
    </w:p>
    <w:p w:rsidR="00FA567D" w:rsidRDefault="008F2307" w:rsidP="00FA567D">
      <w:pPr>
        <w:autoSpaceDE w:val="0"/>
        <w:autoSpaceDN w:val="0"/>
        <w:adjustRightInd w:val="0"/>
        <w:spacing w:after="120" w:line="360" w:lineRule="auto"/>
        <w:jc w:val="both"/>
        <w:rPr>
          <w:rFonts w:ascii="Times New Roman" w:hAnsi="Times New Roman"/>
          <w:sz w:val="24"/>
          <w:szCs w:val="24"/>
          <w:lang w:val="en-US"/>
        </w:rPr>
      </w:pPr>
      <w:r>
        <w:rPr>
          <w:rFonts w:ascii="Times New Roman" w:hAnsi="Times New Roman"/>
          <w:sz w:val="24"/>
          <w:szCs w:val="24"/>
          <w:lang w:val="en-US"/>
        </w:rPr>
        <w:t>T</w:t>
      </w:r>
      <w:r w:rsidRPr="00E324C3">
        <w:rPr>
          <w:rFonts w:ascii="Times New Roman" w:hAnsi="Times New Roman"/>
          <w:sz w:val="24"/>
          <w:szCs w:val="24"/>
          <w:lang w:val="en-US"/>
        </w:rPr>
        <w:t>he thorough study of the research question</w:t>
      </w:r>
      <w:r>
        <w:rPr>
          <w:rFonts w:ascii="Times New Roman" w:hAnsi="Times New Roman"/>
          <w:sz w:val="24"/>
          <w:szCs w:val="24"/>
          <w:lang w:val="en-US"/>
        </w:rPr>
        <w:t>s</w:t>
      </w:r>
      <w:r w:rsidRPr="00E324C3">
        <w:rPr>
          <w:rFonts w:ascii="Times New Roman" w:hAnsi="Times New Roman"/>
          <w:sz w:val="24"/>
          <w:szCs w:val="24"/>
          <w:lang w:val="en-US"/>
        </w:rPr>
        <w:t xml:space="preserve"> would require controlling for both country-level and specific </w:t>
      </w:r>
      <w:r>
        <w:rPr>
          <w:rFonts w:ascii="Times New Roman" w:hAnsi="Times New Roman"/>
          <w:sz w:val="24"/>
          <w:szCs w:val="24"/>
          <w:lang w:val="en-US"/>
        </w:rPr>
        <w:t>BEV</w:t>
      </w:r>
      <w:r w:rsidRPr="00E324C3">
        <w:rPr>
          <w:rFonts w:ascii="Times New Roman" w:hAnsi="Times New Roman"/>
          <w:sz w:val="24"/>
          <w:szCs w:val="24"/>
          <w:lang w:val="en-US"/>
        </w:rPr>
        <w:t>-level factors. Therefore, the multilevel data</w:t>
      </w:r>
      <w:r w:rsidR="00FE7771">
        <w:rPr>
          <w:rFonts w:ascii="Times New Roman" w:hAnsi="Times New Roman"/>
          <w:sz w:val="24"/>
          <w:szCs w:val="24"/>
          <w:lang w:val="en-US"/>
        </w:rPr>
        <w:t>s</w:t>
      </w:r>
      <w:r w:rsidRPr="00E324C3">
        <w:rPr>
          <w:rFonts w:ascii="Times New Roman" w:hAnsi="Times New Roman"/>
          <w:sz w:val="24"/>
          <w:szCs w:val="24"/>
          <w:lang w:val="en-US"/>
        </w:rPr>
        <w:t>et was collected, with a natural hierarchy of observations at the car model level nested within a higher level</w:t>
      </w:r>
      <w:r>
        <w:rPr>
          <w:rFonts w:ascii="Times New Roman" w:hAnsi="Times New Roman"/>
          <w:sz w:val="24"/>
          <w:szCs w:val="24"/>
          <w:lang w:val="en-US"/>
        </w:rPr>
        <w:t xml:space="preserve"> - </w:t>
      </w:r>
      <w:r w:rsidRPr="00E324C3">
        <w:rPr>
          <w:rFonts w:ascii="Times New Roman" w:hAnsi="Times New Roman"/>
          <w:sz w:val="24"/>
          <w:szCs w:val="24"/>
          <w:lang w:val="en-US"/>
        </w:rPr>
        <w:t>country.</w:t>
      </w:r>
      <w:r>
        <w:rPr>
          <w:rFonts w:ascii="Times New Roman" w:hAnsi="Times New Roman"/>
          <w:sz w:val="24"/>
          <w:szCs w:val="24"/>
          <w:lang w:val="en-US"/>
        </w:rPr>
        <w:t xml:space="preserve"> </w:t>
      </w:r>
      <w:r w:rsidR="00FE7771">
        <w:rPr>
          <w:rFonts w:ascii="Times New Roman" w:hAnsi="Times New Roman"/>
          <w:sz w:val="24"/>
          <w:szCs w:val="24"/>
          <w:lang w:val="en-US"/>
        </w:rPr>
        <w:t>T</w:t>
      </w:r>
      <w:r w:rsidRPr="00E324C3">
        <w:rPr>
          <w:rFonts w:ascii="Times New Roman" w:hAnsi="Times New Roman"/>
          <w:sz w:val="24"/>
          <w:szCs w:val="24"/>
          <w:lang w:val="en-US"/>
        </w:rPr>
        <w:t>here are basically two approaches</w:t>
      </w:r>
      <w:r w:rsidR="00FE7771">
        <w:rPr>
          <w:rFonts w:ascii="Times New Roman" w:hAnsi="Times New Roman"/>
          <w:sz w:val="24"/>
          <w:szCs w:val="24"/>
          <w:lang w:val="en-US"/>
        </w:rPr>
        <w:t xml:space="preserve"> to analyze such a dataset</w:t>
      </w:r>
      <w:r w:rsidRPr="00E324C3">
        <w:rPr>
          <w:rFonts w:ascii="Times New Roman" w:hAnsi="Times New Roman"/>
          <w:sz w:val="24"/>
          <w:szCs w:val="24"/>
          <w:lang w:val="en-US"/>
        </w:rPr>
        <w:t>:</w:t>
      </w:r>
      <w:r>
        <w:rPr>
          <w:rFonts w:ascii="Times New Roman" w:hAnsi="Times New Roman"/>
          <w:sz w:val="24"/>
          <w:szCs w:val="24"/>
          <w:lang w:val="en-US"/>
        </w:rPr>
        <w:t xml:space="preserve"> r</w:t>
      </w:r>
      <w:r w:rsidRPr="00E324C3">
        <w:rPr>
          <w:rFonts w:ascii="Times New Roman" w:hAnsi="Times New Roman"/>
          <w:sz w:val="24"/>
          <w:szCs w:val="24"/>
          <w:lang w:val="en-US"/>
        </w:rPr>
        <w:t xml:space="preserve">andom effects </w:t>
      </w:r>
      <w:r w:rsidR="00AD238E">
        <w:rPr>
          <w:rFonts w:ascii="Times New Roman" w:hAnsi="Times New Roman"/>
          <w:sz w:val="24"/>
          <w:szCs w:val="24"/>
          <w:lang w:val="en-US"/>
        </w:rPr>
        <w:t xml:space="preserve">(RE) </w:t>
      </w:r>
      <w:r w:rsidRPr="00E324C3">
        <w:rPr>
          <w:rFonts w:ascii="Times New Roman" w:hAnsi="Times New Roman"/>
          <w:sz w:val="24"/>
          <w:szCs w:val="24"/>
          <w:lang w:val="en-US"/>
        </w:rPr>
        <w:t xml:space="preserve">model </w:t>
      </w:r>
      <w:r>
        <w:rPr>
          <w:rFonts w:ascii="Times New Roman" w:hAnsi="Times New Roman"/>
          <w:sz w:val="24"/>
          <w:szCs w:val="24"/>
          <w:lang w:val="en-US"/>
        </w:rPr>
        <w:t xml:space="preserve">or a </w:t>
      </w:r>
      <w:r w:rsidRPr="00E324C3">
        <w:rPr>
          <w:rFonts w:ascii="Times New Roman" w:hAnsi="Times New Roman"/>
          <w:sz w:val="24"/>
          <w:szCs w:val="24"/>
          <w:lang w:val="en-US"/>
        </w:rPr>
        <w:t>two-step approach</w:t>
      </w:r>
      <w:r w:rsidR="002E5448">
        <w:rPr>
          <w:rFonts w:ascii="Times New Roman" w:hAnsi="Times New Roman"/>
          <w:sz w:val="24"/>
          <w:szCs w:val="24"/>
          <w:lang w:val="en-US"/>
        </w:rPr>
        <w:t xml:space="preserve"> </w:t>
      </w:r>
      <w:r w:rsidR="002E5448">
        <w:rPr>
          <w:rFonts w:ascii="Times New Roman" w:hAnsi="Times New Roman"/>
          <w:sz w:val="24"/>
          <w:szCs w:val="24"/>
          <w:lang w:val="en-US"/>
        </w:rPr>
        <w:fldChar w:fldCharType="begin" w:fldLock="1"/>
      </w:r>
      <w:r w:rsidR="00B02056">
        <w:rPr>
          <w:rFonts w:ascii="Times New Roman" w:hAnsi="Times New Roman"/>
          <w:sz w:val="24"/>
          <w:szCs w:val="24"/>
          <w:lang w:val="en-US"/>
        </w:rPr>
        <w:instrText>ADDIN CSL_CITATION {"citationItems":[{"id":"ITEM-1","itemData":{"DOI":"10.1198/004017005000000661","ISBN":"0040-1706\\r1537-2723","ISSN":"00401706","PMID":"18888","abstract":"Multilevel (hierarchical) modeling is a generalization of linear and generalized linear modeling in which regression coefficients are themselves given a model, whose parameters are also estimated from data. We illustrate the strengths and limitations of multilevel modeling through an example of the prediction of home radon levels in U.S. counties. The multilevel model is highly effective for predictions at both levels of the model, but could easily be misinterpreted for causal inference.","author":[{"dropping-particle":"","family":"Gelman","given":"Andrew","non-dropping-particle":"","parse-names":false,"suffix":""}],"container-title":"Technometrics","id":"ITEM-1","issue":"3","issued":{"date-parts":[["2006"]]},"page":"432-435","title":"Multilevel (hierarchical) modeling: What It can and cannot do","type":"article-journal","volume":"48"},"uris":["http://www.mendeley.com/documents/?uuid=e13dfc1b-a279-3c1a-9076-7f2e8fd4d63f"]},{"id":"ITEM-2","itemData":{"DOI":"10.1515/humr.2003.021","ISBN":"0262232197","ISSN":"09331719","PMID":"1914185","abstract":"This graduate text provides an intuitive but rigorous treatment of contemporary methods used in microeconometric research. The book makes clear that applied microeconometrics is about the estimation of marginal and treatment effects, and that parametric estimation is simply a means to this end. It also clarifies the distinction between causality and statistical association.The book focuses specifically on cross section and panel data methods. Population assumptions are stated separately from sampling assumptions, leading to simple statements as well as to important insights. The unified approach to linear and nonlinear models and to cross section and panel data enables straightforward coverage of more advanced methods. The numerous end-of-chapter problems are an important component of the book. Some problems contain important points not fully described in the text, and others cover new ideas that can be analyzed using tools presented in the current and previous chapters. Several problems require the use of the data sets located at the author's website.","author":[{"dropping-particle":"","family":"Wooldrige, Jeffrey","given":"M.","non-dropping-particle":"","parse-names":false,"suffix":""}],"container-title":"Neurology Secrets","edition":"3rd editio","id":"ITEM-2","issued":{"date-parts":[["2011"]]},"number-of-pages":"1-735","publisher":"The MIT Press","publisher-place":"London","title":"Econometric Analysis of Cross Section and Panel Data","type":"book"},"uris":["http://www.mendeley.com/documents/?uuid=872f56b2-a94e-33cc-8ace-ded584a1667d"]},{"id":"ITEM-3","itemData":{"DOI":"10.1093/esr/jcv059","ISBN":"9780470380758","ISSN":"14682672","PMID":"25246403","abstract":"Country effects on outcomes for individuals are often analysed using multilevel (hierarchical) models applied to harmonized multi-country data sets such as ESS, EU-SILC, EVS, ISSP, and SHARE. We point out problems with the assessment of country effects that appear not to be widely appreciated, and develop our arguments using Monte Carlo simulation analysis of multilevel linear and logit mod- els. With large sample sizes of individuals within each country but only a small number of countries, analysts can reliably estimate individual-level effects but estimates of parameters summarizing coun- try effects are likely to be unreliable. Multilevel modelling methods are no panacea","author":[{"dropping-particle":"","family":"Bryan","given":"Mark L.","non-dropping-particle":"","parse-names":false,"suffix":""},{"dropping-particle":"","family":"Jenkins","given":"Stephen P.","non-dropping-particle":"","parse-names":false,"suffix":""}],"container-title":"European Sociological Review","id":"ITEM-3","issue":"1","issued":{"date-parts":[["2016"]]},"page":"3-22","title":"Multilevel modelling of country effects: A cautionary tale","type":"article-journal","volume":"32"},"uris":["http://www.mendeley.com/documents/?uuid=a8f33647-b881-33de-8bba-3163f4c8b18a"]}],"mendeley":{"formattedCitation":"(Bryan &amp; Jenkins, 2016; Gelman, 2006; Wooldrige, Jeffrey, 2011)","plainTextFormattedCitation":"(Bryan &amp; Jenkins, 2016; Gelman, 2006; Wooldrige, Jeffrey, 2011)","previouslyFormattedCitation":"(Bryan &amp; Jenkins, 2016; Gelman, 2006; Wooldrige, Jeffrey, 2011)"},"properties":{"noteIndex":0},"schema":"https://github.com/citation-style-language/schema/raw/master/csl-citation.json"}</w:instrText>
      </w:r>
      <w:r w:rsidR="002E5448">
        <w:rPr>
          <w:rFonts w:ascii="Times New Roman" w:hAnsi="Times New Roman"/>
          <w:sz w:val="24"/>
          <w:szCs w:val="24"/>
          <w:lang w:val="en-US"/>
        </w:rPr>
        <w:fldChar w:fldCharType="separate"/>
      </w:r>
      <w:r w:rsidR="002E5448" w:rsidRPr="002E5448">
        <w:rPr>
          <w:rFonts w:ascii="Times New Roman" w:hAnsi="Times New Roman"/>
          <w:noProof/>
          <w:sz w:val="24"/>
          <w:szCs w:val="24"/>
          <w:lang w:val="en-US"/>
        </w:rPr>
        <w:t>(Bryan &amp; Jenkins, 2016; Gelman, 2006; Wooldrige, Jeffrey, 2011)</w:t>
      </w:r>
      <w:r w:rsidR="002E5448">
        <w:rPr>
          <w:rFonts w:ascii="Times New Roman" w:hAnsi="Times New Roman"/>
          <w:sz w:val="24"/>
          <w:szCs w:val="24"/>
          <w:lang w:val="en-US"/>
        </w:rPr>
        <w:fldChar w:fldCharType="end"/>
      </w:r>
      <w:r w:rsidRPr="00E324C3">
        <w:rPr>
          <w:rFonts w:ascii="Times New Roman" w:hAnsi="Times New Roman"/>
          <w:sz w:val="24"/>
          <w:szCs w:val="24"/>
          <w:lang w:val="en-US"/>
        </w:rPr>
        <w:t>. Both would quantify the extent to which differences in BEV sales are explained by the differences in the effects of country-specific variables</w:t>
      </w:r>
      <w:r>
        <w:rPr>
          <w:rFonts w:ascii="Times New Roman" w:hAnsi="Times New Roman"/>
          <w:sz w:val="24"/>
          <w:szCs w:val="24"/>
          <w:lang w:val="en-US"/>
        </w:rPr>
        <w:t>.</w:t>
      </w:r>
      <w:r w:rsidRPr="00E324C3">
        <w:rPr>
          <w:rFonts w:ascii="Times New Roman" w:hAnsi="Times New Roman"/>
          <w:sz w:val="24"/>
          <w:szCs w:val="24"/>
          <w:lang w:val="en-US"/>
        </w:rPr>
        <w:t xml:space="preserve"> In other words, these models would isolate country effects from car model effects: the differences in BEV sales associated with differences in </w:t>
      </w:r>
      <w:r>
        <w:rPr>
          <w:rFonts w:ascii="Times New Roman" w:hAnsi="Times New Roman"/>
          <w:sz w:val="24"/>
          <w:szCs w:val="24"/>
          <w:lang w:val="en-US"/>
        </w:rPr>
        <w:t xml:space="preserve">national policies/countries’ </w:t>
      </w:r>
      <w:r w:rsidRPr="00E324C3">
        <w:rPr>
          <w:rFonts w:ascii="Times New Roman" w:hAnsi="Times New Roman"/>
          <w:sz w:val="24"/>
          <w:szCs w:val="24"/>
          <w:lang w:val="en-US"/>
        </w:rPr>
        <w:t xml:space="preserve">characteristics and car models respectively. However, </w:t>
      </w:r>
      <w:r w:rsidR="00FE7771">
        <w:rPr>
          <w:rFonts w:ascii="Times New Roman" w:hAnsi="Times New Roman"/>
          <w:sz w:val="24"/>
          <w:szCs w:val="24"/>
          <w:lang w:val="en-US"/>
        </w:rPr>
        <w:t>t</w:t>
      </w:r>
      <w:r w:rsidR="00FE7771" w:rsidRPr="00E324C3">
        <w:rPr>
          <w:rFonts w:ascii="Times New Roman" w:hAnsi="Times New Roman"/>
          <w:sz w:val="24"/>
          <w:szCs w:val="24"/>
          <w:lang w:val="en-US"/>
        </w:rPr>
        <w:t>o tell the differences between countries at least 25 countries are required for a linear model</w:t>
      </w:r>
      <w:r w:rsidR="00FE7771">
        <w:rPr>
          <w:rFonts w:ascii="Times New Roman" w:hAnsi="Times New Roman"/>
          <w:sz w:val="24"/>
          <w:szCs w:val="24"/>
          <w:lang w:val="en-US"/>
        </w:rPr>
        <w:t xml:space="preserve"> (</w:t>
      </w:r>
      <w:r w:rsidR="00FE7771" w:rsidRPr="00E324C3">
        <w:rPr>
          <w:rFonts w:ascii="Times New Roman" w:hAnsi="Times New Roman"/>
          <w:sz w:val="24"/>
          <w:szCs w:val="24"/>
          <w:lang w:val="en-US"/>
        </w:rPr>
        <w:t>Bryan and Jenkins 2016</w:t>
      </w:r>
      <w:r w:rsidR="00FE7771">
        <w:rPr>
          <w:rFonts w:ascii="Times New Roman" w:hAnsi="Times New Roman"/>
          <w:sz w:val="24"/>
          <w:szCs w:val="24"/>
          <w:lang w:val="en-US"/>
        </w:rPr>
        <w:t>)</w:t>
      </w:r>
      <w:r w:rsidR="00FE7771" w:rsidRPr="00E324C3">
        <w:rPr>
          <w:rFonts w:ascii="Times New Roman" w:hAnsi="Times New Roman"/>
          <w:sz w:val="24"/>
          <w:szCs w:val="24"/>
          <w:lang w:val="en-US"/>
        </w:rPr>
        <w:t xml:space="preserve">. </w:t>
      </w:r>
      <w:r w:rsidR="00FA567D">
        <w:rPr>
          <w:rFonts w:ascii="Times New Roman" w:hAnsi="Times New Roman"/>
          <w:sz w:val="24"/>
          <w:szCs w:val="24"/>
          <w:lang w:val="en-US"/>
        </w:rPr>
        <w:t>As we only have 17 countries, we refrain from using a RE model and overfitting the data.</w:t>
      </w:r>
    </w:p>
    <w:p w:rsidR="00E324C3" w:rsidRDefault="00FA567D" w:rsidP="00FA567D">
      <w:pPr>
        <w:autoSpaceDE w:val="0"/>
        <w:autoSpaceDN w:val="0"/>
        <w:adjustRightInd w:val="0"/>
        <w:spacing w:after="120" w:line="360" w:lineRule="auto"/>
        <w:jc w:val="both"/>
        <w:rPr>
          <w:rFonts w:ascii="Times New Roman" w:hAnsi="Times New Roman"/>
          <w:sz w:val="24"/>
          <w:szCs w:val="24"/>
          <w:lang w:val="en-US"/>
        </w:rPr>
      </w:pPr>
      <w:r>
        <w:rPr>
          <w:rFonts w:ascii="Times New Roman" w:hAnsi="Times New Roman"/>
          <w:sz w:val="24"/>
          <w:szCs w:val="24"/>
          <w:lang w:val="en-US"/>
        </w:rPr>
        <w:t>Instead</w:t>
      </w:r>
      <w:r w:rsidR="00FE7771">
        <w:rPr>
          <w:rFonts w:ascii="Times New Roman" w:hAnsi="Times New Roman"/>
          <w:sz w:val="24"/>
          <w:szCs w:val="24"/>
          <w:lang w:val="en-US"/>
        </w:rPr>
        <w:t xml:space="preserve">, </w:t>
      </w:r>
      <w:r w:rsidR="00D362D0">
        <w:rPr>
          <w:rFonts w:ascii="Times New Roman" w:hAnsi="Times New Roman"/>
          <w:sz w:val="24"/>
          <w:szCs w:val="24"/>
          <w:lang w:val="en-US"/>
        </w:rPr>
        <w:t>a</w:t>
      </w:r>
      <w:r w:rsidR="00AB4890">
        <w:rPr>
          <w:rFonts w:ascii="Times New Roman" w:hAnsi="Times New Roman"/>
          <w:sz w:val="24"/>
          <w:szCs w:val="24"/>
          <w:lang w:val="en-US"/>
        </w:rPr>
        <w:t xml:space="preserve"> multiple l</w:t>
      </w:r>
      <w:r w:rsidR="003A6EB9">
        <w:rPr>
          <w:rFonts w:ascii="Times New Roman" w:hAnsi="Times New Roman"/>
          <w:sz w:val="24"/>
          <w:szCs w:val="24"/>
          <w:lang w:val="en-US"/>
        </w:rPr>
        <w:t>og</w:t>
      </w:r>
      <w:r w:rsidR="00AB4890">
        <w:rPr>
          <w:rFonts w:ascii="Times New Roman" w:hAnsi="Times New Roman"/>
          <w:sz w:val="24"/>
          <w:szCs w:val="24"/>
          <w:lang w:val="en-US"/>
        </w:rPr>
        <w:t>-linear</w:t>
      </w:r>
      <w:r w:rsidR="000B3C38">
        <w:rPr>
          <w:rFonts w:ascii="Times New Roman" w:hAnsi="Times New Roman"/>
          <w:sz w:val="24"/>
          <w:szCs w:val="24"/>
          <w:lang w:val="en-US"/>
        </w:rPr>
        <w:t xml:space="preserve"> ordinary least squares</w:t>
      </w:r>
      <w:r w:rsidR="003A6EB9">
        <w:rPr>
          <w:rFonts w:ascii="Times New Roman" w:hAnsi="Times New Roman"/>
          <w:sz w:val="24"/>
          <w:szCs w:val="24"/>
          <w:lang w:val="en-US"/>
        </w:rPr>
        <w:t xml:space="preserve"> </w:t>
      </w:r>
      <w:r w:rsidR="00BB39FA">
        <w:rPr>
          <w:rFonts w:ascii="Times New Roman" w:hAnsi="Times New Roman"/>
          <w:sz w:val="24"/>
          <w:szCs w:val="24"/>
          <w:lang w:val="en-US"/>
        </w:rPr>
        <w:t xml:space="preserve">(OLS) </w:t>
      </w:r>
      <w:r w:rsidR="003A6EB9">
        <w:rPr>
          <w:rFonts w:ascii="Times New Roman" w:hAnsi="Times New Roman"/>
          <w:sz w:val="24"/>
          <w:szCs w:val="24"/>
          <w:lang w:val="en-US"/>
        </w:rPr>
        <w:t>regression model was built incorporating the variables from Tabl</w:t>
      </w:r>
      <w:r w:rsidR="001732AB">
        <w:rPr>
          <w:rFonts w:ascii="Times New Roman" w:hAnsi="Times New Roman"/>
          <w:sz w:val="24"/>
          <w:szCs w:val="24"/>
          <w:lang w:val="en-US"/>
        </w:rPr>
        <w:t>e 1</w:t>
      </w:r>
      <w:r w:rsidR="00333DCF">
        <w:rPr>
          <w:rFonts w:ascii="Times New Roman" w:hAnsi="Times New Roman"/>
          <w:sz w:val="24"/>
          <w:szCs w:val="24"/>
          <w:lang w:val="en-US"/>
        </w:rPr>
        <w:t xml:space="preserve"> (see Appendix 8.1)</w:t>
      </w:r>
      <w:r w:rsidR="001732AB">
        <w:rPr>
          <w:rFonts w:ascii="Times New Roman" w:hAnsi="Times New Roman"/>
          <w:sz w:val="24"/>
          <w:szCs w:val="24"/>
          <w:lang w:val="en-US"/>
        </w:rPr>
        <w:t xml:space="preserve">. </w:t>
      </w:r>
      <w:r w:rsidR="00D362D0">
        <w:rPr>
          <w:rFonts w:ascii="Times New Roman" w:hAnsi="Times New Roman"/>
          <w:sz w:val="24"/>
          <w:szCs w:val="24"/>
          <w:lang w:val="en-US"/>
        </w:rPr>
        <w:t>The l</w:t>
      </w:r>
      <w:r w:rsidR="003A6EB9">
        <w:rPr>
          <w:rFonts w:ascii="Times New Roman" w:hAnsi="Times New Roman"/>
          <w:sz w:val="24"/>
          <w:szCs w:val="24"/>
          <w:lang w:val="en-US"/>
        </w:rPr>
        <w:t xml:space="preserve">ogarithmic transformation of </w:t>
      </w:r>
      <w:r w:rsidR="005B5FC2">
        <w:rPr>
          <w:rFonts w:ascii="Times New Roman" w:hAnsi="Times New Roman"/>
          <w:sz w:val="24"/>
          <w:szCs w:val="24"/>
          <w:lang w:val="en-US"/>
        </w:rPr>
        <w:t xml:space="preserve">the </w:t>
      </w:r>
      <w:r w:rsidR="005A174B">
        <w:rPr>
          <w:rFonts w:ascii="Times New Roman" w:hAnsi="Times New Roman"/>
          <w:sz w:val="24"/>
          <w:szCs w:val="24"/>
          <w:lang w:val="en-US"/>
        </w:rPr>
        <w:t>response variable</w:t>
      </w:r>
      <w:r w:rsidR="003A6EB9">
        <w:rPr>
          <w:rFonts w:ascii="Times New Roman" w:hAnsi="Times New Roman"/>
          <w:sz w:val="24"/>
          <w:szCs w:val="24"/>
          <w:lang w:val="en-US"/>
        </w:rPr>
        <w:t xml:space="preserve"> is </w:t>
      </w:r>
      <w:r w:rsidR="005B5FC2">
        <w:rPr>
          <w:rFonts w:ascii="Times New Roman" w:hAnsi="Times New Roman"/>
          <w:sz w:val="24"/>
          <w:szCs w:val="24"/>
          <w:lang w:val="en-US"/>
        </w:rPr>
        <w:t>appropriate</w:t>
      </w:r>
      <w:r w:rsidR="003A6EB9">
        <w:rPr>
          <w:rFonts w:ascii="Times New Roman" w:hAnsi="Times New Roman"/>
          <w:sz w:val="24"/>
          <w:szCs w:val="24"/>
          <w:lang w:val="en-US"/>
        </w:rPr>
        <w:t xml:space="preserve"> </w:t>
      </w:r>
      <w:r w:rsidR="00EB390E">
        <w:rPr>
          <w:rFonts w:ascii="Times New Roman" w:hAnsi="Times New Roman"/>
          <w:sz w:val="24"/>
          <w:szCs w:val="24"/>
          <w:lang w:val="en-US"/>
        </w:rPr>
        <w:t>when dealing with</w:t>
      </w:r>
      <w:r w:rsidR="005B5FC2">
        <w:rPr>
          <w:rFonts w:ascii="Times New Roman" w:hAnsi="Times New Roman"/>
          <w:sz w:val="24"/>
          <w:szCs w:val="24"/>
          <w:lang w:val="en-US"/>
        </w:rPr>
        <w:t xml:space="preserve"> </w:t>
      </w:r>
      <w:r w:rsidR="00D362D0">
        <w:rPr>
          <w:rFonts w:ascii="Times New Roman" w:hAnsi="Times New Roman"/>
          <w:sz w:val="24"/>
          <w:szCs w:val="24"/>
          <w:lang w:val="en-US"/>
        </w:rPr>
        <w:t>a</w:t>
      </w:r>
      <w:r w:rsidR="005B5FC2">
        <w:rPr>
          <w:rFonts w:ascii="Times New Roman" w:hAnsi="Times New Roman"/>
          <w:sz w:val="24"/>
          <w:szCs w:val="24"/>
          <w:lang w:val="en-US"/>
        </w:rPr>
        <w:t xml:space="preserve"> </w:t>
      </w:r>
      <w:r w:rsidR="008536D4">
        <w:rPr>
          <w:rFonts w:ascii="Times New Roman" w:hAnsi="Times New Roman"/>
          <w:sz w:val="24"/>
          <w:szCs w:val="24"/>
          <w:lang w:val="en-US"/>
        </w:rPr>
        <w:t>skewed distribution of the data</w:t>
      </w:r>
      <w:r w:rsidR="00715D54">
        <w:rPr>
          <w:rFonts w:ascii="Times New Roman" w:hAnsi="Times New Roman"/>
          <w:sz w:val="24"/>
          <w:szCs w:val="24"/>
          <w:lang w:val="en-US"/>
        </w:rPr>
        <w:t xml:space="preserve"> </w:t>
      </w:r>
      <w:r w:rsidR="00715D54">
        <w:rPr>
          <w:rFonts w:ascii="Times New Roman" w:hAnsi="Times New Roman"/>
          <w:sz w:val="24"/>
          <w:szCs w:val="24"/>
          <w:lang w:val="en-US"/>
        </w:rPr>
        <w:lastRenderedPageBreak/>
        <w:t>(see</w:t>
      </w:r>
      <w:r w:rsidR="00333DCF">
        <w:rPr>
          <w:rFonts w:ascii="Times New Roman" w:hAnsi="Times New Roman"/>
          <w:sz w:val="24"/>
          <w:szCs w:val="24"/>
          <w:lang w:val="en-US"/>
        </w:rPr>
        <w:t xml:space="preserve"> Appendix 8.1</w:t>
      </w:r>
      <w:r w:rsidR="00715D54">
        <w:rPr>
          <w:rFonts w:ascii="Times New Roman" w:hAnsi="Times New Roman"/>
          <w:sz w:val="24"/>
          <w:szCs w:val="24"/>
          <w:lang w:val="en-US"/>
        </w:rPr>
        <w:t>, Graph 1.1 and 1.2)</w:t>
      </w:r>
      <w:r w:rsidR="008536D4">
        <w:rPr>
          <w:rFonts w:ascii="Times New Roman" w:hAnsi="Times New Roman"/>
          <w:sz w:val="24"/>
          <w:szCs w:val="24"/>
          <w:lang w:val="en-US"/>
        </w:rPr>
        <w:t xml:space="preserve">. </w:t>
      </w:r>
      <w:r w:rsidR="00715D54">
        <w:rPr>
          <w:rFonts w:ascii="Times New Roman" w:hAnsi="Times New Roman"/>
          <w:sz w:val="24"/>
          <w:szCs w:val="24"/>
          <w:lang w:val="en-US"/>
        </w:rPr>
        <w:t>However, the Box-Cox transformation with</w:t>
      </w:r>
      <w:r w:rsidR="00D362D0">
        <w:rPr>
          <w:rFonts w:ascii="Times New Roman" w:hAnsi="Times New Roman"/>
          <w:sz w:val="24"/>
          <w:szCs w:val="24"/>
          <w:lang w:val="en-US"/>
        </w:rPr>
        <w:t xml:space="preserve"> a</w:t>
      </w:r>
      <w:r w:rsidR="00715D54">
        <w:rPr>
          <w:rFonts w:ascii="Times New Roman" w:hAnsi="Times New Roman"/>
          <w:sz w:val="24"/>
          <w:szCs w:val="24"/>
          <w:lang w:val="en-US"/>
        </w:rPr>
        <w:t xml:space="preserve"> natural logarithm did not normalize </w:t>
      </w:r>
      <w:r w:rsidR="00B21B8C">
        <w:rPr>
          <w:rFonts w:ascii="Times New Roman" w:hAnsi="Times New Roman"/>
          <w:sz w:val="24"/>
          <w:szCs w:val="24"/>
          <w:lang w:val="en-US"/>
        </w:rPr>
        <w:t xml:space="preserve">the </w:t>
      </w:r>
      <w:r w:rsidR="00715D54">
        <w:rPr>
          <w:rFonts w:ascii="Times New Roman" w:hAnsi="Times New Roman"/>
          <w:sz w:val="24"/>
          <w:szCs w:val="24"/>
          <w:lang w:val="en-US"/>
        </w:rPr>
        <w:t>distribution of BEV registrations</w:t>
      </w:r>
      <w:r w:rsidR="00B21B8C">
        <w:rPr>
          <w:rFonts w:ascii="Times New Roman" w:hAnsi="Times New Roman"/>
          <w:sz w:val="24"/>
          <w:szCs w:val="24"/>
          <w:lang w:val="en-US"/>
        </w:rPr>
        <w:t xml:space="preserve"> (see </w:t>
      </w:r>
      <w:r w:rsidR="00333DCF">
        <w:rPr>
          <w:rFonts w:ascii="Times New Roman" w:hAnsi="Times New Roman"/>
          <w:sz w:val="24"/>
          <w:szCs w:val="24"/>
          <w:lang w:val="en-US"/>
        </w:rPr>
        <w:t xml:space="preserve">Appendix 8.1, </w:t>
      </w:r>
      <w:r w:rsidR="00B21B8C">
        <w:rPr>
          <w:rFonts w:ascii="Times New Roman" w:hAnsi="Times New Roman"/>
          <w:sz w:val="24"/>
          <w:szCs w:val="24"/>
          <w:lang w:val="en-US"/>
        </w:rPr>
        <w:t>Graph 1.3</w:t>
      </w:r>
      <w:r w:rsidR="00333DCF">
        <w:rPr>
          <w:rFonts w:ascii="Times New Roman" w:hAnsi="Times New Roman"/>
          <w:sz w:val="24"/>
          <w:szCs w:val="24"/>
          <w:lang w:val="en-US"/>
        </w:rPr>
        <w:t xml:space="preserve">, </w:t>
      </w:r>
      <w:r w:rsidR="00B21B8C">
        <w:rPr>
          <w:rFonts w:ascii="Times New Roman" w:hAnsi="Times New Roman"/>
          <w:sz w:val="24"/>
          <w:szCs w:val="24"/>
          <w:lang w:val="en-US"/>
        </w:rPr>
        <w:t>1.4</w:t>
      </w:r>
      <w:r w:rsidR="00333DCF">
        <w:rPr>
          <w:rFonts w:ascii="Times New Roman" w:hAnsi="Times New Roman"/>
          <w:sz w:val="24"/>
          <w:szCs w:val="24"/>
          <w:lang w:val="en-US"/>
        </w:rPr>
        <w:t xml:space="preserve"> and 1.5</w:t>
      </w:r>
      <w:r w:rsidR="00B21B8C">
        <w:rPr>
          <w:rFonts w:ascii="Times New Roman" w:hAnsi="Times New Roman"/>
          <w:sz w:val="24"/>
          <w:szCs w:val="24"/>
          <w:lang w:val="en-US"/>
        </w:rPr>
        <w:t>)</w:t>
      </w:r>
      <w:r w:rsidR="00715D54">
        <w:rPr>
          <w:rFonts w:ascii="Times New Roman" w:hAnsi="Times New Roman"/>
          <w:sz w:val="24"/>
          <w:szCs w:val="24"/>
          <w:lang w:val="en-US"/>
        </w:rPr>
        <w:t xml:space="preserve">. Still, we keep it because it helps to tackle its </w:t>
      </w:r>
      <w:r w:rsidR="005B5FC2" w:rsidRPr="00E324C3">
        <w:rPr>
          <w:rFonts w:ascii="Times New Roman" w:hAnsi="Times New Roman"/>
          <w:sz w:val="24"/>
          <w:szCs w:val="24"/>
          <w:lang w:val="en-US"/>
        </w:rPr>
        <w:t>heteroscedasticity</w:t>
      </w:r>
      <w:r w:rsidR="005B5FC2">
        <w:rPr>
          <w:rFonts w:ascii="Times New Roman" w:hAnsi="Times New Roman"/>
          <w:sz w:val="24"/>
          <w:szCs w:val="24"/>
          <w:lang w:val="en-US"/>
        </w:rPr>
        <w:t xml:space="preserve"> characteristic</w:t>
      </w:r>
      <w:r w:rsidR="000822C1">
        <w:rPr>
          <w:rFonts w:ascii="Times New Roman" w:hAnsi="Times New Roman"/>
          <w:sz w:val="24"/>
          <w:szCs w:val="24"/>
          <w:lang w:val="en-US"/>
        </w:rPr>
        <w:t xml:space="preserve"> (see Appendix 8.1, Graph 1.6 and 1.7)</w:t>
      </w:r>
      <w:r w:rsidR="00E324C3" w:rsidRPr="00E324C3">
        <w:rPr>
          <w:rFonts w:ascii="Times New Roman" w:hAnsi="Times New Roman"/>
          <w:sz w:val="24"/>
          <w:szCs w:val="24"/>
          <w:lang w:val="en-US"/>
        </w:rPr>
        <w:t xml:space="preserve">. </w:t>
      </w:r>
      <w:r w:rsidR="00AB4890">
        <w:rPr>
          <w:rFonts w:ascii="Times New Roman" w:hAnsi="Times New Roman"/>
          <w:sz w:val="24"/>
          <w:szCs w:val="24"/>
          <w:lang w:val="en-US"/>
        </w:rPr>
        <w:t>L</w:t>
      </w:r>
      <w:r w:rsidR="00E324C3" w:rsidRPr="00E324C3">
        <w:rPr>
          <w:rFonts w:ascii="Times New Roman" w:hAnsi="Times New Roman"/>
          <w:sz w:val="24"/>
          <w:szCs w:val="24"/>
          <w:lang w:val="en-US"/>
        </w:rPr>
        <w:t xml:space="preserve">og-linear and log-log model </w:t>
      </w:r>
      <w:r w:rsidR="00AB4890">
        <w:rPr>
          <w:rFonts w:ascii="Times New Roman" w:hAnsi="Times New Roman"/>
          <w:sz w:val="24"/>
          <w:szCs w:val="24"/>
          <w:lang w:val="en-US"/>
        </w:rPr>
        <w:t xml:space="preserve">were compared, with the former </w:t>
      </w:r>
      <w:r w:rsidR="00D362D0">
        <w:rPr>
          <w:rFonts w:ascii="Times New Roman" w:hAnsi="Times New Roman"/>
          <w:sz w:val="24"/>
          <w:szCs w:val="24"/>
          <w:lang w:val="en-US"/>
        </w:rPr>
        <w:t>generating</w:t>
      </w:r>
      <w:r w:rsidR="00AB4890">
        <w:rPr>
          <w:rFonts w:ascii="Times New Roman" w:hAnsi="Times New Roman"/>
          <w:sz w:val="24"/>
          <w:szCs w:val="24"/>
          <w:lang w:val="en-US"/>
        </w:rPr>
        <w:t xml:space="preserve"> </w:t>
      </w:r>
      <w:r w:rsidR="00E324C3" w:rsidRPr="00E324C3">
        <w:rPr>
          <w:rFonts w:ascii="Times New Roman" w:hAnsi="Times New Roman"/>
          <w:sz w:val="24"/>
          <w:szCs w:val="24"/>
          <w:lang w:val="en-US"/>
        </w:rPr>
        <w:t>much higher R</w:t>
      </w:r>
      <w:r w:rsidR="00670735">
        <w:rPr>
          <w:rFonts w:ascii="Times New Roman" w:hAnsi="Times New Roman"/>
          <w:sz w:val="24"/>
          <w:szCs w:val="24"/>
          <w:lang w:val="en-US"/>
        </w:rPr>
        <w:t>-</w:t>
      </w:r>
      <w:r w:rsidR="00E324C3" w:rsidRPr="00E324C3">
        <w:rPr>
          <w:rFonts w:ascii="Times New Roman" w:hAnsi="Times New Roman"/>
          <w:sz w:val="24"/>
          <w:szCs w:val="24"/>
          <w:lang w:val="en-US"/>
        </w:rPr>
        <w:t>sq</w:t>
      </w:r>
      <w:r w:rsidR="00670735">
        <w:rPr>
          <w:rFonts w:ascii="Times New Roman" w:hAnsi="Times New Roman"/>
          <w:sz w:val="24"/>
          <w:szCs w:val="24"/>
          <w:lang w:val="en-US"/>
        </w:rPr>
        <w:t>uared</w:t>
      </w:r>
      <w:r w:rsidR="00E324C3" w:rsidRPr="00E324C3">
        <w:rPr>
          <w:rFonts w:ascii="Times New Roman" w:hAnsi="Times New Roman"/>
          <w:sz w:val="24"/>
          <w:szCs w:val="24"/>
          <w:lang w:val="en-US"/>
        </w:rPr>
        <w:t xml:space="preserve"> (24</w:t>
      </w:r>
      <w:r w:rsidR="00AF62F6">
        <w:rPr>
          <w:rFonts w:ascii="Times New Roman" w:hAnsi="Times New Roman"/>
          <w:sz w:val="24"/>
          <w:szCs w:val="24"/>
          <w:lang w:val="en-US"/>
        </w:rPr>
        <w:t>.</w:t>
      </w:r>
      <w:r w:rsidR="00E324C3" w:rsidRPr="00E324C3">
        <w:rPr>
          <w:rFonts w:ascii="Times New Roman" w:hAnsi="Times New Roman"/>
          <w:sz w:val="24"/>
          <w:szCs w:val="24"/>
          <w:lang w:val="en-US"/>
        </w:rPr>
        <w:t>48 % against 3</w:t>
      </w:r>
      <w:r w:rsidR="00AF62F6">
        <w:rPr>
          <w:rFonts w:ascii="Times New Roman" w:hAnsi="Times New Roman"/>
          <w:sz w:val="24"/>
          <w:szCs w:val="24"/>
          <w:lang w:val="en-US"/>
        </w:rPr>
        <w:t>.</w:t>
      </w:r>
      <w:r w:rsidR="00E324C3" w:rsidRPr="00E324C3">
        <w:rPr>
          <w:rFonts w:ascii="Times New Roman" w:hAnsi="Times New Roman"/>
          <w:sz w:val="24"/>
          <w:szCs w:val="24"/>
          <w:lang w:val="en-US"/>
        </w:rPr>
        <w:t xml:space="preserve">12%). Moreover, </w:t>
      </w:r>
      <w:r w:rsidR="00D362D0">
        <w:rPr>
          <w:rFonts w:ascii="Times New Roman" w:hAnsi="Times New Roman"/>
          <w:sz w:val="24"/>
          <w:szCs w:val="24"/>
          <w:lang w:val="en-US"/>
        </w:rPr>
        <w:t xml:space="preserve">a </w:t>
      </w:r>
      <w:r w:rsidR="00AB4890" w:rsidRPr="00E324C3">
        <w:rPr>
          <w:rFonts w:ascii="Times New Roman" w:hAnsi="Times New Roman"/>
          <w:sz w:val="24"/>
          <w:szCs w:val="24"/>
          <w:lang w:val="en-US"/>
        </w:rPr>
        <w:t>log-log model would exclude</w:t>
      </w:r>
      <w:r w:rsidR="00AB4890">
        <w:rPr>
          <w:rFonts w:ascii="Times New Roman" w:hAnsi="Times New Roman"/>
          <w:sz w:val="24"/>
          <w:szCs w:val="24"/>
          <w:lang w:val="en-US"/>
        </w:rPr>
        <w:t xml:space="preserve"> the countries that </w:t>
      </w:r>
      <w:r w:rsidR="00E324C3" w:rsidRPr="00E324C3">
        <w:rPr>
          <w:rFonts w:ascii="Times New Roman" w:hAnsi="Times New Roman"/>
          <w:sz w:val="24"/>
          <w:szCs w:val="24"/>
          <w:lang w:val="en-US"/>
        </w:rPr>
        <w:t>did not introduce government grant but some other policy measures</w:t>
      </w:r>
      <w:r w:rsidR="00AB4890">
        <w:rPr>
          <w:rFonts w:ascii="Times New Roman" w:hAnsi="Times New Roman"/>
          <w:sz w:val="24"/>
          <w:szCs w:val="24"/>
          <w:lang w:val="en-US"/>
        </w:rPr>
        <w:t>.</w:t>
      </w:r>
      <w:r w:rsidR="00E324C3" w:rsidRPr="00E324C3">
        <w:rPr>
          <w:rFonts w:ascii="Times New Roman" w:hAnsi="Times New Roman"/>
          <w:sz w:val="24"/>
          <w:szCs w:val="24"/>
          <w:lang w:val="en-US"/>
        </w:rPr>
        <w:t xml:space="preserve"> </w:t>
      </w:r>
      <w:r w:rsidR="00C250D6">
        <w:rPr>
          <w:rFonts w:ascii="Times New Roman" w:hAnsi="Times New Roman"/>
          <w:sz w:val="24"/>
          <w:szCs w:val="24"/>
          <w:lang w:val="en-US"/>
        </w:rPr>
        <w:t xml:space="preserve">Furthermore, there was no evidence for the non-linearity of the </w:t>
      </w:r>
      <w:r w:rsidR="001B3DD0">
        <w:rPr>
          <w:rFonts w:ascii="Times New Roman" w:hAnsi="Times New Roman"/>
          <w:sz w:val="24"/>
          <w:szCs w:val="24"/>
          <w:lang w:val="en-US"/>
        </w:rPr>
        <w:t xml:space="preserve">regression </w:t>
      </w:r>
      <w:r w:rsidR="00C250D6">
        <w:rPr>
          <w:rFonts w:ascii="Times New Roman" w:hAnsi="Times New Roman"/>
          <w:sz w:val="24"/>
          <w:szCs w:val="24"/>
          <w:lang w:val="en-US"/>
        </w:rPr>
        <w:t>function</w:t>
      </w:r>
      <w:r w:rsidR="001B3DD0">
        <w:rPr>
          <w:rFonts w:ascii="Times New Roman" w:hAnsi="Times New Roman"/>
          <w:sz w:val="24"/>
          <w:szCs w:val="24"/>
          <w:lang w:val="en-US"/>
        </w:rPr>
        <w:t xml:space="preserve"> </w:t>
      </w:r>
      <w:r w:rsidR="00CE4A3F" w:rsidRPr="00E324C3">
        <w:rPr>
          <w:rFonts w:ascii="Times New Roman" w:hAnsi="Times New Roman"/>
          <w:sz w:val="24"/>
          <w:szCs w:val="24"/>
          <w:lang w:val="en-US"/>
        </w:rPr>
        <w:t>(</w:t>
      </w:r>
      <w:r w:rsidR="00CE4A3F">
        <w:rPr>
          <w:rFonts w:ascii="Times New Roman" w:hAnsi="Times New Roman"/>
          <w:sz w:val="24"/>
          <w:szCs w:val="24"/>
          <w:lang w:val="en-US"/>
        </w:rPr>
        <w:t>see</w:t>
      </w:r>
      <w:r w:rsidR="00CE4A3F" w:rsidRPr="00E324C3">
        <w:rPr>
          <w:rFonts w:ascii="Times New Roman" w:hAnsi="Times New Roman"/>
          <w:sz w:val="24"/>
          <w:szCs w:val="24"/>
          <w:lang w:val="en-US"/>
        </w:rPr>
        <w:t xml:space="preserve"> </w:t>
      </w:r>
      <w:r w:rsidR="00333DCF">
        <w:rPr>
          <w:rFonts w:ascii="Times New Roman" w:hAnsi="Times New Roman"/>
          <w:sz w:val="24"/>
          <w:szCs w:val="24"/>
          <w:lang w:val="en-US"/>
        </w:rPr>
        <w:t xml:space="preserve">Appendix 8.1, </w:t>
      </w:r>
      <w:r w:rsidR="00CE4A3F">
        <w:rPr>
          <w:rFonts w:ascii="Times New Roman" w:hAnsi="Times New Roman"/>
          <w:sz w:val="24"/>
          <w:szCs w:val="24"/>
          <w:lang w:val="en-US"/>
        </w:rPr>
        <w:t>Table</w:t>
      </w:r>
      <w:r w:rsidR="001732AB">
        <w:rPr>
          <w:rFonts w:ascii="Times New Roman" w:hAnsi="Times New Roman"/>
          <w:sz w:val="24"/>
          <w:szCs w:val="24"/>
          <w:lang w:val="en-US"/>
        </w:rPr>
        <w:t xml:space="preserve"> 3</w:t>
      </w:r>
      <w:r w:rsidR="00CE4A3F">
        <w:rPr>
          <w:rFonts w:ascii="Times New Roman" w:hAnsi="Times New Roman"/>
          <w:sz w:val="24"/>
          <w:szCs w:val="24"/>
          <w:lang w:val="en-US"/>
        </w:rPr>
        <w:t>)</w:t>
      </w:r>
      <w:r w:rsidR="00D034E4">
        <w:rPr>
          <w:rFonts w:ascii="Times New Roman" w:hAnsi="Times New Roman"/>
          <w:sz w:val="24"/>
          <w:szCs w:val="24"/>
          <w:lang w:val="en-US"/>
        </w:rPr>
        <w:t xml:space="preserve"> </w:t>
      </w:r>
      <w:r w:rsidR="00B02056">
        <w:rPr>
          <w:rFonts w:ascii="Times New Roman" w:hAnsi="Times New Roman"/>
          <w:sz w:val="24"/>
          <w:szCs w:val="24"/>
          <w:lang w:val="en-US"/>
        </w:rPr>
        <w:fldChar w:fldCharType="begin" w:fldLock="1"/>
      </w:r>
      <w:r w:rsidR="00C250D6">
        <w:rPr>
          <w:rFonts w:ascii="Times New Roman" w:hAnsi="Times New Roman"/>
          <w:sz w:val="24"/>
          <w:szCs w:val="24"/>
          <w:lang w:val="en-US"/>
        </w:rPr>
        <w:instrText>ADDIN CSL_CITATION {"citationItems":[{"id":"ITEM-1","itemData":{"DOI":"10.2307/2552778","ISBN":"0199280967","ISSN":"00401706","PMID":"21842280","abstract":"Introduction to Econometrics provides an introduction to econometrics using analytical and intuitive methods of the classical linear regression model. Mathematical notation is kept simple and step-by-step explanations of mathematical proofs are provided to facilitate learning. The text also provided to facilitate learning. The text also contains a large number of practical exercises, enabling students to practice what they have learned. This new edition has been substantially updated and revised with the inclusion of new material on specification tests, binary choice models, tobit analysis, sample selection bias, nonstationary time series, and unit root tests and basic cointegration. The new edition is also accompanied by a website with Powerpoint slideshows giving a parallel graphical treatment of topics treated in the book, cross-section and time series data sets, manuals for practical exercises, and lecture note extending the text.","author":[{"dropping-particle":"","family":"Stock","given":"James H.","non-dropping-particle":"","parse-names":false,"suffix":""},{"dropping-particle":"","family":"Watson","given":"Mark M.","non-dropping-particle":"","parse-names":false,"suffix":""}],"container-title":"Pearson","edition":"3rd editio","id":"ITEM-1","issued":{"date-parts":[["2015"]]},"number-of-pages":"836","publisher":"Pearson Eduaction Limited","publisher-place":"Harlow","title":"Introduction to Econometrics","type":"book"},"uris":["http://www.mendeley.com/documents/?uuid=302e8bea-afd8-3932-892d-cea629e6d459"]}],"mendeley":{"formattedCitation":"(Stock &amp; Watson, 2015)","manualFormatting":"(Stock &amp; Watson, 2015, pp 323-324)","plainTextFormattedCitation":"(Stock &amp; Watson, 2015)","previouslyFormattedCitation":"(Stock &amp; Watson, 2015)"},"properties":{"noteIndex":0},"schema":"https://github.com/citation-style-language/schema/raw/master/csl-citation.json"}</w:instrText>
      </w:r>
      <w:r w:rsidR="00B02056">
        <w:rPr>
          <w:rFonts w:ascii="Times New Roman" w:hAnsi="Times New Roman"/>
          <w:sz w:val="24"/>
          <w:szCs w:val="24"/>
          <w:lang w:val="en-US"/>
        </w:rPr>
        <w:fldChar w:fldCharType="separate"/>
      </w:r>
      <w:r w:rsidR="00B02056" w:rsidRPr="00B02056">
        <w:rPr>
          <w:rFonts w:ascii="Times New Roman" w:hAnsi="Times New Roman"/>
          <w:noProof/>
          <w:sz w:val="24"/>
          <w:szCs w:val="24"/>
          <w:lang w:val="en-US"/>
        </w:rPr>
        <w:t>(Stock &amp; Watson, 2015</w:t>
      </w:r>
      <w:r w:rsidR="00B02056">
        <w:rPr>
          <w:rFonts w:ascii="Times New Roman" w:hAnsi="Times New Roman"/>
          <w:noProof/>
          <w:sz w:val="24"/>
          <w:szCs w:val="24"/>
          <w:lang w:val="en-US"/>
        </w:rPr>
        <w:t>, pp</w:t>
      </w:r>
      <w:r w:rsidR="00B02056" w:rsidRPr="00E324C3">
        <w:rPr>
          <w:rFonts w:ascii="Times New Roman" w:hAnsi="Times New Roman"/>
          <w:noProof/>
          <w:sz w:val="24"/>
          <w:szCs w:val="24"/>
          <w:lang w:val="en-US"/>
        </w:rPr>
        <w:t xml:space="preserve"> 323-324</w:t>
      </w:r>
      <w:r w:rsidR="00B02056" w:rsidRPr="00B02056">
        <w:rPr>
          <w:rFonts w:ascii="Times New Roman" w:hAnsi="Times New Roman"/>
          <w:noProof/>
          <w:sz w:val="24"/>
          <w:szCs w:val="24"/>
          <w:lang w:val="en-US"/>
        </w:rPr>
        <w:t>)</w:t>
      </w:r>
      <w:r w:rsidR="00B02056">
        <w:rPr>
          <w:rFonts w:ascii="Times New Roman" w:hAnsi="Times New Roman"/>
          <w:sz w:val="24"/>
          <w:szCs w:val="24"/>
          <w:lang w:val="en-US"/>
        </w:rPr>
        <w:fldChar w:fldCharType="end"/>
      </w:r>
      <w:r w:rsidR="00E324C3" w:rsidRPr="00E324C3">
        <w:rPr>
          <w:rFonts w:ascii="Times New Roman" w:hAnsi="Times New Roman"/>
          <w:sz w:val="24"/>
          <w:szCs w:val="24"/>
          <w:lang w:val="en-US"/>
        </w:rPr>
        <w:t xml:space="preserve">. </w:t>
      </w:r>
      <w:r w:rsidR="001B3DD0">
        <w:rPr>
          <w:rFonts w:ascii="Times New Roman" w:hAnsi="Times New Roman"/>
          <w:sz w:val="24"/>
          <w:szCs w:val="24"/>
          <w:lang w:val="en-US"/>
        </w:rPr>
        <w:t>That is why we hold to the log-linear specification.</w:t>
      </w:r>
    </w:p>
    <w:p w:rsidR="002A5CDB" w:rsidRDefault="00212AE7" w:rsidP="002A5CDB">
      <w:pPr>
        <w:spacing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Besides the variable of interest, t</w:t>
      </w:r>
      <w:r w:rsidR="002A5CDB" w:rsidRPr="00BC4171">
        <w:rPr>
          <w:rFonts w:ascii="Times New Roman" w:hAnsi="Times New Roman"/>
          <w:color w:val="000000"/>
          <w:sz w:val="24"/>
          <w:szCs w:val="24"/>
          <w:lang w:val="en-US"/>
        </w:rPr>
        <w:t>he base model includes the variables identified in the stated preference studies</w:t>
      </w:r>
      <w:r>
        <w:rPr>
          <w:rFonts w:ascii="Times New Roman" w:hAnsi="Times New Roman"/>
          <w:color w:val="000000"/>
          <w:sz w:val="24"/>
          <w:szCs w:val="24"/>
          <w:lang w:val="en-US"/>
        </w:rPr>
        <w:t xml:space="preserve"> </w:t>
      </w:r>
      <w:r w:rsidR="002A5CDB" w:rsidRPr="00BC4171">
        <w:rPr>
          <w:rFonts w:ascii="Times New Roman" w:hAnsi="Times New Roman"/>
          <w:color w:val="000000"/>
          <w:sz w:val="24"/>
          <w:szCs w:val="24"/>
          <w:lang w:val="en-US"/>
        </w:rPr>
        <w:t>as</w:t>
      </w:r>
      <w:r w:rsidR="00AD238E">
        <w:rPr>
          <w:rFonts w:ascii="Times New Roman" w:hAnsi="Times New Roman"/>
          <w:color w:val="000000"/>
          <w:sz w:val="24"/>
          <w:szCs w:val="24"/>
          <w:lang w:val="en-US"/>
        </w:rPr>
        <w:t xml:space="preserve"> </w:t>
      </w:r>
      <w:r w:rsidR="002A5CDB" w:rsidRPr="00BC4171">
        <w:rPr>
          <w:rFonts w:ascii="Times New Roman" w:hAnsi="Times New Roman"/>
          <w:color w:val="000000"/>
          <w:sz w:val="24"/>
          <w:szCs w:val="24"/>
          <w:lang w:val="en-US"/>
        </w:rPr>
        <w:t xml:space="preserve">important factors. We take </w:t>
      </w:r>
      <w:r w:rsidR="00D362D0">
        <w:rPr>
          <w:rFonts w:ascii="Times New Roman" w:hAnsi="Times New Roman"/>
          <w:color w:val="000000"/>
          <w:sz w:val="24"/>
          <w:szCs w:val="24"/>
          <w:lang w:val="en-US"/>
        </w:rPr>
        <w:t xml:space="preserve">the </w:t>
      </w:r>
      <w:r w:rsidR="002A5CDB" w:rsidRPr="00BC4171">
        <w:rPr>
          <w:rFonts w:ascii="Times New Roman" w:hAnsi="Times New Roman"/>
          <w:color w:val="000000"/>
          <w:sz w:val="24"/>
          <w:szCs w:val="24"/>
          <w:lang w:val="en-US"/>
        </w:rPr>
        <w:t xml:space="preserve">natural logarithm of these variables for two reasons: interpretation and because they </w:t>
      </w:r>
      <w:r w:rsidR="00D362D0">
        <w:rPr>
          <w:rFonts w:ascii="Times New Roman" w:hAnsi="Times New Roman"/>
          <w:color w:val="000000"/>
          <w:sz w:val="24"/>
          <w:szCs w:val="24"/>
          <w:lang w:val="en-US"/>
        </w:rPr>
        <w:t>produce</w:t>
      </w:r>
      <w:r w:rsidR="002A5CDB" w:rsidRPr="00BC4171">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a </w:t>
      </w:r>
      <w:r w:rsidR="002A5CDB" w:rsidRPr="00BC4171">
        <w:rPr>
          <w:rFonts w:ascii="Times New Roman" w:hAnsi="Times New Roman"/>
          <w:color w:val="000000"/>
          <w:sz w:val="24"/>
          <w:szCs w:val="24"/>
          <w:lang w:val="en-US"/>
        </w:rPr>
        <w:t>better R-squared, when regressed one by one</w:t>
      </w:r>
      <w:r w:rsidR="00C250D6">
        <w:rPr>
          <w:rFonts w:ascii="Times New Roman" w:hAnsi="Times New Roman"/>
          <w:color w:val="000000"/>
          <w:sz w:val="24"/>
          <w:szCs w:val="24"/>
          <w:lang w:val="en-US"/>
        </w:rPr>
        <w:t xml:space="preserve"> </w:t>
      </w:r>
      <w:r w:rsidR="00C250D6">
        <w:rPr>
          <w:rFonts w:ascii="Times New Roman" w:hAnsi="Times New Roman"/>
          <w:color w:val="000000"/>
          <w:sz w:val="24"/>
          <w:szCs w:val="24"/>
          <w:lang w:val="en-US"/>
        </w:rPr>
        <w:fldChar w:fldCharType="begin" w:fldLock="1"/>
      </w:r>
      <w:r w:rsidR="001B3DD0">
        <w:rPr>
          <w:rFonts w:ascii="Times New Roman" w:hAnsi="Times New Roman"/>
          <w:color w:val="000000"/>
          <w:sz w:val="24"/>
          <w:szCs w:val="24"/>
          <w:lang w:val="en-US"/>
        </w:rPr>
        <w:instrText>ADDIN CSL_CITATION {"citationItems":[{"id":"ITEM-1","itemData":{"DOI":"10.2307/2552778","ISBN":"0199280967","ISSN":"00401706","PMID":"21842280","abstract":"Introduction to Econometrics provides an introduction to econometrics using analytical and intuitive methods of the classical linear regression model. Mathematical notation is kept simple and step-by-step explanations of mathematical proofs are provided to facilitate learning. The text also provided to facilitate learning. The text also contains a large number of practical exercises, enabling students to practice what they have learned. This new edition has been substantially updated and revised with the inclusion of new material on specification tests, binary choice models, tobit analysis, sample selection bias, nonstationary time series, and unit root tests and basic cointegration. The new edition is also accompanied by a website with Powerpoint slideshows giving a parallel graphical treatment of topics treated in the book, cross-section and time series data sets, manuals for practical exercises, and lecture note extending the text.","author":[{"dropping-particle":"","family":"Stock","given":"James H.","non-dropping-particle":"","parse-names":false,"suffix":""},{"dropping-particle":"","family":"Watson","given":"Mark M.","non-dropping-particle":"","parse-names":false,"suffix":""}],"container-title":"Pearson","edition":"3rd editio","id":"ITEM-1","issued":{"date-parts":[["2015"]]},"number-of-pages":"836","publisher":"Pearson Eduaction Limited","publisher-place":"Harlow","title":"Introduction to Econometrics","type":"book"},"uris":["http://www.mendeley.com/documents/?uuid=302e8bea-afd8-3932-892d-cea629e6d459"]}],"mendeley":{"formattedCitation":"(Stock &amp; Watson, 2015)","manualFormatting":"(Stock &amp; Watson, 2015, p.321)","plainTextFormattedCitation":"(Stock &amp; Watson, 2015)","previouslyFormattedCitation":"(Stock &amp; Watson, 2015)"},"properties":{"noteIndex":0},"schema":"https://github.com/citation-style-language/schema/raw/master/csl-citation.json"}</w:instrText>
      </w:r>
      <w:r w:rsidR="00C250D6">
        <w:rPr>
          <w:rFonts w:ascii="Times New Roman" w:hAnsi="Times New Roman"/>
          <w:color w:val="000000"/>
          <w:sz w:val="24"/>
          <w:szCs w:val="24"/>
          <w:lang w:val="en-US"/>
        </w:rPr>
        <w:fldChar w:fldCharType="separate"/>
      </w:r>
      <w:r w:rsidR="00C250D6" w:rsidRPr="00C250D6">
        <w:rPr>
          <w:rFonts w:ascii="Times New Roman" w:hAnsi="Times New Roman"/>
          <w:noProof/>
          <w:color w:val="000000"/>
          <w:sz w:val="24"/>
          <w:szCs w:val="24"/>
          <w:lang w:val="en-US"/>
        </w:rPr>
        <w:t>(Stock &amp; Watson, 2015</w:t>
      </w:r>
      <w:r w:rsidR="00C250D6">
        <w:rPr>
          <w:rFonts w:ascii="Times New Roman" w:hAnsi="Times New Roman"/>
          <w:noProof/>
          <w:color w:val="000000"/>
          <w:sz w:val="24"/>
          <w:szCs w:val="24"/>
          <w:lang w:val="en-US"/>
        </w:rPr>
        <w:t>, p.321</w:t>
      </w:r>
      <w:r w:rsidR="00C250D6" w:rsidRPr="00C250D6">
        <w:rPr>
          <w:rFonts w:ascii="Times New Roman" w:hAnsi="Times New Roman"/>
          <w:noProof/>
          <w:color w:val="000000"/>
          <w:sz w:val="24"/>
          <w:szCs w:val="24"/>
          <w:lang w:val="en-US"/>
        </w:rPr>
        <w:t>)</w:t>
      </w:r>
      <w:r w:rsidR="00C250D6">
        <w:rPr>
          <w:rFonts w:ascii="Times New Roman" w:hAnsi="Times New Roman"/>
          <w:color w:val="000000"/>
          <w:sz w:val="24"/>
          <w:szCs w:val="24"/>
          <w:lang w:val="en-US"/>
        </w:rPr>
        <w:fldChar w:fldCharType="end"/>
      </w:r>
      <w:r w:rsidR="002A5CDB" w:rsidRPr="00BC4171">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Overall, </w:t>
      </w:r>
      <w:r w:rsidR="00BE00C6">
        <w:rPr>
          <w:rFonts w:ascii="Times New Roman" w:hAnsi="Times New Roman"/>
          <w:color w:val="000000"/>
          <w:sz w:val="24"/>
          <w:szCs w:val="24"/>
          <w:lang w:val="en-US"/>
        </w:rPr>
        <w:t>categorical</w:t>
      </w:r>
      <w:r w:rsidR="002A5CDB" w:rsidRPr="00BC4171">
        <w:rPr>
          <w:rFonts w:ascii="Times New Roman" w:hAnsi="Times New Roman"/>
          <w:color w:val="000000"/>
          <w:sz w:val="24"/>
          <w:szCs w:val="24"/>
          <w:lang w:val="en-US"/>
        </w:rPr>
        <w:t xml:space="preserve"> variables</w:t>
      </w:r>
      <w:r w:rsidR="00BE00C6">
        <w:rPr>
          <w:rFonts w:ascii="Times New Roman" w:hAnsi="Times New Roman"/>
          <w:color w:val="000000"/>
          <w:sz w:val="24"/>
          <w:szCs w:val="24"/>
          <w:lang w:val="en-US"/>
        </w:rPr>
        <w:t xml:space="preserve">, </w:t>
      </w:r>
      <w:r w:rsidR="002A5CDB" w:rsidRPr="00BC4171">
        <w:rPr>
          <w:rFonts w:ascii="Times New Roman" w:hAnsi="Times New Roman"/>
          <w:color w:val="000000"/>
          <w:sz w:val="24"/>
          <w:szCs w:val="24"/>
          <w:lang w:val="en-US"/>
        </w:rPr>
        <w:t>variables containing zeros</w:t>
      </w:r>
      <w:r w:rsidR="00BE00C6">
        <w:rPr>
          <w:rFonts w:ascii="Times New Roman" w:hAnsi="Times New Roman"/>
          <w:color w:val="000000"/>
          <w:sz w:val="24"/>
          <w:szCs w:val="24"/>
          <w:lang w:val="en-US"/>
        </w:rPr>
        <w:t xml:space="preserve"> and variables giving worse R-squared </w:t>
      </w:r>
      <w:r w:rsidR="002A5CDB" w:rsidRPr="00BC4171">
        <w:rPr>
          <w:rFonts w:ascii="Times New Roman" w:hAnsi="Times New Roman"/>
          <w:color w:val="000000"/>
          <w:sz w:val="24"/>
          <w:szCs w:val="24"/>
          <w:lang w:val="en-US"/>
        </w:rPr>
        <w:t xml:space="preserve">are </w:t>
      </w:r>
      <w:r w:rsidR="00BE00C6">
        <w:rPr>
          <w:rFonts w:ascii="Times New Roman" w:hAnsi="Times New Roman"/>
          <w:color w:val="000000"/>
          <w:sz w:val="24"/>
          <w:szCs w:val="24"/>
          <w:lang w:val="en-US"/>
        </w:rPr>
        <w:t xml:space="preserve">not </w:t>
      </w:r>
      <w:r w:rsidR="002A5CDB" w:rsidRPr="00BC4171">
        <w:rPr>
          <w:rFonts w:ascii="Times New Roman" w:hAnsi="Times New Roman"/>
          <w:color w:val="000000"/>
          <w:sz w:val="24"/>
          <w:szCs w:val="24"/>
          <w:lang w:val="en-US"/>
        </w:rPr>
        <w:t>transformed.</w:t>
      </w:r>
    </w:p>
    <w:p w:rsidR="00295A41" w:rsidRDefault="00295A41" w:rsidP="002A5CDB">
      <w:pPr>
        <w:spacing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The base model specification is given a</w:t>
      </w:r>
      <w:r w:rsidR="00212AE7">
        <w:rPr>
          <w:rFonts w:ascii="Times New Roman" w:hAnsi="Times New Roman"/>
          <w:color w:val="000000"/>
          <w:sz w:val="24"/>
          <w:szCs w:val="24"/>
          <w:lang w:val="en-US"/>
        </w:rPr>
        <w:t>s</w:t>
      </w:r>
      <w:r>
        <w:rPr>
          <w:rFonts w:ascii="Times New Roman" w:hAnsi="Times New Roman"/>
          <w:color w:val="000000"/>
          <w:sz w:val="24"/>
          <w:szCs w:val="24"/>
          <w:lang w:val="en-US"/>
        </w:rPr>
        <w:t>:</w:t>
      </w:r>
      <w:r w:rsidR="00AD238E">
        <w:rPr>
          <w:rFonts w:ascii="Times New Roman" w:hAnsi="Times New Roman"/>
          <w:color w:val="000000"/>
          <w:sz w:val="24"/>
          <w:szCs w:val="24"/>
          <w:lang w:val="en-US"/>
        </w:rPr>
        <w:t xml:space="preserve"> </w:t>
      </w:r>
      <m:oMath>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BEV reg-ns</m:t>
            </m:r>
          </m:e>
        </m:func>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0</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1</m:t>
            </m:r>
          </m:sub>
        </m:sSub>
        <m:sSub>
          <m:sSubPr>
            <m:ctrlPr>
              <w:rPr>
                <w:rFonts w:ascii="Cambria Math" w:eastAsia="Calibri" w:hAnsi="Cambria Math"/>
                <w:i/>
                <w:sz w:val="24"/>
                <w:szCs w:val="24"/>
                <w:lang w:val="en-US" w:eastAsia="ja-JP"/>
              </w:rPr>
            </m:ctrlPr>
          </m:sSubPr>
          <m:e>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price</m:t>
                </m:r>
              </m:e>
            </m:func>
          </m:e>
          <m:sub>
            <m:r>
              <w:rPr>
                <w:rFonts w:ascii="Cambria Math" w:eastAsia="Calibri" w:hAnsi="Cambria Math"/>
                <w:sz w:val="24"/>
                <w:szCs w:val="24"/>
                <w:lang w:val="en-US" w:eastAsia="ja-JP"/>
              </w:rPr>
              <m:t>BEV</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2</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dr range</m:t>
                </m:r>
              </m:e>
            </m:func>
          </m:e>
          <m:sub>
            <m:r>
              <w:rPr>
                <w:rFonts w:ascii="Cambria Math" w:eastAsia="Calibri" w:hAnsi="Cambria Math"/>
                <w:sz w:val="24"/>
                <w:szCs w:val="24"/>
                <w:lang w:val="en-US" w:eastAsia="ja-JP"/>
              </w:rPr>
              <m:t>BEV</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3</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ch st-ns</m:t>
                </m:r>
              </m:e>
            </m:func>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4</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 xml:space="preserve">Government grant </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+ε</m:t>
        </m:r>
      </m:oMath>
      <w:r w:rsidR="00AD238E">
        <w:rPr>
          <w:rFonts w:ascii="Times New Roman" w:hAnsi="Times New Roman"/>
          <w:color w:val="000000"/>
          <w:sz w:val="24"/>
          <w:szCs w:val="24"/>
          <w:lang w:val="en-US"/>
        </w:rPr>
        <w:t>, w</w:t>
      </w:r>
      <w:r>
        <w:rPr>
          <w:rFonts w:ascii="Times New Roman" w:hAnsi="Times New Roman"/>
          <w:color w:val="000000"/>
          <w:sz w:val="24"/>
          <w:szCs w:val="24"/>
          <w:lang w:val="en-US"/>
        </w:rPr>
        <w:t xml:space="preserve">here </w:t>
      </w:r>
      <w:r w:rsidR="00BE00C6">
        <w:rPr>
          <w:rFonts w:ascii="Times New Roman" w:hAnsi="Times New Roman"/>
          <w:color w:val="000000"/>
          <w:sz w:val="24"/>
          <w:szCs w:val="24"/>
          <w:lang w:val="en-US"/>
        </w:rPr>
        <w:t xml:space="preserve">the subscript BEV denotes a specific-BEV-level variable; c stands for a country-level variable, and </w:t>
      </w:r>
      <m:oMath>
        <m:r>
          <w:rPr>
            <w:rFonts w:ascii="Cambria Math" w:eastAsia="Calibri" w:hAnsi="Cambria Math"/>
            <w:sz w:val="24"/>
            <w:szCs w:val="24"/>
            <w:lang w:val="en-US" w:eastAsia="ja-JP"/>
          </w:rPr>
          <m:t>ε</m:t>
        </m:r>
      </m:oMath>
      <w:r w:rsidR="00BE00C6">
        <w:rPr>
          <w:rFonts w:ascii="Times New Roman" w:hAnsi="Times New Roman"/>
          <w:color w:val="000000"/>
          <w:sz w:val="24"/>
          <w:szCs w:val="24"/>
          <w:lang w:val="en-US"/>
        </w:rPr>
        <w:t xml:space="preserve"> is an error term.</w:t>
      </w:r>
    </w:p>
    <w:p w:rsidR="007131EF" w:rsidRDefault="007131EF" w:rsidP="002A5CDB">
      <w:pPr>
        <w:spacing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The extended model specification is </w:t>
      </w:r>
      <w:r w:rsidR="00212AE7">
        <w:rPr>
          <w:rFonts w:ascii="Times New Roman" w:hAnsi="Times New Roman"/>
          <w:color w:val="000000"/>
          <w:sz w:val="24"/>
          <w:szCs w:val="24"/>
          <w:lang w:val="en-US"/>
        </w:rPr>
        <w:t>given as</w:t>
      </w:r>
      <w:r>
        <w:rPr>
          <w:rFonts w:ascii="Times New Roman" w:hAnsi="Times New Roman"/>
          <w:color w:val="000000"/>
          <w:sz w:val="24"/>
          <w:szCs w:val="24"/>
          <w:lang w:val="en-US"/>
        </w:rPr>
        <w:t>:</w:t>
      </w:r>
    </w:p>
    <w:p w:rsidR="007131EF" w:rsidRPr="002E6CC6" w:rsidRDefault="00506DE0" w:rsidP="002A5CDB">
      <w:pPr>
        <w:spacing w:line="360" w:lineRule="auto"/>
        <w:jc w:val="both"/>
        <w:rPr>
          <w:rFonts w:ascii="Times New Roman" w:hAnsi="Times New Roman"/>
          <w:sz w:val="24"/>
          <w:szCs w:val="24"/>
          <w:lang w:val="en-US" w:eastAsia="ja-JP"/>
        </w:rPr>
      </w:pPr>
      <m:oMathPara>
        <m:oMath>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BEV reg-ns</m:t>
              </m:r>
            </m:e>
          </m:func>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0</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1</m:t>
              </m:r>
            </m:sub>
          </m:sSub>
          <m:sSub>
            <m:sSubPr>
              <m:ctrlPr>
                <w:rPr>
                  <w:rFonts w:ascii="Cambria Math" w:eastAsia="Calibri" w:hAnsi="Cambria Math"/>
                  <w:i/>
                  <w:sz w:val="24"/>
                  <w:szCs w:val="24"/>
                  <w:lang w:val="en-US" w:eastAsia="ja-JP"/>
                </w:rPr>
              </m:ctrlPr>
            </m:sSubPr>
            <m:e>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price</m:t>
                  </m:r>
                </m:e>
              </m:func>
            </m:e>
            <m:sub>
              <m:r>
                <w:rPr>
                  <w:rFonts w:ascii="Cambria Math" w:eastAsia="Calibri" w:hAnsi="Cambria Math"/>
                  <w:sz w:val="24"/>
                  <w:szCs w:val="24"/>
                  <w:lang w:val="en-US" w:eastAsia="ja-JP"/>
                </w:rPr>
                <m:t>BEV</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2</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dr range</m:t>
                  </m:r>
                </m:e>
              </m:func>
            </m:e>
            <m:sub>
              <m:r>
                <w:rPr>
                  <w:rFonts w:ascii="Cambria Math" w:eastAsia="Calibri" w:hAnsi="Cambria Math"/>
                  <w:sz w:val="24"/>
                  <w:szCs w:val="24"/>
                  <w:lang w:val="en-US" w:eastAsia="ja-JP"/>
                </w:rPr>
                <m:t>BEV</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3</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ch st-ns</m:t>
                  </m:r>
                </m:e>
              </m:func>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4</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 xml:space="preserve">Government grant </m:t>
              </m:r>
            </m:e>
            <m:sub>
              <m:r>
                <w:rPr>
                  <w:rFonts w:ascii="Cambria Math" w:eastAsia="Calibri" w:hAnsi="Cambria Math"/>
                  <w:sz w:val="24"/>
                  <w:szCs w:val="24"/>
                  <w:lang w:val="en-US" w:eastAsia="ja-JP"/>
                </w:rPr>
                <m:t xml:space="preserve"> 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5</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 xml:space="preserve">VAT Amount </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6</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Reduction (annual tax)</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7</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Reduction (purchase tax)</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8</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Reduction (company car tax)</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9</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Urban density</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10</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func>
                <m:funcPr>
                  <m:ctrlPr>
                    <w:rPr>
                      <w:rFonts w:ascii="Cambria Math" w:eastAsia="Calibri" w:hAnsi="Cambria Math"/>
                      <w:i/>
                      <w:sz w:val="24"/>
                      <w:szCs w:val="24"/>
                      <w:lang w:val="en-US" w:eastAsia="ja-JP"/>
                    </w:rPr>
                  </m:ctrlPr>
                </m:funcPr>
                <m:fName>
                  <m:r>
                    <m:rPr>
                      <m:sty m:val="p"/>
                    </m:rPr>
                    <w:rPr>
                      <w:rFonts w:ascii="Cambria Math" w:eastAsia="Calibri" w:hAnsi="Cambria Math"/>
                      <w:sz w:val="24"/>
                      <w:szCs w:val="24"/>
                      <w:lang w:val="en-US" w:eastAsia="ja-JP"/>
                    </w:rPr>
                    <m:t>ln</m:t>
                  </m:r>
                </m:fName>
                <m:e>
                  <m:r>
                    <w:rPr>
                      <w:rFonts w:ascii="Cambria Math" w:eastAsia="Calibri" w:hAnsi="Cambria Math"/>
                      <w:sz w:val="24"/>
                      <w:szCs w:val="24"/>
                      <w:lang w:val="en-US" w:eastAsia="ja-JP"/>
                    </w:rPr>
                    <m:t>el-ty price</m:t>
                  </m:r>
                </m:e>
              </m:func>
            </m:e>
            <m:sub>
              <m:r>
                <w:rPr>
                  <w:rFonts w:ascii="Cambria Math" w:eastAsia="Calibri" w:hAnsi="Cambria Math"/>
                  <w:sz w:val="24"/>
                  <w:szCs w:val="24"/>
                  <w:lang w:val="en-US" w:eastAsia="ja-JP"/>
                </w:rPr>
                <m:t>c</m:t>
              </m:r>
            </m:sub>
          </m:sSub>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11</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BEV models available</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12</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Interest score</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m:t>
          </m:r>
          <m:sSub>
            <m:sSubPr>
              <m:ctrlPr>
                <w:rPr>
                  <w:rFonts w:ascii="Cambria Math" w:eastAsia="Calibri" w:hAnsi="Cambria Math"/>
                  <w:i/>
                  <w:sz w:val="24"/>
                  <w:szCs w:val="24"/>
                  <w:lang w:val="en-US" w:eastAsia="ja-JP"/>
                </w:rPr>
              </m:ctrlPr>
            </m:sSubPr>
            <m:e>
              <m:r>
                <w:rPr>
                  <w:rFonts w:ascii="Cambria Math" w:eastAsia="Calibri" w:hAnsi="Cambria Math"/>
                  <w:sz w:val="24"/>
                  <w:szCs w:val="24"/>
                  <w:lang w:val="en-US" w:eastAsia="ja-JP"/>
                </w:rPr>
                <m:t>β</m:t>
              </m:r>
            </m:e>
            <m:sub>
              <m:r>
                <w:rPr>
                  <w:rFonts w:ascii="Cambria Math" w:eastAsia="Calibri" w:hAnsi="Cambria Math"/>
                  <w:sz w:val="24"/>
                  <w:szCs w:val="24"/>
                  <w:lang w:val="en-US" w:eastAsia="ja-JP"/>
                </w:rPr>
                <m:t>13</m:t>
              </m:r>
            </m:sub>
          </m:sSub>
          <m:r>
            <w:rPr>
              <w:rFonts w:ascii="Cambria Math" w:eastAsia="Calibri" w:hAnsi="Cambria Math"/>
              <w:sz w:val="24"/>
              <w:szCs w:val="24"/>
              <w:lang w:val="en-US" w:eastAsia="ja-JP"/>
            </w:rPr>
            <m:t xml:space="preserve"> </m:t>
          </m:r>
          <m:sSub>
            <m:sSubPr>
              <m:ctrlPr>
                <w:rPr>
                  <w:rFonts w:ascii="Cambria Math" w:eastAsia="Calibri" w:hAnsi="Cambria Math"/>
                  <w:i/>
                  <w:sz w:val="24"/>
                  <w:szCs w:val="24"/>
                  <w:lang w:val="en-US" w:eastAsia="ja-JP"/>
                </w:rPr>
              </m:ctrlPr>
            </m:sSubPr>
            <m:e>
              <m:f>
                <m:fPr>
                  <m:type m:val="skw"/>
                  <m:ctrlPr>
                    <w:rPr>
                      <w:rFonts w:ascii="Cambria Math" w:eastAsia="Calibri" w:hAnsi="Cambria Math"/>
                      <w:i/>
                      <w:sz w:val="24"/>
                      <w:szCs w:val="24"/>
                      <w:lang w:val="en-US" w:eastAsia="ja-JP"/>
                    </w:rPr>
                  </m:ctrlPr>
                </m:fPr>
                <m:num>
                  <m:r>
                    <w:rPr>
                      <w:rFonts w:ascii="Cambria Math" w:eastAsia="Calibri" w:hAnsi="Cambria Math"/>
                      <w:sz w:val="24"/>
                      <w:szCs w:val="24"/>
                      <w:lang w:val="en-US" w:eastAsia="ja-JP"/>
                    </w:rPr>
                    <m:t>HOV</m:t>
                  </m:r>
                </m:num>
                <m:den>
                  <m:r>
                    <w:rPr>
                      <w:rFonts w:ascii="Cambria Math" w:eastAsia="Calibri" w:hAnsi="Cambria Math"/>
                      <w:sz w:val="24"/>
                      <w:szCs w:val="24"/>
                      <w:lang w:val="en-US" w:eastAsia="ja-JP"/>
                    </w:rPr>
                    <m:t>Bus</m:t>
                  </m:r>
                </m:den>
              </m:f>
              <m:r>
                <w:rPr>
                  <w:rFonts w:ascii="Cambria Math" w:eastAsia="Calibri" w:hAnsi="Cambria Math"/>
                  <w:sz w:val="24"/>
                  <w:szCs w:val="24"/>
                  <w:lang w:val="en-US" w:eastAsia="ja-JP"/>
                </w:rPr>
                <m:t xml:space="preserve">lane access </m:t>
              </m:r>
            </m:e>
            <m:sub>
              <m:r>
                <w:rPr>
                  <w:rFonts w:ascii="Cambria Math" w:eastAsia="Calibri" w:hAnsi="Cambria Math"/>
                  <w:sz w:val="24"/>
                  <w:szCs w:val="24"/>
                  <w:lang w:val="en-US" w:eastAsia="ja-JP"/>
                </w:rPr>
                <m:t>c</m:t>
              </m:r>
            </m:sub>
          </m:sSub>
          <m:r>
            <w:rPr>
              <w:rFonts w:ascii="Cambria Math" w:eastAsia="Calibri" w:hAnsi="Cambria Math"/>
              <w:sz w:val="24"/>
              <w:szCs w:val="24"/>
              <w:lang w:val="en-US" w:eastAsia="ja-JP"/>
            </w:rPr>
            <m:t>+ε</m:t>
          </m:r>
        </m:oMath>
      </m:oMathPara>
    </w:p>
    <w:p w:rsidR="002F72B8" w:rsidRDefault="002E6CC6" w:rsidP="00AD238E">
      <w:pPr>
        <w:spacing w:line="360" w:lineRule="auto"/>
        <w:jc w:val="both"/>
        <w:rPr>
          <w:rFonts w:ascii="Times New Roman" w:hAnsi="Times New Roman"/>
          <w:sz w:val="24"/>
          <w:szCs w:val="24"/>
          <w:lang w:val="en-US"/>
        </w:rPr>
        <w:sectPr w:rsidR="002F72B8" w:rsidSect="00BB42B8">
          <w:pgSz w:w="11906" w:h="16838"/>
          <w:pgMar w:top="1418" w:right="1418" w:bottom="1418" w:left="1701" w:header="709" w:footer="709" w:gutter="0"/>
          <w:cols w:space="708"/>
          <w:docGrid w:linePitch="360"/>
        </w:sectPr>
      </w:pPr>
      <w:r>
        <w:rPr>
          <w:rFonts w:ascii="Times New Roman" w:hAnsi="Times New Roman"/>
          <w:sz w:val="24"/>
          <w:szCs w:val="24"/>
          <w:lang w:val="en-US"/>
        </w:rPr>
        <w:t>To address the first research question, sample points for each country were taken to generate sub-samples</w:t>
      </w:r>
      <w:r w:rsidR="00D362D0">
        <w:rPr>
          <w:rFonts w:ascii="Times New Roman" w:hAnsi="Times New Roman"/>
          <w:sz w:val="24"/>
          <w:szCs w:val="24"/>
          <w:lang w:val="en-US"/>
        </w:rPr>
        <w:t xml:space="preserve">. The </w:t>
      </w:r>
      <w:r>
        <w:rPr>
          <w:rFonts w:ascii="Times New Roman" w:hAnsi="Times New Roman"/>
          <w:sz w:val="24"/>
          <w:szCs w:val="24"/>
          <w:lang w:val="en-US"/>
        </w:rPr>
        <w:t xml:space="preserve">means </w:t>
      </w:r>
      <w:r w:rsidR="00D362D0">
        <w:rPr>
          <w:rFonts w:ascii="Times New Roman" w:hAnsi="Times New Roman"/>
          <w:sz w:val="24"/>
          <w:szCs w:val="24"/>
          <w:lang w:val="en-US"/>
        </w:rPr>
        <w:t>of those sub-samples were</w:t>
      </w:r>
      <w:r>
        <w:rPr>
          <w:rFonts w:ascii="Times New Roman" w:hAnsi="Times New Roman"/>
          <w:sz w:val="24"/>
          <w:szCs w:val="24"/>
          <w:lang w:val="en-US"/>
        </w:rPr>
        <w:t xml:space="preserve"> then compared </w:t>
      </w:r>
      <w:r w:rsidRPr="00E9425D">
        <w:rPr>
          <w:rFonts w:ascii="Times New Roman" w:hAnsi="Times New Roman"/>
          <w:sz w:val="24"/>
          <w:szCs w:val="24"/>
          <w:lang w:val="en-US"/>
        </w:rPr>
        <w:t>with a one-way ANOVA procedure</w:t>
      </w:r>
      <w:r>
        <w:rPr>
          <w:rFonts w:ascii="Times New Roman" w:hAnsi="Times New Roman"/>
          <w:sz w:val="24"/>
          <w:szCs w:val="24"/>
          <w:lang w:val="en-US"/>
        </w:rPr>
        <w:t xml:space="preserve">. We choose </w:t>
      </w:r>
      <w:r w:rsidRPr="00E9425D">
        <w:rPr>
          <w:rFonts w:ascii="Times New Roman" w:hAnsi="Times New Roman"/>
          <w:sz w:val="24"/>
          <w:szCs w:val="24"/>
          <w:lang w:val="en-US"/>
        </w:rPr>
        <w:t xml:space="preserve">this procedure </w:t>
      </w:r>
      <w:r>
        <w:rPr>
          <w:rFonts w:ascii="Times New Roman" w:hAnsi="Times New Roman"/>
          <w:sz w:val="24"/>
          <w:szCs w:val="24"/>
          <w:lang w:val="en-US"/>
        </w:rPr>
        <w:t xml:space="preserve">over multiple t-tests because it controls for Type I </w:t>
      </w:r>
      <w:r w:rsidRPr="00E9425D">
        <w:rPr>
          <w:rFonts w:ascii="Times New Roman" w:hAnsi="Times New Roman"/>
          <w:sz w:val="24"/>
          <w:szCs w:val="24"/>
          <w:lang w:val="en-US"/>
        </w:rPr>
        <w:t xml:space="preserve">error. </w:t>
      </w:r>
      <w:r>
        <w:rPr>
          <w:rFonts w:ascii="Times New Roman" w:hAnsi="Times New Roman"/>
          <w:sz w:val="24"/>
          <w:szCs w:val="24"/>
          <w:lang w:val="en-US"/>
        </w:rPr>
        <w:t xml:space="preserve">Since the assumption of the </w:t>
      </w:r>
      <w:r w:rsidRPr="00E9425D">
        <w:rPr>
          <w:rFonts w:ascii="Times New Roman" w:hAnsi="Times New Roman"/>
          <w:sz w:val="24"/>
          <w:szCs w:val="24"/>
          <w:lang w:val="en-US"/>
        </w:rPr>
        <w:t>homogeneity of variance</w:t>
      </w:r>
      <w:r>
        <w:rPr>
          <w:rFonts w:ascii="Times New Roman" w:hAnsi="Times New Roman"/>
          <w:sz w:val="24"/>
          <w:szCs w:val="24"/>
          <w:lang w:val="en-US"/>
        </w:rPr>
        <w:t xml:space="preserve"> was </w:t>
      </w:r>
      <w:r w:rsidRPr="00E9425D">
        <w:rPr>
          <w:rFonts w:ascii="Times New Roman" w:hAnsi="Times New Roman"/>
          <w:sz w:val="24"/>
          <w:szCs w:val="24"/>
          <w:lang w:val="en-US"/>
        </w:rPr>
        <w:t>violated</w:t>
      </w:r>
      <w:r>
        <w:rPr>
          <w:rFonts w:ascii="Times New Roman" w:hAnsi="Times New Roman"/>
          <w:sz w:val="24"/>
          <w:szCs w:val="24"/>
          <w:lang w:val="en-US"/>
        </w:rPr>
        <w:t>, w</w:t>
      </w:r>
      <w:r w:rsidRPr="00E9425D">
        <w:rPr>
          <w:rFonts w:ascii="Times New Roman" w:hAnsi="Times New Roman"/>
          <w:sz w:val="24"/>
          <w:szCs w:val="24"/>
          <w:lang w:val="en-US"/>
        </w:rPr>
        <w:t>ith p-value&lt;0.05 (see Appendix</w:t>
      </w:r>
      <w:r w:rsidR="00D034E4">
        <w:rPr>
          <w:rFonts w:ascii="Times New Roman" w:hAnsi="Times New Roman"/>
          <w:sz w:val="24"/>
          <w:szCs w:val="24"/>
          <w:lang w:val="en-US"/>
        </w:rPr>
        <w:t xml:space="preserve"> </w:t>
      </w:r>
      <w:r w:rsidR="00333DCF">
        <w:rPr>
          <w:rFonts w:ascii="Times New Roman" w:hAnsi="Times New Roman"/>
          <w:sz w:val="24"/>
          <w:szCs w:val="24"/>
          <w:lang w:val="en-US"/>
        </w:rPr>
        <w:t>8</w:t>
      </w:r>
      <w:r w:rsidR="00D034E4">
        <w:rPr>
          <w:rFonts w:ascii="Times New Roman" w:hAnsi="Times New Roman"/>
          <w:sz w:val="24"/>
          <w:szCs w:val="24"/>
          <w:lang w:val="en-US"/>
        </w:rPr>
        <w:t>.1</w:t>
      </w:r>
      <w:r>
        <w:rPr>
          <w:rFonts w:ascii="Times New Roman" w:hAnsi="Times New Roman"/>
          <w:sz w:val="24"/>
          <w:szCs w:val="24"/>
          <w:lang w:val="en-US"/>
        </w:rPr>
        <w:t xml:space="preserve">, Table </w:t>
      </w:r>
      <w:r w:rsidR="00956DCB">
        <w:rPr>
          <w:rFonts w:ascii="Times New Roman" w:hAnsi="Times New Roman"/>
          <w:sz w:val="24"/>
          <w:szCs w:val="24"/>
          <w:lang w:val="en-US"/>
        </w:rPr>
        <w:t>4</w:t>
      </w:r>
      <w:r w:rsidRPr="00E9425D">
        <w:rPr>
          <w:rFonts w:ascii="Times New Roman" w:hAnsi="Times New Roman"/>
          <w:sz w:val="24"/>
          <w:szCs w:val="24"/>
          <w:lang w:val="en-US"/>
        </w:rPr>
        <w:t>)</w:t>
      </w:r>
      <w:r>
        <w:rPr>
          <w:rFonts w:ascii="Times New Roman" w:hAnsi="Times New Roman"/>
          <w:sz w:val="24"/>
          <w:szCs w:val="24"/>
          <w:lang w:val="en-US"/>
        </w:rPr>
        <w:t xml:space="preserve">, </w:t>
      </w:r>
      <w:r w:rsidRPr="00E9425D">
        <w:rPr>
          <w:rFonts w:ascii="Times New Roman" w:hAnsi="Times New Roman"/>
          <w:sz w:val="24"/>
          <w:szCs w:val="24"/>
          <w:lang w:val="en-US"/>
        </w:rPr>
        <w:t>the Welch and the Games-Howell post-hoc test</w:t>
      </w:r>
      <w:r>
        <w:rPr>
          <w:rFonts w:ascii="Times New Roman" w:hAnsi="Times New Roman"/>
          <w:sz w:val="24"/>
          <w:szCs w:val="24"/>
          <w:lang w:val="en-US"/>
        </w:rPr>
        <w:t>s</w:t>
      </w:r>
      <w:r w:rsidRPr="00E9425D">
        <w:rPr>
          <w:rFonts w:ascii="Times New Roman" w:hAnsi="Times New Roman"/>
          <w:sz w:val="24"/>
          <w:szCs w:val="24"/>
          <w:lang w:val="en-US"/>
        </w:rPr>
        <w:t xml:space="preserve"> </w:t>
      </w:r>
      <w:r>
        <w:rPr>
          <w:rFonts w:ascii="Times New Roman" w:hAnsi="Times New Roman"/>
          <w:sz w:val="24"/>
          <w:szCs w:val="24"/>
          <w:lang w:val="en-US"/>
        </w:rPr>
        <w:t>were run</w:t>
      </w:r>
      <w:r w:rsidRPr="00E9425D">
        <w:rPr>
          <w:rFonts w:ascii="Times New Roman" w:hAnsi="Times New Roman"/>
          <w:sz w:val="24"/>
          <w:szCs w:val="24"/>
          <w:lang w:val="en-US"/>
        </w:rPr>
        <w:t>.</w:t>
      </w:r>
      <w:r w:rsidRPr="003F5A64">
        <w:rPr>
          <w:rFonts w:ascii="Times New Roman" w:hAnsi="Times New Roman"/>
          <w:sz w:val="24"/>
          <w:szCs w:val="24"/>
          <w:lang w:val="en-US"/>
        </w:rPr>
        <w:t xml:space="preserve"> </w:t>
      </w:r>
      <w:r w:rsidRPr="00E9425D">
        <w:rPr>
          <w:rFonts w:ascii="Times New Roman" w:hAnsi="Times New Roman"/>
          <w:sz w:val="24"/>
          <w:szCs w:val="24"/>
          <w:lang w:val="en-US"/>
        </w:rPr>
        <w:t xml:space="preserve">For the purpose of </w:t>
      </w:r>
      <w:r w:rsidR="00D362D0">
        <w:rPr>
          <w:rFonts w:ascii="Times New Roman" w:hAnsi="Times New Roman"/>
          <w:sz w:val="24"/>
          <w:szCs w:val="24"/>
          <w:lang w:val="en-US"/>
        </w:rPr>
        <w:t xml:space="preserve">a </w:t>
      </w:r>
      <w:r w:rsidRPr="00E9425D">
        <w:rPr>
          <w:rFonts w:ascii="Times New Roman" w:hAnsi="Times New Roman"/>
          <w:sz w:val="24"/>
          <w:szCs w:val="24"/>
          <w:lang w:val="en-US"/>
        </w:rPr>
        <w:t xml:space="preserve">valid comparison, the sales of a specific BEV model </w:t>
      </w:r>
      <w:r>
        <w:rPr>
          <w:rFonts w:ascii="Times New Roman" w:hAnsi="Times New Roman"/>
          <w:sz w:val="24"/>
          <w:szCs w:val="24"/>
          <w:lang w:val="en-US"/>
        </w:rPr>
        <w:t xml:space="preserve">were </w:t>
      </w:r>
      <w:r w:rsidRPr="00E9425D">
        <w:rPr>
          <w:rFonts w:ascii="Times New Roman" w:hAnsi="Times New Roman"/>
          <w:sz w:val="24"/>
          <w:szCs w:val="24"/>
          <w:lang w:val="en-US"/>
        </w:rPr>
        <w:t>normalized for the market size</w:t>
      </w:r>
      <w:r w:rsidR="007F1DFC">
        <w:rPr>
          <w:rFonts w:ascii="Times New Roman" w:hAnsi="Times New Roman"/>
          <w:sz w:val="24"/>
          <w:szCs w:val="24"/>
          <w:lang w:val="en-US"/>
        </w:rPr>
        <w:t>, i.e. all passenger car registrations</w:t>
      </w:r>
      <w:r w:rsidR="0024101E">
        <w:rPr>
          <w:rFonts w:ascii="Times New Roman" w:hAnsi="Times New Roman"/>
          <w:sz w:val="24"/>
          <w:szCs w:val="24"/>
          <w:lang w:val="en-US"/>
        </w:rPr>
        <w:t>.</w:t>
      </w:r>
    </w:p>
    <w:p w:rsidR="002F72B8" w:rsidRPr="002F72B8" w:rsidRDefault="00990417" w:rsidP="00F84058">
      <w:pPr>
        <w:pStyle w:val="1"/>
        <w:rPr>
          <w:lang w:val="en-US"/>
        </w:rPr>
      </w:pPr>
      <w:bookmarkStart w:id="23" w:name="_Toc535248658"/>
      <w:r>
        <w:rPr>
          <w:lang w:val="en-US"/>
        </w:rPr>
        <w:lastRenderedPageBreak/>
        <w:t xml:space="preserve">Results and </w:t>
      </w:r>
      <w:r w:rsidR="00EB6E3F">
        <w:rPr>
          <w:lang w:val="en-US"/>
        </w:rPr>
        <w:t>d</w:t>
      </w:r>
      <w:r>
        <w:rPr>
          <w:lang w:val="en-US"/>
        </w:rPr>
        <w:t>iscussion</w:t>
      </w:r>
      <w:bookmarkEnd w:id="23"/>
    </w:p>
    <w:p w:rsidR="002F72B8" w:rsidRPr="002F72B8" w:rsidRDefault="00E9425D" w:rsidP="00CE182C">
      <w:pPr>
        <w:pStyle w:val="2"/>
        <w:jc w:val="both"/>
        <w:rPr>
          <w:lang w:val="en-US"/>
        </w:rPr>
      </w:pPr>
      <w:bookmarkStart w:id="24" w:name="_Toc535248659"/>
      <w:r>
        <w:rPr>
          <w:lang w:val="en-US"/>
        </w:rPr>
        <w:t xml:space="preserve">Multiple </w:t>
      </w:r>
      <w:r w:rsidR="00EB6E3F">
        <w:rPr>
          <w:lang w:val="en-US"/>
        </w:rPr>
        <w:t>p</w:t>
      </w:r>
      <w:r>
        <w:rPr>
          <w:lang w:val="en-US"/>
        </w:rPr>
        <w:t xml:space="preserve">airwise </w:t>
      </w:r>
      <w:r w:rsidR="00EB6E3F">
        <w:rPr>
          <w:lang w:val="en-US"/>
        </w:rPr>
        <w:t>c</w:t>
      </w:r>
      <w:r>
        <w:rPr>
          <w:lang w:val="en-US"/>
        </w:rPr>
        <w:t>omparisons</w:t>
      </w:r>
      <w:bookmarkEnd w:id="24"/>
    </w:p>
    <w:p w:rsidR="00BC4171" w:rsidRDefault="00E9425D" w:rsidP="00CE182C">
      <w:pPr>
        <w:spacing w:line="360" w:lineRule="auto"/>
        <w:jc w:val="both"/>
        <w:rPr>
          <w:rFonts w:ascii="Times New Roman" w:hAnsi="Times New Roman"/>
          <w:sz w:val="24"/>
          <w:szCs w:val="24"/>
          <w:lang w:val="en-US"/>
        </w:rPr>
      </w:pPr>
      <w:r w:rsidRPr="00E9425D">
        <w:rPr>
          <w:rFonts w:ascii="Times New Roman" w:hAnsi="Times New Roman"/>
          <w:sz w:val="24"/>
          <w:szCs w:val="24"/>
          <w:lang w:val="en-US"/>
        </w:rPr>
        <w:t xml:space="preserve">The boxplot </w:t>
      </w:r>
      <w:r w:rsidR="00A129D5">
        <w:rPr>
          <w:rFonts w:ascii="Times New Roman" w:hAnsi="Times New Roman"/>
          <w:sz w:val="24"/>
          <w:szCs w:val="24"/>
          <w:lang w:val="en-US"/>
        </w:rPr>
        <w:t xml:space="preserve">and the interval plot </w:t>
      </w:r>
      <w:r w:rsidRPr="00E9425D">
        <w:rPr>
          <w:rFonts w:ascii="Times New Roman" w:hAnsi="Times New Roman"/>
          <w:sz w:val="24"/>
          <w:szCs w:val="24"/>
          <w:lang w:val="en-US"/>
        </w:rPr>
        <w:t xml:space="preserve">of the market shares </w:t>
      </w:r>
      <w:r w:rsidR="00AD1F41">
        <w:rPr>
          <w:rFonts w:ascii="Times New Roman" w:hAnsi="Times New Roman"/>
          <w:sz w:val="24"/>
          <w:szCs w:val="24"/>
          <w:lang w:val="en-US"/>
        </w:rPr>
        <w:t xml:space="preserve">of </w:t>
      </w:r>
      <w:r w:rsidRPr="00E9425D">
        <w:rPr>
          <w:rFonts w:ascii="Times New Roman" w:hAnsi="Times New Roman"/>
          <w:sz w:val="24"/>
          <w:szCs w:val="24"/>
          <w:lang w:val="en-US"/>
        </w:rPr>
        <w:t>specific BEV model</w:t>
      </w:r>
      <w:r w:rsidR="00AD1F41">
        <w:rPr>
          <w:rFonts w:ascii="Times New Roman" w:hAnsi="Times New Roman"/>
          <w:sz w:val="24"/>
          <w:szCs w:val="24"/>
          <w:lang w:val="en-US"/>
        </w:rPr>
        <w:t>s across countries</w:t>
      </w:r>
      <w:r w:rsidRPr="00E9425D">
        <w:rPr>
          <w:rFonts w:ascii="Times New Roman" w:hAnsi="Times New Roman"/>
          <w:sz w:val="24"/>
          <w:szCs w:val="24"/>
          <w:lang w:val="en-US"/>
        </w:rPr>
        <w:t xml:space="preserve"> reveal that there must be a difference between Norway and the rest of the countries.  </w:t>
      </w:r>
    </w:p>
    <w:p w:rsidR="006C403F" w:rsidRDefault="00A129D5" w:rsidP="00655295">
      <w:pPr>
        <w:spacing w:line="360" w:lineRule="auto"/>
        <w:jc w:val="center"/>
        <w:rPr>
          <w:rFonts w:ascii="Times New Roman" w:hAnsi="Times New Roman"/>
          <w:sz w:val="24"/>
          <w:szCs w:val="24"/>
          <w:lang w:val="en-US"/>
        </w:rPr>
      </w:pPr>
      <w:r w:rsidRPr="00750DFA">
        <w:rPr>
          <w:noProof/>
        </w:rPr>
        <w:drawing>
          <wp:anchor distT="0" distB="0" distL="114300" distR="114300" simplePos="0" relativeHeight="251683840" behindDoc="0" locked="0" layoutInCell="1" allowOverlap="1" wp14:anchorId="0825C7CF">
            <wp:simplePos x="0" y="0"/>
            <wp:positionH relativeFrom="column">
              <wp:posOffset>672465</wp:posOffset>
            </wp:positionH>
            <wp:positionV relativeFrom="paragraph">
              <wp:posOffset>4445</wp:posOffset>
            </wp:positionV>
            <wp:extent cx="4222750" cy="2814955"/>
            <wp:effectExtent l="0" t="0" r="6350" b="4445"/>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2750" cy="2814955"/>
                    </a:xfrm>
                    <a:prstGeom prst="rect">
                      <a:avLst/>
                    </a:prstGeom>
                    <a:noFill/>
                    <a:ln>
                      <a:noFill/>
                    </a:ln>
                  </pic:spPr>
                </pic:pic>
              </a:graphicData>
            </a:graphic>
          </wp:anchor>
        </w:drawing>
      </w:r>
      <w:r w:rsidR="006C403F">
        <w:rPr>
          <w:rFonts w:ascii="Times New Roman" w:hAnsi="Times New Roman"/>
          <w:b/>
          <w:lang w:val="en-US"/>
        </w:rPr>
        <w:t>Graph 2</w:t>
      </w:r>
      <w:r w:rsidR="006C403F" w:rsidRPr="00997685">
        <w:rPr>
          <w:rFonts w:ascii="Times New Roman" w:hAnsi="Times New Roman"/>
          <w:b/>
          <w:lang w:val="en-US"/>
        </w:rPr>
        <w:t>.</w:t>
      </w:r>
      <w:r w:rsidR="006C403F">
        <w:rPr>
          <w:rFonts w:ascii="Times New Roman" w:hAnsi="Times New Roman"/>
          <w:b/>
          <w:lang w:val="en-US"/>
        </w:rPr>
        <w:t>1. Boxplot ‘Market share of a specific BEV’</w:t>
      </w:r>
    </w:p>
    <w:p w:rsidR="00A129D5" w:rsidRDefault="00A129D5" w:rsidP="006C403F">
      <w:pPr>
        <w:spacing w:line="360" w:lineRule="auto"/>
        <w:jc w:val="center"/>
        <w:rPr>
          <w:rFonts w:ascii="Times New Roman" w:hAnsi="Times New Roman"/>
          <w:sz w:val="24"/>
          <w:szCs w:val="24"/>
          <w:lang w:val="en-US"/>
        </w:rPr>
      </w:pPr>
      <w:r w:rsidRPr="00B97409">
        <w:rPr>
          <w:noProof/>
        </w:rPr>
        <w:drawing>
          <wp:anchor distT="0" distB="0" distL="114300" distR="114300" simplePos="0" relativeHeight="251684864" behindDoc="0" locked="0" layoutInCell="1" allowOverlap="1" wp14:anchorId="01F46BEE">
            <wp:simplePos x="0" y="0"/>
            <wp:positionH relativeFrom="column">
              <wp:posOffset>672465</wp:posOffset>
            </wp:positionH>
            <wp:positionV relativeFrom="paragraph">
              <wp:posOffset>0</wp:posOffset>
            </wp:positionV>
            <wp:extent cx="4222800" cy="2815200"/>
            <wp:effectExtent l="0" t="0" r="6350" b="444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2800" cy="2815200"/>
                    </a:xfrm>
                    <a:prstGeom prst="rect">
                      <a:avLst/>
                    </a:prstGeom>
                    <a:noFill/>
                    <a:ln>
                      <a:noFill/>
                    </a:ln>
                  </pic:spPr>
                </pic:pic>
              </a:graphicData>
            </a:graphic>
          </wp:anchor>
        </w:drawing>
      </w:r>
      <w:r w:rsidR="006C403F">
        <w:rPr>
          <w:rFonts w:ascii="Times New Roman" w:hAnsi="Times New Roman"/>
          <w:b/>
          <w:lang w:val="en-US"/>
        </w:rPr>
        <w:t>Graph 2</w:t>
      </w:r>
      <w:r w:rsidR="006C403F" w:rsidRPr="00997685">
        <w:rPr>
          <w:rFonts w:ascii="Times New Roman" w:hAnsi="Times New Roman"/>
          <w:b/>
          <w:lang w:val="en-US"/>
        </w:rPr>
        <w:t>.</w:t>
      </w:r>
      <w:r w:rsidR="006C403F">
        <w:rPr>
          <w:rFonts w:ascii="Times New Roman" w:hAnsi="Times New Roman"/>
          <w:b/>
          <w:lang w:val="en-US"/>
        </w:rPr>
        <w:t>2. Interval Plot ‘Market share of a specific BEV vs Country’</w:t>
      </w:r>
    </w:p>
    <w:p w:rsidR="000E73CE" w:rsidRDefault="00CC75B5" w:rsidP="00CE182C">
      <w:pPr>
        <w:spacing w:line="360" w:lineRule="auto"/>
        <w:jc w:val="both"/>
        <w:rPr>
          <w:rFonts w:ascii="Times New Roman" w:hAnsi="Times New Roman"/>
          <w:sz w:val="24"/>
          <w:szCs w:val="24"/>
          <w:lang w:val="en-US"/>
        </w:rPr>
      </w:pPr>
      <w:r>
        <w:rPr>
          <w:rFonts w:ascii="Times New Roman" w:hAnsi="Times New Roman"/>
          <w:sz w:val="24"/>
          <w:szCs w:val="24"/>
          <w:lang w:val="en-US"/>
        </w:rPr>
        <w:t>Indeed, having run t</w:t>
      </w:r>
      <w:r w:rsidR="00E9425D" w:rsidRPr="00E9425D">
        <w:rPr>
          <w:rFonts w:ascii="Times New Roman" w:hAnsi="Times New Roman"/>
          <w:sz w:val="24"/>
          <w:szCs w:val="24"/>
          <w:lang w:val="en-US"/>
        </w:rPr>
        <w:t>he Welch’s F-test</w:t>
      </w:r>
      <w:r>
        <w:rPr>
          <w:rFonts w:ascii="Times New Roman" w:hAnsi="Times New Roman"/>
          <w:sz w:val="24"/>
          <w:szCs w:val="24"/>
          <w:lang w:val="en-US"/>
        </w:rPr>
        <w:t>, we reject</w:t>
      </w:r>
      <w:r w:rsidR="00E9425D" w:rsidRPr="00E9425D">
        <w:rPr>
          <w:rFonts w:ascii="Times New Roman" w:hAnsi="Times New Roman"/>
          <w:sz w:val="24"/>
          <w:szCs w:val="24"/>
          <w:lang w:val="en-US"/>
        </w:rPr>
        <w:t xml:space="preserve"> </w:t>
      </w:r>
      <w:r w:rsidRPr="00E9425D">
        <w:rPr>
          <w:rFonts w:ascii="Times New Roman" w:hAnsi="Times New Roman"/>
          <w:sz w:val="24"/>
          <w:szCs w:val="24"/>
          <w:lang w:val="en-US"/>
        </w:rPr>
        <w:t>the null hypothesis</w:t>
      </w:r>
      <w:r>
        <w:rPr>
          <w:rFonts w:ascii="Times New Roman" w:hAnsi="Times New Roman"/>
          <w:sz w:val="24"/>
          <w:szCs w:val="24"/>
          <w:lang w:val="en-US"/>
        </w:rPr>
        <w:t xml:space="preserve">, with </w:t>
      </w:r>
      <w:r w:rsidR="00B05B18">
        <w:rPr>
          <w:rFonts w:ascii="Times New Roman" w:hAnsi="Times New Roman"/>
          <w:sz w:val="24"/>
          <w:szCs w:val="24"/>
          <w:lang w:val="en-US"/>
        </w:rPr>
        <w:t xml:space="preserve">a </w:t>
      </w:r>
      <w:r w:rsidR="00E9425D" w:rsidRPr="00E9425D">
        <w:rPr>
          <w:rFonts w:ascii="Times New Roman" w:hAnsi="Times New Roman"/>
          <w:sz w:val="24"/>
          <w:szCs w:val="24"/>
          <w:lang w:val="en-US"/>
        </w:rPr>
        <w:t>p-value</w:t>
      </w:r>
      <w:r w:rsidR="001C1759">
        <w:rPr>
          <w:rFonts w:ascii="Times New Roman" w:hAnsi="Times New Roman"/>
          <w:sz w:val="24"/>
          <w:szCs w:val="24"/>
          <w:lang w:val="en-US"/>
        </w:rPr>
        <w:t>&lt;</w:t>
      </w:r>
      <w:r w:rsidR="00E9425D" w:rsidRPr="00E9425D">
        <w:rPr>
          <w:rFonts w:ascii="Times New Roman" w:hAnsi="Times New Roman"/>
          <w:sz w:val="24"/>
          <w:szCs w:val="24"/>
          <w:lang w:val="en-US"/>
        </w:rPr>
        <w:t>0</w:t>
      </w:r>
      <w:r w:rsidR="000822C1">
        <w:rPr>
          <w:rFonts w:ascii="Times New Roman" w:hAnsi="Times New Roman"/>
          <w:sz w:val="24"/>
          <w:szCs w:val="24"/>
          <w:lang w:val="en-US"/>
        </w:rPr>
        <w:t>.</w:t>
      </w:r>
      <w:r w:rsidR="00E9425D" w:rsidRPr="00E9425D">
        <w:rPr>
          <w:rFonts w:ascii="Times New Roman" w:hAnsi="Times New Roman"/>
          <w:sz w:val="24"/>
          <w:szCs w:val="24"/>
          <w:lang w:val="en-US"/>
        </w:rPr>
        <w:t>0</w:t>
      </w:r>
      <w:r w:rsidR="00B05B18">
        <w:rPr>
          <w:rFonts w:ascii="Times New Roman" w:hAnsi="Times New Roman"/>
          <w:sz w:val="24"/>
          <w:szCs w:val="24"/>
          <w:lang w:val="en-US"/>
        </w:rPr>
        <w:t>5 (see Appendix</w:t>
      </w:r>
      <w:r w:rsidR="00F25025">
        <w:rPr>
          <w:rFonts w:ascii="Times New Roman" w:hAnsi="Times New Roman"/>
          <w:sz w:val="24"/>
          <w:szCs w:val="24"/>
          <w:lang w:val="en-US"/>
        </w:rPr>
        <w:t xml:space="preserve"> </w:t>
      </w:r>
      <w:r w:rsidR="000822C1">
        <w:rPr>
          <w:rFonts w:ascii="Times New Roman" w:hAnsi="Times New Roman"/>
          <w:sz w:val="24"/>
          <w:szCs w:val="24"/>
          <w:lang w:val="en-US"/>
        </w:rPr>
        <w:t>8</w:t>
      </w:r>
      <w:r w:rsidR="00F25025">
        <w:rPr>
          <w:rFonts w:ascii="Times New Roman" w:hAnsi="Times New Roman"/>
          <w:sz w:val="24"/>
          <w:szCs w:val="24"/>
          <w:lang w:val="en-US"/>
        </w:rPr>
        <w:t>.2</w:t>
      </w:r>
      <w:r w:rsidR="00B05B18">
        <w:rPr>
          <w:rFonts w:ascii="Times New Roman" w:hAnsi="Times New Roman"/>
          <w:sz w:val="24"/>
          <w:szCs w:val="24"/>
          <w:lang w:val="en-US"/>
        </w:rPr>
        <w:t xml:space="preserve">, Table </w:t>
      </w:r>
      <w:r w:rsidR="00956DCB">
        <w:rPr>
          <w:rFonts w:ascii="Times New Roman" w:hAnsi="Times New Roman"/>
          <w:sz w:val="24"/>
          <w:szCs w:val="24"/>
          <w:lang w:val="en-US"/>
        </w:rPr>
        <w:t>5</w:t>
      </w:r>
      <w:r w:rsidR="00B05B18">
        <w:rPr>
          <w:rFonts w:ascii="Times New Roman" w:hAnsi="Times New Roman"/>
          <w:sz w:val="24"/>
          <w:szCs w:val="24"/>
          <w:lang w:val="en-US"/>
        </w:rPr>
        <w:t>). In other words</w:t>
      </w:r>
      <w:r w:rsidR="00E9425D" w:rsidRPr="00E9425D">
        <w:rPr>
          <w:rFonts w:ascii="Times New Roman" w:hAnsi="Times New Roman"/>
          <w:sz w:val="24"/>
          <w:szCs w:val="24"/>
          <w:lang w:val="en-US"/>
        </w:rPr>
        <w:t xml:space="preserve">, there is some evidence that at least one of the countries is significantly different from others. </w:t>
      </w:r>
      <w:r w:rsidR="00B05B18">
        <w:rPr>
          <w:rFonts w:ascii="Times New Roman" w:hAnsi="Times New Roman"/>
          <w:sz w:val="24"/>
          <w:szCs w:val="24"/>
          <w:lang w:val="en-US"/>
        </w:rPr>
        <w:t>However, t</w:t>
      </w:r>
      <w:r w:rsidR="00E9425D" w:rsidRPr="00E9425D">
        <w:rPr>
          <w:rFonts w:ascii="Times New Roman" w:hAnsi="Times New Roman"/>
          <w:sz w:val="24"/>
          <w:szCs w:val="24"/>
          <w:lang w:val="en-US"/>
        </w:rPr>
        <w:t>he t-tests done with the Games-Howell post pairwise comparisons show that all countries’ means fall into the same group A (see Appendix</w:t>
      </w:r>
      <w:r w:rsidR="00F25025">
        <w:rPr>
          <w:rFonts w:ascii="Times New Roman" w:hAnsi="Times New Roman"/>
          <w:sz w:val="24"/>
          <w:szCs w:val="24"/>
          <w:lang w:val="en-US"/>
        </w:rPr>
        <w:t xml:space="preserve"> </w:t>
      </w:r>
      <w:r w:rsidR="000822C1">
        <w:rPr>
          <w:rFonts w:ascii="Times New Roman" w:hAnsi="Times New Roman"/>
          <w:sz w:val="24"/>
          <w:szCs w:val="24"/>
          <w:lang w:val="en-US"/>
        </w:rPr>
        <w:t>8</w:t>
      </w:r>
      <w:r w:rsidR="00F25025">
        <w:rPr>
          <w:rFonts w:ascii="Times New Roman" w:hAnsi="Times New Roman"/>
          <w:sz w:val="24"/>
          <w:szCs w:val="24"/>
          <w:lang w:val="en-US"/>
        </w:rPr>
        <w:t>.2</w:t>
      </w:r>
      <w:r w:rsidR="00912E75">
        <w:rPr>
          <w:rFonts w:ascii="Times New Roman" w:hAnsi="Times New Roman"/>
          <w:sz w:val="24"/>
          <w:szCs w:val="24"/>
          <w:lang w:val="en-US"/>
        </w:rPr>
        <w:t>, Table</w:t>
      </w:r>
      <w:r w:rsidR="00956DCB">
        <w:rPr>
          <w:rFonts w:ascii="Times New Roman" w:hAnsi="Times New Roman"/>
          <w:sz w:val="24"/>
          <w:szCs w:val="24"/>
          <w:lang w:val="en-US"/>
        </w:rPr>
        <w:t xml:space="preserve"> 6</w:t>
      </w:r>
      <w:r w:rsidR="00E9425D" w:rsidRPr="00E9425D">
        <w:rPr>
          <w:rFonts w:ascii="Times New Roman" w:hAnsi="Times New Roman"/>
          <w:sz w:val="24"/>
          <w:szCs w:val="24"/>
          <w:lang w:val="en-US"/>
        </w:rPr>
        <w:t xml:space="preserve">). P-values for pairwise comparisons with Norway are smaller </w:t>
      </w:r>
      <w:r w:rsidR="00E9425D" w:rsidRPr="00E9425D">
        <w:rPr>
          <w:rFonts w:ascii="Times New Roman" w:hAnsi="Times New Roman"/>
          <w:sz w:val="24"/>
          <w:szCs w:val="24"/>
          <w:lang w:val="en-US"/>
        </w:rPr>
        <w:lastRenderedPageBreak/>
        <w:t xml:space="preserve">than the p-values for comparisons with other countries, but not small enough to reject the null hypothesis. </w:t>
      </w:r>
    </w:p>
    <w:p w:rsidR="00E9425D" w:rsidRDefault="00E9425D" w:rsidP="00CE182C">
      <w:pPr>
        <w:spacing w:line="360" w:lineRule="auto"/>
        <w:jc w:val="both"/>
        <w:rPr>
          <w:rFonts w:ascii="Times New Roman" w:hAnsi="Times New Roman"/>
          <w:sz w:val="24"/>
          <w:szCs w:val="24"/>
          <w:lang w:val="en-US"/>
        </w:rPr>
      </w:pPr>
      <w:r w:rsidRPr="00E9425D">
        <w:rPr>
          <w:rFonts w:ascii="Times New Roman" w:hAnsi="Times New Roman"/>
          <w:sz w:val="24"/>
          <w:szCs w:val="24"/>
          <w:lang w:val="en-US"/>
        </w:rPr>
        <w:t xml:space="preserve">The results from both </w:t>
      </w:r>
      <w:r w:rsidR="00D362D0">
        <w:rPr>
          <w:rFonts w:ascii="Times New Roman" w:hAnsi="Times New Roman"/>
          <w:sz w:val="24"/>
          <w:szCs w:val="24"/>
          <w:lang w:val="en-US"/>
        </w:rPr>
        <w:t xml:space="preserve">the </w:t>
      </w:r>
      <w:r w:rsidRPr="00E9425D">
        <w:rPr>
          <w:rFonts w:ascii="Times New Roman" w:hAnsi="Times New Roman"/>
          <w:sz w:val="24"/>
          <w:szCs w:val="24"/>
          <w:lang w:val="en-US"/>
        </w:rPr>
        <w:t xml:space="preserve">ANOVA and </w:t>
      </w:r>
      <w:r w:rsidR="00D362D0">
        <w:rPr>
          <w:rFonts w:ascii="Times New Roman" w:hAnsi="Times New Roman"/>
          <w:sz w:val="24"/>
          <w:szCs w:val="24"/>
          <w:lang w:val="en-US"/>
        </w:rPr>
        <w:t xml:space="preserve">the </w:t>
      </w:r>
      <w:r w:rsidRPr="00E9425D">
        <w:rPr>
          <w:rFonts w:ascii="Times New Roman" w:hAnsi="Times New Roman"/>
          <w:sz w:val="24"/>
          <w:szCs w:val="24"/>
          <w:lang w:val="en-US"/>
        </w:rPr>
        <w:t xml:space="preserve">Games-Howell tests are not comparable. The post tests are more powerful, since they focus on the individual differences between pairs of means, in contrast to the overall ANOVA. </w:t>
      </w:r>
      <w:r w:rsidR="00CE6074">
        <w:rPr>
          <w:rFonts w:ascii="Times New Roman" w:hAnsi="Times New Roman"/>
          <w:sz w:val="24"/>
          <w:szCs w:val="24"/>
          <w:lang w:val="en-US"/>
        </w:rPr>
        <w:t>The conclusion follows</w:t>
      </w:r>
      <w:r w:rsidRPr="00E9425D">
        <w:rPr>
          <w:rFonts w:ascii="Times New Roman" w:hAnsi="Times New Roman"/>
          <w:sz w:val="24"/>
          <w:szCs w:val="24"/>
          <w:lang w:val="en-US"/>
        </w:rPr>
        <w:t xml:space="preserve"> that there </w:t>
      </w:r>
      <w:r w:rsidR="00BC4171" w:rsidRPr="00E9425D">
        <w:rPr>
          <w:rFonts w:ascii="Times New Roman" w:hAnsi="Times New Roman"/>
          <w:sz w:val="24"/>
          <w:szCs w:val="24"/>
          <w:lang w:val="en-US"/>
        </w:rPr>
        <w:t>are</w:t>
      </w:r>
      <w:r w:rsidRPr="00E9425D">
        <w:rPr>
          <w:rFonts w:ascii="Times New Roman" w:hAnsi="Times New Roman"/>
          <w:sz w:val="24"/>
          <w:szCs w:val="24"/>
          <w:lang w:val="en-US"/>
        </w:rPr>
        <w:t xml:space="preserve"> no country differences in terms of the market shares of specific BEV model</w:t>
      </w:r>
      <w:r w:rsidR="004219EE">
        <w:rPr>
          <w:rFonts w:ascii="Times New Roman" w:hAnsi="Times New Roman"/>
          <w:sz w:val="24"/>
          <w:szCs w:val="24"/>
          <w:lang w:val="en-US"/>
        </w:rPr>
        <w:t>s</w:t>
      </w:r>
      <w:r w:rsidRPr="00E9425D">
        <w:rPr>
          <w:rFonts w:ascii="Times New Roman" w:hAnsi="Times New Roman"/>
          <w:sz w:val="24"/>
          <w:szCs w:val="24"/>
          <w:lang w:val="en-US"/>
        </w:rPr>
        <w:t>.</w:t>
      </w:r>
      <w:r w:rsidR="004219EE">
        <w:rPr>
          <w:rFonts w:ascii="Times New Roman" w:hAnsi="Times New Roman"/>
          <w:sz w:val="24"/>
          <w:szCs w:val="24"/>
          <w:lang w:val="en-US"/>
        </w:rPr>
        <w:t xml:space="preserve"> From the statistical point of view, the market shares of </w:t>
      </w:r>
      <w:r w:rsidR="001872A4">
        <w:rPr>
          <w:rFonts w:ascii="Times New Roman" w:hAnsi="Times New Roman"/>
          <w:sz w:val="24"/>
          <w:szCs w:val="24"/>
          <w:lang w:val="en-US"/>
        </w:rPr>
        <w:t xml:space="preserve">specific </w:t>
      </w:r>
      <w:r w:rsidR="004219EE">
        <w:rPr>
          <w:rFonts w:ascii="Times New Roman" w:hAnsi="Times New Roman"/>
          <w:sz w:val="24"/>
          <w:szCs w:val="24"/>
          <w:lang w:val="en-US"/>
        </w:rPr>
        <w:t>BEV</w:t>
      </w:r>
      <w:r w:rsidR="001872A4">
        <w:rPr>
          <w:rFonts w:ascii="Times New Roman" w:hAnsi="Times New Roman"/>
          <w:sz w:val="24"/>
          <w:szCs w:val="24"/>
          <w:lang w:val="en-US"/>
        </w:rPr>
        <w:t xml:space="preserve"> models</w:t>
      </w:r>
      <w:r w:rsidR="004219EE">
        <w:rPr>
          <w:rFonts w:ascii="Times New Roman" w:hAnsi="Times New Roman"/>
          <w:sz w:val="24"/>
          <w:szCs w:val="24"/>
          <w:lang w:val="en-US"/>
        </w:rPr>
        <w:t xml:space="preserve"> in Norway do not differ from the s</w:t>
      </w:r>
      <w:r w:rsidR="00EF7008">
        <w:rPr>
          <w:rFonts w:ascii="Times New Roman" w:hAnsi="Times New Roman"/>
          <w:sz w:val="24"/>
          <w:szCs w:val="24"/>
          <w:lang w:val="en-US"/>
        </w:rPr>
        <w:t>hares</w:t>
      </w:r>
      <w:r w:rsidR="004219EE">
        <w:rPr>
          <w:rFonts w:ascii="Times New Roman" w:hAnsi="Times New Roman"/>
          <w:sz w:val="24"/>
          <w:szCs w:val="24"/>
          <w:lang w:val="en-US"/>
        </w:rPr>
        <w:t xml:space="preserve"> in other countries. </w:t>
      </w:r>
      <w:r w:rsidR="00690171">
        <w:rPr>
          <w:rFonts w:ascii="Times New Roman" w:hAnsi="Times New Roman"/>
          <w:sz w:val="24"/>
          <w:szCs w:val="24"/>
          <w:lang w:val="en-US"/>
        </w:rPr>
        <w:t xml:space="preserve">However, </w:t>
      </w:r>
      <w:r w:rsidR="009C212E">
        <w:rPr>
          <w:rFonts w:ascii="Times New Roman" w:hAnsi="Times New Roman"/>
          <w:sz w:val="24"/>
          <w:szCs w:val="24"/>
          <w:lang w:val="en-US"/>
        </w:rPr>
        <w:t xml:space="preserve">Norway still has </w:t>
      </w:r>
      <w:r w:rsidR="00D362D0">
        <w:rPr>
          <w:rFonts w:ascii="Times New Roman" w:hAnsi="Times New Roman"/>
          <w:sz w:val="24"/>
          <w:szCs w:val="24"/>
          <w:lang w:val="en-US"/>
        </w:rPr>
        <w:t>a</w:t>
      </w:r>
      <w:r w:rsidR="009C212E">
        <w:rPr>
          <w:rFonts w:ascii="Times New Roman" w:hAnsi="Times New Roman"/>
          <w:sz w:val="24"/>
          <w:szCs w:val="24"/>
          <w:lang w:val="en-US"/>
        </w:rPr>
        <w:t xml:space="preserve"> </w:t>
      </w:r>
      <w:r w:rsidR="005B7B34">
        <w:rPr>
          <w:rFonts w:ascii="Times New Roman" w:hAnsi="Times New Roman"/>
          <w:sz w:val="24"/>
          <w:szCs w:val="24"/>
          <w:lang w:val="en-US"/>
        </w:rPr>
        <w:t>substantially</w:t>
      </w:r>
      <w:r w:rsidR="009C212E">
        <w:rPr>
          <w:rFonts w:ascii="Times New Roman" w:hAnsi="Times New Roman"/>
          <w:sz w:val="24"/>
          <w:szCs w:val="24"/>
          <w:lang w:val="en-US"/>
        </w:rPr>
        <w:t xml:space="preserve"> higher </w:t>
      </w:r>
      <w:r w:rsidR="00DE3429">
        <w:rPr>
          <w:rFonts w:ascii="Times New Roman" w:hAnsi="Times New Roman"/>
          <w:sz w:val="24"/>
          <w:szCs w:val="24"/>
          <w:lang w:val="en-US"/>
        </w:rPr>
        <w:t xml:space="preserve">overall </w:t>
      </w:r>
      <w:r w:rsidR="009C212E">
        <w:rPr>
          <w:rFonts w:ascii="Times New Roman" w:hAnsi="Times New Roman"/>
          <w:sz w:val="24"/>
          <w:szCs w:val="24"/>
          <w:lang w:val="en-US"/>
        </w:rPr>
        <w:t>market share</w:t>
      </w:r>
      <w:r w:rsidR="00B00F39">
        <w:rPr>
          <w:rFonts w:ascii="Times New Roman" w:hAnsi="Times New Roman"/>
          <w:sz w:val="24"/>
          <w:szCs w:val="24"/>
          <w:lang w:val="en-US"/>
        </w:rPr>
        <w:t xml:space="preserve"> of 16,18% which leaves other countries far behind in terms of </w:t>
      </w:r>
      <w:r w:rsidR="00EF7008">
        <w:rPr>
          <w:rFonts w:ascii="Times New Roman" w:hAnsi="Times New Roman"/>
          <w:sz w:val="24"/>
          <w:szCs w:val="24"/>
          <w:lang w:val="en-US"/>
        </w:rPr>
        <w:t xml:space="preserve">the </w:t>
      </w:r>
      <w:r w:rsidR="00B00F39">
        <w:rPr>
          <w:rFonts w:ascii="Times New Roman" w:hAnsi="Times New Roman"/>
          <w:sz w:val="24"/>
          <w:szCs w:val="24"/>
          <w:lang w:val="en-US"/>
        </w:rPr>
        <w:t>EV adoption rates</w:t>
      </w:r>
      <w:r w:rsidR="009C212E">
        <w:rPr>
          <w:rFonts w:ascii="Times New Roman" w:hAnsi="Times New Roman"/>
          <w:sz w:val="24"/>
          <w:szCs w:val="24"/>
          <w:lang w:val="en-US"/>
        </w:rPr>
        <w:t>.</w:t>
      </w:r>
    </w:p>
    <w:p w:rsidR="002F72B8" w:rsidRDefault="00CE6074" w:rsidP="00CE182C">
      <w:pPr>
        <w:pStyle w:val="2"/>
        <w:jc w:val="both"/>
        <w:rPr>
          <w:lang w:val="en-US"/>
        </w:rPr>
      </w:pPr>
      <w:bookmarkStart w:id="25" w:name="_Toc535248660"/>
      <w:r>
        <w:rPr>
          <w:lang w:val="en-US"/>
        </w:rPr>
        <w:t>Correlation analysis</w:t>
      </w:r>
      <w:bookmarkEnd w:id="25"/>
    </w:p>
    <w:p w:rsidR="00855FB7" w:rsidRDefault="00855FB7" w:rsidP="00855FB7">
      <w:pPr>
        <w:spacing w:line="360" w:lineRule="auto"/>
        <w:jc w:val="both"/>
        <w:rPr>
          <w:rFonts w:ascii="Times New Roman" w:hAnsi="Times New Roman"/>
          <w:color w:val="000000"/>
          <w:sz w:val="24"/>
          <w:szCs w:val="24"/>
          <w:lang w:val="en-US"/>
        </w:rPr>
      </w:pPr>
      <w:r w:rsidRPr="00BC4171">
        <w:rPr>
          <w:rFonts w:ascii="Times New Roman" w:hAnsi="Times New Roman"/>
          <w:color w:val="000000"/>
          <w:sz w:val="24"/>
          <w:szCs w:val="24"/>
          <w:lang w:val="en-US"/>
        </w:rPr>
        <w:t xml:space="preserve">With the means of Pearson’s correlation, the relationships between </w:t>
      </w:r>
      <w:r w:rsidR="00323892">
        <w:rPr>
          <w:rFonts w:ascii="Times New Roman" w:hAnsi="Times New Roman"/>
          <w:color w:val="000000"/>
          <w:sz w:val="24"/>
          <w:szCs w:val="24"/>
          <w:lang w:val="en-US"/>
        </w:rPr>
        <w:t xml:space="preserve">the </w:t>
      </w:r>
      <w:r w:rsidRPr="00BC4171">
        <w:rPr>
          <w:rFonts w:ascii="Times New Roman" w:hAnsi="Times New Roman"/>
          <w:color w:val="000000"/>
          <w:sz w:val="24"/>
          <w:szCs w:val="24"/>
          <w:lang w:val="en-US"/>
        </w:rPr>
        <w:t>variables are analyzed</w:t>
      </w:r>
      <w:r w:rsidR="00177FCD">
        <w:rPr>
          <w:rFonts w:ascii="Times New Roman" w:hAnsi="Times New Roman"/>
          <w:color w:val="000000"/>
          <w:sz w:val="24"/>
          <w:szCs w:val="24"/>
          <w:lang w:val="en-US"/>
        </w:rPr>
        <w:t xml:space="preserve"> (see Appendix</w:t>
      </w:r>
      <w:r w:rsidR="000822C1">
        <w:rPr>
          <w:rFonts w:ascii="Times New Roman" w:hAnsi="Times New Roman"/>
          <w:color w:val="000000"/>
          <w:sz w:val="24"/>
          <w:szCs w:val="24"/>
          <w:lang w:val="en-US"/>
        </w:rPr>
        <w:t xml:space="preserve"> 8.</w:t>
      </w:r>
      <w:r w:rsidR="00ED7176">
        <w:rPr>
          <w:rFonts w:ascii="Times New Roman" w:hAnsi="Times New Roman"/>
          <w:color w:val="000000"/>
          <w:sz w:val="24"/>
          <w:szCs w:val="24"/>
          <w:lang w:val="en-US"/>
        </w:rPr>
        <w:t>2</w:t>
      </w:r>
      <w:r w:rsidR="00177FCD">
        <w:rPr>
          <w:rFonts w:ascii="Times New Roman" w:hAnsi="Times New Roman"/>
          <w:color w:val="000000"/>
          <w:sz w:val="24"/>
          <w:szCs w:val="24"/>
          <w:lang w:val="en-US"/>
        </w:rPr>
        <w:t xml:space="preserve">, Table </w:t>
      </w:r>
      <w:r w:rsidR="00ED7176">
        <w:rPr>
          <w:rFonts w:ascii="Times New Roman" w:hAnsi="Times New Roman"/>
          <w:color w:val="000000"/>
          <w:sz w:val="24"/>
          <w:szCs w:val="24"/>
          <w:lang w:val="en-US"/>
        </w:rPr>
        <w:t>7</w:t>
      </w:r>
      <w:r w:rsidR="00177FCD">
        <w:rPr>
          <w:rFonts w:ascii="Times New Roman" w:hAnsi="Times New Roman"/>
          <w:color w:val="000000"/>
          <w:sz w:val="24"/>
          <w:szCs w:val="24"/>
          <w:lang w:val="en-US"/>
        </w:rPr>
        <w:t>)</w:t>
      </w:r>
      <w:r w:rsidRPr="00BC4171">
        <w:rPr>
          <w:rFonts w:ascii="Times New Roman" w:hAnsi="Times New Roman"/>
          <w:color w:val="000000"/>
          <w:sz w:val="24"/>
          <w:szCs w:val="24"/>
          <w:lang w:val="en-US"/>
        </w:rPr>
        <w:t xml:space="preserve">. One of the patterns identified is that many of the EV-specific variables are correlated (especially, price and driving range show </w:t>
      </w:r>
      <w:r w:rsidR="00D362D0">
        <w:rPr>
          <w:rFonts w:ascii="Times New Roman" w:hAnsi="Times New Roman"/>
          <w:color w:val="000000"/>
          <w:sz w:val="24"/>
          <w:szCs w:val="24"/>
          <w:lang w:val="en-US"/>
        </w:rPr>
        <w:t xml:space="preserve">a </w:t>
      </w:r>
      <w:r w:rsidRPr="00BC4171">
        <w:rPr>
          <w:rFonts w:ascii="Times New Roman" w:hAnsi="Times New Roman"/>
          <w:color w:val="000000"/>
          <w:sz w:val="24"/>
          <w:szCs w:val="24"/>
          <w:lang w:val="en-US"/>
        </w:rPr>
        <w:t>strong correlation) which is not that surprising since driving range is a car</w:t>
      </w:r>
      <w:r w:rsidR="00B859C9">
        <w:rPr>
          <w:rFonts w:ascii="Times New Roman" w:hAnsi="Times New Roman"/>
          <w:color w:val="000000"/>
          <w:sz w:val="24"/>
          <w:szCs w:val="24"/>
          <w:lang w:val="en-US"/>
        </w:rPr>
        <w:t>-specific</w:t>
      </w:r>
      <w:r w:rsidRPr="00BC4171">
        <w:rPr>
          <w:rFonts w:ascii="Times New Roman" w:hAnsi="Times New Roman"/>
          <w:color w:val="000000"/>
          <w:sz w:val="24"/>
          <w:szCs w:val="24"/>
          <w:lang w:val="en-US"/>
        </w:rPr>
        <w:t xml:space="preserve"> technical </w:t>
      </w:r>
      <w:r w:rsidR="00B859C9">
        <w:rPr>
          <w:rFonts w:ascii="Times New Roman" w:hAnsi="Times New Roman"/>
          <w:color w:val="000000"/>
          <w:sz w:val="24"/>
          <w:szCs w:val="24"/>
          <w:lang w:val="en-US"/>
        </w:rPr>
        <w:t>attribute which depends</w:t>
      </w:r>
      <w:r w:rsidRPr="00BC4171">
        <w:rPr>
          <w:rFonts w:ascii="Times New Roman" w:hAnsi="Times New Roman"/>
          <w:color w:val="000000"/>
          <w:sz w:val="24"/>
          <w:szCs w:val="24"/>
          <w:lang w:val="en-US"/>
        </w:rPr>
        <w:t xml:space="preserve"> on the BEV</w:t>
      </w:r>
      <w:r w:rsidR="00B859C9">
        <w:rPr>
          <w:rFonts w:ascii="Times New Roman" w:hAnsi="Times New Roman"/>
          <w:color w:val="000000"/>
          <w:sz w:val="24"/>
          <w:szCs w:val="24"/>
          <w:lang w:val="en-US"/>
        </w:rPr>
        <w:t>’s</w:t>
      </w:r>
      <w:r w:rsidRPr="00BC4171">
        <w:rPr>
          <w:rFonts w:ascii="Times New Roman" w:hAnsi="Times New Roman"/>
          <w:color w:val="000000"/>
          <w:sz w:val="24"/>
          <w:szCs w:val="24"/>
          <w:lang w:val="en-US"/>
        </w:rPr>
        <w:t xml:space="preserve"> battery capacity and therefore </w:t>
      </w:r>
      <w:r w:rsidR="00D362D0">
        <w:rPr>
          <w:rFonts w:ascii="Times New Roman" w:hAnsi="Times New Roman"/>
          <w:color w:val="000000"/>
          <w:sz w:val="24"/>
          <w:szCs w:val="24"/>
          <w:lang w:val="en-US"/>
        </w:rPr>
        <w:t xml:space="preserve">is directly connected </w:t>
      </w:r>
      <w:r w:rsidRPr="00BC4171">
        <w:rPr>
          <w:rFonts w:ascii="Times New Roman" w:hAnsi="Times New Roman"/>
          <w:color w:val="000000"/>
          <w:sz w:val="24"/>
          <w:szCs w:val="24"/>
          <w:lang w:val="en-US"/>
        </w:rPr>
        <w:t xml:space="preserve">with its price. </w:t>
      </w:r>
      <w:r w:rsidR="00E05F48">
        <w:rPr>
          <w:rFonts w:ascii="Times New Roman" w:hAnsi="Times New Roman"/>
          <w:color w:val="000000"/>
          <w:sz w:val="24"/>
          <w:szCs w:val="24"/>
          <w:lang w:val="en-US"/>
        </w:rPr>
        <w:t xml:space="preserve">Moreover, price and VAT Amount are strongly correlated since the latter is calculated as a percentage of the former. </w:t>
      </w:r>
      <w:r w:rsidRPr="00BC4171">
        <w:rPr>
          <w:rFonts w:ascii="Times New Roman" w:hAnsi="Times New Roman"/>
          <w:color w:val="000000"/>
          <w:sz w:val="24"/>
          <w:szCs w:val="24"/>
          <w:lang w:val="en-US"/>
        </w:rPr>
        <w:t>On the other hand, context-specific variables are correlated between each other as well (especially, we identify strong correlation between urban density and charging infrastructure, electricity prices and interest score, interest score and</w:t>
      </w:r>
      <w:r w:rsidR="006C3E12">
        <w:rPr>
          <w:rFonts w:ascii="Times New Roman" w:hAnsi="Times New Roman"/>
          <w:color w:val="000000"/>
          <w:sz w:val="24"/>
          <w:szCs w:val="24"/>
          <w:lang w:val="en-US"/>
        </w:rPr>
        <w:t xml:space="preserve"> </w:t>
      </w:r>
      <w:r w:rsidR="00F201CD">
        <w:rPr>
          <w:rFonts w:ascii="Times New Roman" w:hAnsi="Times New Roman"/>
          <w:color w:val="000000"/>
          <w:sz w:val="24"/>
          <w:szCs w:val="24"/>
          <w:lang w:val="en-US"/>
        </w:rPr>
        <w:t xml:space="preserve">HOV/Bus </w:t>
      </w:r>
      <w:r w:rsidR="006C3E12">
        <w:rPr>
          <w:rFonts w:ascii="Times New Roman" w:hAnsi="Times New Roman"/>
          <w:color w:val="000000"/>
          <w:sz w:val="24"/>
          <w:szCs w:val="24"/>
          <w:lang w:val="en-US"/>
        </w:rPr>
        <w:t>lane access</w:t>
      </w:r>
      <w:r w:rsidR="00E05F48">
        <w:rPr>
          <w:rFonts w:ascii="Times New Roman" w:hAnsi="Times New Roman"/>
          <w:color w:val="000000"/>
          <w:sz w:val="24"/>
          <w:szCs w:val="24"/>
          <w:lang w:val="en-US"/>
        </w:rPr>
        <w:t xml:space="preserve">, </w:t>
      </w:r>
      <w:r w:rsidR="00F201CD">
        <w:rPr>
          <w:rFonts w:ascii="Times New Roman" w:hAnsi="Times New Roman"/>
          <w:color w:val="000000"/>
          <w:sz w:val="24"/>
          <w:szCs w:val="24"/>
          <w:lang w:val="en-US"/>
        </w:rPr>
        <w:t xml:space="preserve">HOV/Bus </w:t>
      </w:r>
      <w:r w:rsidR="00E05F48">
        <w:rPr>
          <w:rFonts w:ascii="Times New Roman" w:hAnsi="Times New Roman"/>
          <w:color w:val="000000"/>
          <w:sz w:val="24"/>
          <w:szCs w:val="24"/>
          <w:lang w:val="en-US"/>
        </w:rPr>
        <w:t>lane access and electricity prices</w:t>
      </w:r>
      <w:r w:rsidRPr="00BC4171">
        <w:rPr>
          <w:rFonts w:ascii="Times New Roman" w:hAnsi="Times New Roman"/>
          <w:color w:val="000000"/>
          <w:sz w:val="24"/>
          <w:szCs w:val="24"/>
          <w:lang w:val="en-US"/>
        </w:rPr>
        <w:t xml:space="preserve">). This information is useful when controlling for multicollinearity issues within the model. Another interesting observation was that the BEV sale price had a positive and very weak correlation with BEV sales, whereas government grant has a positive </w:t>
      </w:r>
      <w:r w:rsidR="00B859C9">
        <w:rPr>
          <w:rFonts w:ascii="Times New Roman" w:hAnsi="Times New Roman"/>
          <w:color w:val="000000"/>
          <w:sz w:val="24"/>
          <w:szCs w:val="24"/>
          <w:lang w:val="en-US"/>
        </w:rPr>
        <w:t xml:space="preserve">and </w:t>
      </w:r>
      <w:r w:rsidRPr="00BC4171">
        <w:rPr>
          <w:rFonts w:ascii="Times New Roman" w:hAnsi="Times New Roman"/>
          <w:color w:val="000000"/>
          <w:sz w:val="24"/>
          <w:szCs w:val="24"/>
          <w:lang w:val="en-US"/>
        </w:rPr>
        <w:t xml:space="preserve">relatively strong correlation with BEV sales. </w:t>
      </w:r>
      <w:r w:rsidR="00B859C9">
        <w:rPr>
          <w:rFonts w:ascii="Times New Roman" w:hAnsi="Times New Roman"/>
          <w:color w:val="000000"/>
          <w:sz w:val="24"/>
          <w:szCs w:val="24"/>
          <w:lang w:val="en-US"/>
        </w:rPr>
        <w:t>This</w:t>
      </w:r>
      <w:r w:rsidRPr="00BC4171">
        <w:rPr>
          <w:rFonts w:ascii="Times New Roman" w:hAnsi="Times New Roman"/>
          <w:color w:val="000000"/>
          <w:sz w:val="24"/>
          <w:szCs w:val="24"/>
          <w:lang w:val="en-US"/>
        </w:rPr>
        <w:t xml:space="preserve"> suggests that not the price alone, but rather overall costs might be correlated with the sales. In addition, if people decide to buy an </w:t>
      </w:r>
      <w:r w:rsidR="00AD1F41">
        <w:rPr>
          <w:rFonts w:ascii="Times New Roman" w:hAnsi="Times New Roman"/>
          <w:color w:val="000000"/>
          <w:sz w:val="24"/>
          <w:szCs w:val="24"/>
          <w:lang w:val="en-US"/>
        </w:rPr>
        <w:t>EV</w:t>
      </w:r>
      <w:r w:rsidRPr="00BC4171">
        <w:rPr>
          <w:rFonts w:ascii="Times New Roman" w:hAnsi="Times New Roman"/>
          <w:color w:val="000000"/>
          <w:sz w:val="24"/>
          <w:szCs w:val="24"/>
          <w:lang w:val="en-US"/>
        </w:rPr>
        <w:t xml:space="preserve">, they would rather buy a car with good technical characteristics, due to the range anxiety, or as a status symbol (which was confirmed by the stated preference studies). These conclusions are not necessarily </w:t>
      </w:r>
      <w:r w:rsidR="001B3DD0">
        <w:rPr>
          <w:rFonts w:ascii="Times New Roman" w:hAnsi="Times New Roman"/>
          <w:color w:val="000000"/>
          <w:sz w:val="24"/>
          <w:szCs w:val="24"/>
          <w:lang w:val="en-US"/>
        </w:rPr>
        <w:t xml:space="preserve">complete </w:t>
      </w:r>
      <w:r w:rsidRPr="00BC4171">
        <w:rPr>
          <w:rFonts w:ascii="Times New Roman" w:hAnsi="Times New Roman"/>
          <w:color w:val="000000"/>
          <w:sz w:val="24"/>
          <w:szCs w:val="24"/>
          <w:lang w:val="en-US"/>
        </w:rPr>
        <w:t xml:space="preserve">but can still be considered </w:t>
      </w:r>
      <w:r w:rsidR="001B3DD0">
        <w:rPr>
          <w:rFonts w:ascii="Times New Roman" w:hAnsi="Times New Roman"/>
          <w:color w:val="000000"/>
          <w:sz w:val="24"/>
          <w:szCs w:val="24"/>
          <w:lang w:val="en-US"/>
        </w:rPr>
        <w:t>during</w:t>
      </w:r>
      <w:r w:rsidRPr="00BC4171">
        <w:rPr>
          <w:rFonts w:ascii="Times New Roman" w:hAnsi="Times New Roman"/>
          <w:color w:val="000000"/>
          <w:sz w:val="24"/>
          <w:szCs w:val="24"/>
          <w:lang w:val="en-US"/>
        </w:rPr>
        <w:t xml:space="preserve"> model specification. </w:t>
      </w:r>
    </w:p>
    <w:p w:rsidR="002923B3" w:rsidRPr="002923B3" w:rsidRDefault="002923B3" w:rsidP="002923B3">
      <w:pPr>
        <w:pStyle w:val="2"/>
        <w:jc w:val="both"/>
        <w:rPr>
          <w:lang w:val="en-US"/>
        </w:rPr>
      </w:pPr>
      <w:bookmarkStart w:id="26" w:name="_Toc535248661"/>
      <w:r>
        <w:rPr>
          <w:lang w:val="en-US"/>
        </w:rPr>
        <w:t xml:space="preserve">OLS model results and </w:t>
      </w:r>
      <w:r w:rsidR="006616D9">
        <w:rPr>
          <w:lang w:val="en-US"/>
        </w:rPr>
        <w:t>sensitivity tests</w:t>
      </w:r>
      <w:bookmarkEnd w:id="26"/>
    </w:p>
    <w:p w:rsidR="004A19B4" w:rsidRPr="00382428" w:rsidRDefault="009E0C46" w:rsidP="004A19B4">
      <w:pPr>
        <w:spacing w:line="360" w:lineRule="auto"/>
        <w:jc w:val="both"/>
        <w:rPr>
          <w:rFonts w:ascii="Times New Roman" w:hAnsi="Times New Roman"/>
          <w:color w:val="000000"/>
          <w:sz w:val="24"/>
          <w:szCs w:val="24"/>
          <w:lang w:val="en-US"/>
        </w:rPr>
      </w:pPr>
      <w:r w:rsidRPr="00BC4171">
        <w:rPr>
          <w:rFonts w:ascii="Times New Roman" w:hAnsi="Times New Roman"/>
          <w:color w:val="000000"/>
          <w:sz w:val="24"/>
          <w:szCs w:val="24"/>
          <w:lang w:val="en-US"/>
        </w:rPr>
        <w:t xml:space="preserve">We summarized the results of </w:t>
      </w:r>
      <w:r w:rsidR="00E04449">
        <w:rPr>
          <w:rFonts w:ascii="Times New Roman" w:hAnsi="Times New Roman"/>
          <w:color w:val="000000"/>
          <w:sz w:val="24"/>
          <w:szCs w:val="24"/>
          <w:lang w:val="en-US"/>
        </w:rPr>
        <w:t>four</w:t>
      </w:r>
      <w:r w:rsidRPr="00BC4171">
        <w:rPr>
          <w:rFonts w:ascii="Times New Roman" w:hAnsi="Times New Roman"/>
          <w:color w:val="000000"/>
          <w:sz w:val="24"/>
          <w:szCs w:val="24"/>
          <w:lang w:val="en-US"/>
        </w:rPr>
        <w:t xml:space="preserve"> </w:t>
      </w:r>
      <w:r>
        <w:rPr>
          <w:rFonts w:ascii="Times New Roman" w:hAnsi="Times New Roman"/>
          <w:color w:val="000000"/>
          <w:sz w:val="24"/>
          <w:szCs w:val="24"/>
          <w:lang w:val="en-US"/>
        </w:rPr>
        <w:t>model specifications</w:t>
      </w:r>
      <w:r w:rsidRPr="00BC4171">
        <w:rPr>
          <w:rFonts w:ascii="Times New Roman" w:hAnsi="Times New Roman"/>
          <w:color w:val="000000"/>
          <w:sz w:val="24"/>
          <w:szCs w:val="24"/>
          <w:lang w:val="en-US"/>
        </w:rPr>
        <w:t xml:space="preserve"> in </w:t>
      </w:r>
      <w:r>
        <w:rPr>
          <w:rFonts w:ascii="Times New Roman" w:hAnsi="Times New Roman"/>
          <w:color w:val="000000"/>
          <w:sz w:val="24"/>
          <w:szCs w:val="24"/>
          <w:lang w:val="en-US"/>
        </w:rPr>
        <w:t>T</w:t>
      </w:r>
      <w:r w:rsidRPr="00BC4171">
        <w:rPr>
          <w:rFonts w:ascii="Times New Roman" w:hAnsi="Times New Roman"/>
          <w:color w:val="000000"/>
          <w:sz w:val="24"/>
          <w:szCs w:val="24"/>
          <w:lang w:val="en-US"/>
        </w:rPr>
        <w:t>able</w:t>
      </w:r>
      <w:r>
        <w:rPr>
          <w:rFonts w:ascii="Times New Roman" w:hAnsi="Times New Roman"/>
          <w:color w:val="000000"/>
          <w:sz w:val="24"/>
          <w:szCs w:val="24"/>
          <w:lang w:val="en-US"/>
        </w:rPr>
        <w:t xml:space="preserve"> </w:t>
      </w:r>
      <w:r w:rsidR="000822C1">
        <w:rPr>
          <w:rFonts w:ascii="Times New Roman" w:hAnsi="Times New Roman"/>
          <w:color w:val="000000"/>
          <w:sz w:val="24"/>
          <w:szCs w:val="24"/>
          <w:lang w:val="en-US"/>
        </w:rPr>
        <w:t>8</w:t>
      </w:r>
      <w:r w:rsidR="00956DCB">
        <w:rPr>
          <w:rFonts w:ascii="Times New Roman" w:hAnsi="Times New Roman"/>
          <w:color w:val="000000"/>
          <w:sz w:val="24"/>
          <w:szCs w:val="24"/>
          <w:lang w:val="en-US"/>
        </w:rPr>
        <w:t xml:space="preserve"> </w:t>
      </w:r>
      <w:r>
        <w:rPr>
          <w:rFonts w:ascii="Times New Roman" w:hAnsi="Times New Roman"/>
          <w:color w:val="000000"/>
          <w:sz w:val="24"/>
          <w:szCs w:val="24"/>
          <w:lang w:val="en-US"/>
        </w:rPr>
        <w:t>(see Appendix</w:t>
      </w:r>
      <w:r w:rsidR="00A80EF6">
        <w:rPr>
          <w:rFonts w:ascii="Times New Roman" w:hAnsi="Times New Roman"/>
          <w:color w:val="000000"/>
          <w:sz w:val="24"/>
          <w:szCs w:val="24"/>
          <w:lang w:val="en-US"/>
        </w:rPr>
        <w:t xml:space="preserve"> </w:t>
      </w:r>
      <w:r w:rsidR="00333DCF">
        <w:rPr>
          <w:rFonts w:ascii="Times New Roman" w:hAnsi="Times New Roman"/>
          <w:color w:val="000000"/>
          <w:sz w:val="24"/>
          <w:szCs w:val="24"/>
          <w:lang w:val="en-US"/>
        </w:rPr>
        <w:t>8</w:t>
      </w:r>
      <w:r w:rsidR="00A80EF6">
        <w:rPr>
          <w:rFonts w:ascii="Times New Roman" w:hAnsi="Times New Roman"/>
          <w:color w:val="000000"/>
          <w:sz w:val="24"/>
          <w:szCs w:val="24"/>
          <w:lang w:val="en-US"/>
        </w:rPr>
        <w:t>.3</w:t>
      </w:r>
      <w:r>
        <w:rPr>
          <w:rFonts w:ascii="Times New Roman" w:hAnsi="Times New Roman"/>
          <w:color w:val="000000"/>
          <w:sz w:val="24"/>
          <w:szCs w:val="24"/>
          <w:lang w:val="en-US"/>
        </w:rPr>
        <w:t xml:space="preserve">). </w:t>
      </w:r>
      <w:r w:rsidR="000542E6" w:rsidRPr="00BC4171">
        <w:rPr>
          <w:rFonts w:ascii="Times New Roman" w:hAnsi="Times New Roman"/>
          <w:color w:val="000000"/>
          <w:sz w:val="24"/>
          <w:szCs w:val="24"/>
          <w:lang w:val="en-US"/>
        </w:rPr>
        <w:t xml:space="preserve">For </w:t>
      </w:r>
      <w:r w:rsidR="005425E8">
        <w:rPr>
          <w:rFonts w:ascii="Times New Roman" w:hAnsi="Times New Roman"/>
          <w:color w:val="000000"/>
          <w:sz w:val="24"/>
          <w:szCs w:val="24"/>
          <w:lang w:val="en-US"/>
        </w:rPr>
        <w:t xml:space="preserve">the </w:t>
      </w:r>
      <w:r w:rsidR="000542E6">
        <w:rPr>
          <w:rFonts w:ascii="Times New Roman" w:hAnsi="Times New Roman"/>
          <w:color w:val="000000"/>
          <w:sz w:val="24"/>
          <w:szCs w:val="24"/>
          <w:lang w:val="en-US"/>
        </w:rPr>
        <w:t>step</w:t>
      </w:r>
      <w:r w:rsidR="000302D9">
        <w:rPr>
          <w:rFonts w:ascii="Times New Roman" w:hAnsi="Times New Roman"/>
          <w:color w:val="000000"/>
          <w:sz w:val="24"/>
          <w:szCs w:val="24"/>
          <w:lang w:val="en-US"/>
        </w:rPr>
        <w:t xml:space="preserve"> 4</w:t>
      </w:r>
      <w:r w:rsidR="006616D9">
        <w:rPr>
          <w:rFonts w:ascii="Times New Roman" w:hAnsi="Times New Roman"/>
          <w:color w:val="000000"/>
          <w:sz w:val="24"/>
          <w:szCs w:val="24"/>
          <w:lang w:val="en-US"/>
        </w:rPr>
        <w:t xml:space="preserve">, or </w:t>
      </w:r>
      <w:r w:rsidR="000542E6">
        <w:rPr>
          <w:rFonts w:ascii="Times New Roman" w:hAnsi="Times New Roman"/>
          <w:color w:val="000000"/>
          <w:sz w:val="24"/>
          <w:szCs w:val="24"/>
          <w:lang w:val="en-US"/>
        </w:rPr>
        <w:t>model specification</w:t>
      </w:r>
      <w:r w:rsidR="000302D9">
        <w:rPr>
          <w:rFonts w:ascii="Times New Roman" w:hAnsi="Times New Roman"/>
          <w:color w:val="000000"/>
          <w:sz w:val="24"/>
          <w:szCs w:val="24"/>
          <w:lang w:val="en-US"/>
        </w:rPr>
        <w:t xml:space="preserve"> 4</w:t>
      </w:r>
      <w:r w:rsidR="000542E6" w:rsidRPr="00BC4171">
        <w:rPr>
          <w:rFonts w:ascii="Times New Roman" w:hAnsi="Times New Roman"/>
          <w:color w:val="000000"/>
          <w:sz w:val="24"/>
          <w:szCs w:val="24"/>
          <w:lang w:val="en-US"/>
        </w:rPr>
        <w:t>, we used the technique of backward elimination of terms</w:t>
      </w:r>
      <w:r w:rsidR="00E77AA6">
        <w:rPr>
          <w:rFonts w:ascii="Times New Roman" w:hAnsi="Times New Roman"/>
          <w:color w:val="000000"/>
          <w:sz w:val="24"/>
          <w:szCs w:val="24"/>
          <w:lang w:val="en-US"/>
        </w:rPr>
        <w:t xml:space="preserve"> which </w:t>
      </w:r>
      <w:r w:rsidR="00757447">
        <w:rPr>
          <w:rFonts w:ascii="Times New Roman" w:hAnsi="Times New Roman"/>
          <w:color w:val="000000"/>
          <w:sz w:val="24"/>
          <w:szCs w:val="24"/>
          <w:lang w:val="en-US"/>
        </w:rPr>
        <w:t xml:space="preserve">still </w:t>
      </w:r>
      <w:r w:rsidR="00E77AA6">
        <w:rPr>
          <w:rFonts w:ascii="Times New Roman" w:hAnsi="Times New Roman"/>
          <w:color w:val="000000"/>
          <w:sz w:val="24"/>
          <w:szCs w:val="24"/>
          <w:lang w:val="en-US"/>
        </w:rPr>
        <w:t xml:space="preserve">yielded </w:t>
      </w:r>
      <w:r w:rsidR="004737F8">
        <w:rPr>
          <w:rFonts w:ascii="Times New Roman" w:hAnsi="Times New Roman"/>
          <w:color w:val="000000"/>
          <w:sz w:val="24"/>
          <w:szCs w:val="24"/>
          <w:lang w:val="en-US"/>
        </w:rPr>
        <w:t xml:space="preserve">the same significant factors. </w:t>
      </w:r>
      <w:r w:rsidR="00757447">
        <w:rPr>
          <w:rFonts w:ascii="Times New Roman" w:hAnsi="Times New Roman"/>
          <w:color w:val="000000"/>
          <w:sz w:val="24"/>
          <w:szCs w:val="24"/>
          <w:lang w:val="en-US"/>
        </w:rPr>
        <w:t xml:space="preserve">The significance of these factors stayed stable over all model specifications (see Step 1-5). </w:t>
      </w:r>
      <w:r w:rsidR="004A19B4" w:rsidRPr="00BC4171">
        <w:rPr>
          <w:rFonts w:ascii="Times New Roman" w:hAnsi="Times New Roman"/>
          <w:color w:val="000000"/>
          <w:sz w:val="24"/>
          <w:szCs w:val="24"/>
          <w:lang w:val="en-US"/>
        </w:rPr>
        <w:t xml:space="preserve">We ensured that </w:t>
      </w:r>
      <w:r w:rsidR="00F51F87">
        <w:rPr>
          <w:rFonts w:ascii="Times New Roman" w:hAnsi="Times New Roman"/>
          <w:color w:val="000000"/>
          <w:sz w:val="24"/>
          <w:szCs w:val="24"/>
          <w:lang w:val="en-US"/>
        </w:rPr>
        <w:t xml:space="preserve">final </w:t>
      </w:r>
      <w:r w:rsidR="004A19B4" w:rsidRPr="00BC4171">
        <w:rPr>
          <w:rFonts w:ascii="Times New Roman" w:hAnsi="Times New Roman"/>
          <w:color w:val="000000"/>
          <w:sz w:val="24"/>
          <w:szCs w:val="24"/>
          <w:lang w:val="en-US"/>
        </w:rPr>
        <w:t>model</w:t>
      </w:r>
      <w:r w:rsidR="002923B3">
        <w:rPr>
          <w:rFonts w:ascii="Times New Roman" w:hAnsi="Times New Roman"/>
          <w:color w:val="000000"/>
          <w:sz w:val="24"/>
          <w:szCs w:val="24"/>
          <w:lang w:val="en-US"/>
        </w:rPr>
        <w:t xml:space="preserve"> specification</w:t>
      </w:r>
      <w:r w:rsidR="004A19B4">
        <w:rPr>
          <w:rFonts w:ascii="Times New Roman" w:hAnsi="Times New Roman"/>
          <w:color w:val="000000"/>
          <w:sz w:val="24"/>
          <w:szCs w:val="24"/>
          <w:lang w:val="en-US"/>
        </w:rPr>
        <w:t xml:space="preserve"> </w:t>
      </w:r>
      <w:r w:rsidR="004A19B4" w:rsidRPr="00BC4171">
        <w:rPr>
          <w:rFonts w:ascii="Times New Roman" w:hAnsi="Times New Roman"/>
          <w:color w:val="000000"/>
          <w:sz w:val="24"/>
          <w:szCs w:val="24"/>
          <w:lang w:val="en-US"/>
        </w:rPr>
        <w:lastRenderedPageBreak/>
        <w:t>did not violate the OLS assumptions such as homoscedasticity, multivariate normality</w:t>
      </w:r>
      <w:r w:rsidR="001B3DD0">
        <w:rPr>
          <w:rFonts w:ascii="Times New Roman" w:hAnsi="Times New Roman"/>
          <w:color w:val="000000"/>
          <w:sz w:val="24"/>
          <w:szCs w:val="24"/>
          <w:lang w:val="en-US"/>
        </w:rPr>
        <w:t xml:space="preserve"> </w:t>
      </w:r>
      <w:r w:rsidR="00F51F87">
        <w:rPr>
          <w:rFonts w:ascii="Times New Roman" w:hAnsi="Times New Roman"/>
          <w:color w:val="000000"/>
          <w:sz w:val="24"/>
          <w:szCs w:val="24"/>
          <w:lang w:val="en-US"/>
        </w:rPr>
        <w:t xml:space="preserve">and </w:t>
      </w:r>
      <w:r w:rsidR="004A19B4" w:rsidRPr="00BC4171">
        <w:rPr>
          <w:rFonts w:ascii="Times New Roman" w:hAnsi="Times New Roman"/>
          <w:color w:val="000000"/>
          <w:sz w:val="24"/>
          <w:szCs w:val="24"/>
          <w:lang w:val="en-US"/>
        </w:rPr>
        <w:t>independence of errors and lack of multicollinearity</w:t>
      </w:r>
      <w:r w:rsidR="00265E90">
        <w:rPr>
          <w:rFonts w:ascii="Times New Roman" w:hAnsi="Times New Roman"/>
          <w:color w:val="000000"/>
          <w:sz w:val="24"/>
          <w:szCs w:val="24"/>
          <w:lang w:val="en-US"/>
        </w:rPr>
        <w:t xml:space="preserve"> (see Graphs </w:t>
      </w:r>
      <w:r w:rsidR="006F79C7">
        <w:rPr>
          <w:rFonts w:ascii="Times New Roman" w:hAnsi="Times New Roman"/>
          <w:color w:val="000000"/>
          <w:sz w:val="24"/>
          <w:szCs w:val="24"/>
          <w:lang w:val="en-US"/>
        </w:rPr>
        <w:t>2.1, 2.2 ,</w:t>
      </w:r>
      <w:r w:rsidR="00265E90">
        <w:rPr>
          <w:rFonts w:ascii="Times New Roman" w:hAnsi="Times New Roman"/>
          <w:color w:val="000000"/>
          <w:sz w:val="24"/>
          <w:szCs w:val="24"/>
          <w:lang w:val="en-US"/>
        </w:rPr>
        <w:t>3.1,</w:t>
      </w:r>
      <w:r w:rsidR="006F79C7">
        <w:rPr>
          <w:rFonts w:ascii="Times New Roman" w:hAnsi="Times New Roman"/>
          <w:color w:val="000000"/>
          <w:sz w:val="24"/>
          <w:szCs w:val="24"/>
          <w:lang w:val="en-US"/>
        </w:rPr>
        <w:t xml:space="preserve"> and</w:t>
      </w:r>
      <w:r w:rsidR="00265E90">
        <w:rPr>
          <w:rFonts w:ascii="Times New Roman" w:hAnsi="Times New Roman"/>
          <w:color w:val="000000"/>
          <w:sz w:val="24"/>
          <w:szCs w:val="24"/>
          <w:lang w:val="en-US"/>
        </w:rPr>
        <w:t xml:space="preserve"> 3.2 in Appendix </w:t>
      </w:r>
      <w:r w:rsidR="00333DCF">
        <w:rPr>
          <w:rFonts w:ascii="Times New Roman" w:hAnsi="Times New Roman"/>
          <w:color w:val="000000"/>
          <w:sz w:val="24"/>
          <w:szCs w:val="24"/>
          <w:lang w:val="en-US"/>
        </w:rPr>
        <w:t>8</w:t>
      </w:r>
      <w:r w:rsidR="00265E90">
        <w:rPr>
          <w:rFonts w:ascii="Times New Roman" w:hAnsi="Times New Roman"/>
          <w:color w:val="000000"/>
          <w:sz w:val="24"/>
          <w:szCs w:val="24"/>
          <w:lang w:val="en-US"/>
        </w:rPr>
        <w:t>.3)</w:t>
      </w:r>
      <w:r w:rsidR="004A19B4" w:rsidRPr="00BC4171">
        <w:rPr>
          <w:rFonts w:ascii="Times New Roman" w:hAnsi="Times New Roman"/>
          <w:color w:val="000000"/>
          <w:sz w:val="24"/>
          <w:szCs w:val="24"/>
          <w:lang w:val="en-US"/>
        </w:rPr>
        <w:t xml:space="preserve">. </w:t>
      </w:r>
      <w:r w:rsidR="00323892">
        <w:rPr>
          <w:rFonts w:ascii="Times New Roman" w:hAnsi="Times New Roman"/>
          <w:color w:val="000000"/>
          <w:sz w:val="24"/>
          <w:szCs w:val="24"/>
          <w:lang w:val="en-US"/>
        </w:rPr>
        <w:t>Thank</w:t>
      </w:r>
      <w:r w:rsidR="002923B3">
        <w:rPr>
          <w:rFonts w:ascii="Times New Roman" w:hAnsi="Times New Roman"/>
          <w:color w:val="000000"/>
          <w:sz w:val="24"/>
          <w:szCs w:val="24"/>
          <w:lang w:val="en-US"/>
        </w:rPr>
        <w:t>s to</w:t>
      </w:r>
      <w:r w:rsidR="00323892">
        <w:rPr>
          <w:rFonts w:ascii="Times New Roman" w:hAnsi="Times New Roman"/>
          <w:color w:val="000000"/>
          <w:sz w:val="24"/>
          <w:szCs w:val="24"/>
          <w:lang w:val="en-US"/>
        </w:rPr>
        <w:t xml:space="preserve"> </w:t>
      </w:r>
      <w:r w:rsidR="00ED7176">
        <w:rPr>
          <w:rFonts w:ascii="Times New Roman" w:hAnsi="Times New Roman"/>
          <w:color w:val="000000"/>
          <w:sz w:val="24"/>
          <w:szCs w:val="24"/>
          <w:lang w:val="en-US"/>
        </w:rPr>
        <w:t>the</w:t>
      </w:r>
      <w:r w:rsidR="00323892">
        <w:rPr>
          <w:rFonts w:ascii="Times New Roman" w:hAnsi="Times New Roman"/>
          <w:color w:val="000000"/>
          <w:sz w:val="24"/>
          <w:szCs w:val="24"/>
          <w:lang w:val="en-US"/>
        </w:rPr>
        <w:t xml:space="preserve"> logarithmic transformation of the response variable</w:t>
      </w:r>
      <w:r w:rsidR="004A19B4" w:rsidRPr="00BC4171">
        <w:rPr>
          <w:rFonts w:ascii="Times New Roman" w:hAnsi="Times New Roman"/>
          <w:color w:val="000000"/>
          <w:sz w:val="24"/>
          <w:szCs w:val="24"/>
          <w:lang w:val="en-US"/>
        </w:rPr>
        <w:t xml:space="preserve">, we tackled the skewness in our data and </w:t>
      </w:r>
      <w:r w:rsidR="00B859C9">
        <w:rPr>
          <w:rFonts w:ascii="Times New Roman" w:hAnsi="Times New Roman"/>
          <w:color w:val="000000"/>
          <w:sz w:val="24"/>
          <w:szCs w:val="24"/>
          <w:lang w:val="en-US"/>
        </w:rPr>
        <w:t xml:space="preserve">the </w:t>
      </w:r>
      <w:r w:rsidR="004A19B4" w:rsidRPr="00BC4171">
        <w:rPr>
          <w:rFonts w:ascii="Times New Roman" w:hAnsi="Times New Roman"/>
          <w:color w:val="000000"/>
          <w:sz w:val="24"/>
          <w:szCs w:val="24"/>
          <w:lang w:val="en-US"/>
        </w:rPr>
        <w:t xml:space="preserve">underlying heteroscedasticity. Homoscedasticity was checked with the plot ‘Residuals against predicted values’ demonstrating randomness, i.e. no pattern in residuals. The same was observed </w:t>
      </w:r>
      <w:r w:rsidR="00B859C9">
        <w:rPr>
          <w:rFonts w:ascii="Times New Roman" w:hAnsi="Times New Roman"/>
          <w:color w:val="000000"/>
          <w:sz w:val="24"/>
          <w:szCs w:val="24"/>
          <w:lang w:val="en-US"/>
        </w:rPr>
        <w:t>for</w:t>
      </w:r>
      <w:r w:rsidR="004A19B4" w:rsidRPr="00BC4171">
        <w:rPr>
          <w:rFonts w:ascii="Times New Roman" w:hAnsi="Times New Roman"/>
          <w:color w:val="000000"/>
          <w:sz w:val="24"/>
          <w:szCs w:val="24"/>
          <w:lang w:val="en-US"/>
        </w:rPr>
        <w:t xml:space="preserve"> the plot ‘Residuals against order’ used to check for the independence of errors. </w:t>
      </w:r>
      <w:r w:rsidR="00B859C9">
        <w:rPr>
          <w:rFonts w:ascii="Times New Roman" w:hAnsi="Times New Roman"/>
          <w:color w:val="000000"/>
          <w:sz w:val="24"/>
          <w:szCs w:val="24"/>
          <w:lang w:val="en-US"/>
        </w:rPr>
        <w:t>A n</w:t>
      </w:r>
      <w:r w:rsidR="004A19B4" w:rsidRPr="00655295">
        <w:rPr>
          <w:rFonts w:ascii="Times New Roman" w:hAnsi="Times New Roman"/>
          <w:color w:val="000000"/>
          <w:sz w:val="24"/>
          <w:szCs w:val="24"/>
          <w:lang w:val="en-US"/>
        </w:rPr>
        <w:t>ormal probability plot together with the formal Anderson-Darling tests confirmed that resid</w:t>
      </w:r>
      <w:r w:rsidR="004A19B4" w:rsidRPr="00BC4171">
        <w:rPr>
          <w:rFonts w:ascii="Times New Roman" w:hAnsi="Times New Roman"/>
          <w:color w:val="000000"/>
          <w:sz w:val="24"/>
          <w:szCs w:val="24"/>
          <w:lang w:val="en-US"/>
        </w:rPr>
        <w:t xml:space="preserve">uals are normally distributed, with no violation of multivariate normality assumption. The lack of multicollinearity was checked with the </w:t>
      </w:r>
      <w:r w:rsidR="00EA76A3">
        <w:rPr>
          <w:rFonts w:ascii="Times New Roman" w:hAnsi="Times New Roman"/>
          <w:color w:val="000000"/>
          <w:sz w:val="24"/>
          <w:szCs w:val="24"/>
          <w:lang w:val="en-US"/>
        </w:rPr>
        <w:t>Variance Inflation Factor (</w:t>
      </w:r>
      <w:r w:rsidR="004A19B4" w:rsidRPr="00BC4171">
        <w:rPr>
          <w:rFonts w:ascii="Times New Roman" w:hAnsi="Times New Roman"/>
          <w:color w:val="000000"/>
          <w:sz w:val="24"/>
          <w:szCs w:val="24"/>
          <w:lang w:val="en-US"/>
        </w:rPr>
        <w:t>VIF</w:t>
      </w:r>
      <w:r w:rsidR="00EA76A3">
        <w:rPr>
          <w:rFonts w:ascii="Times New Roman" w:hAnsi="Times New Roman"/>
          <w:color w:val="000000"/>
          <w:sz w:val="24"/>
          <w:szCs w:val="24"/>
          <w:lang w:val="en-US"/>
        </w:rPr>
        <w:t>)</w:t>
      </w:r>
      <w:r w:rsidR="004A19B4" w:rsidRPr="00BC4171">
        <w:rPr>
          <w:rFonts w:ascii="Times New Roman" w:hAnsi="Times New Roman"/>
          <w:color w:val="000000"/>
          <w:sz w:val="24"/>
          <w:szCs w:val="24"/>
          <w:lang w:val="en-US"/>
        </w:rPr>
        <w:t xml:space="preserve"> number which stayed under the critical value of 4 and was </w:t>
      </w:r>
      <w:r w:rsidR="00F51F87">
        <w:rPr>
          <w:rFonts w:ascii="Times New Roman" w:hAnsi="Times New Roman"/>
          <w:color w:val="000000"/>
          <w:sz w:val="24"/>
          <w:szCs w:val="24"/>
          <w:lang w:val="en-US"/>
        </w:rPr>
        <w:t>between 1 and 2</w:t>
      </w:r>
      <w:r w:rsidR="00AF62F6">
        <w:rPr>
          <w:rFonts w:ascii="Times New Roman" w:hAnsi="Times New Roman"/>
          <w:color w:val="000000"/>
          <w:sz w:val="24"/>
          <w:szCs w:val="24"/>
          <w:lang w:val="en-US"/>
        </w:rPr>
        <w:t>.</w:t>
      </w:r>
      <w:r w:rsidR="00F51F87">
        <w:rPr>
          <w:rFonts w:ascii="Times New Roman" w:hAnsi="Times New Roman"/>
          <w:color w:val="000000"/>
          <w:sz w:val="24"/>
          <w:szCs w:val="24"/>
          <w:lang w:val="en-US"/>
        </w:rPr>
        <w:t>5</w:t>
      </w:r>
      <w:r w:rsidR="004A19B4" w:rsidRPr="00BC4171">
        <w:rPr>
          <w:rFonts w:ascii="Times New Roman" w:hAnsi="Times New Roman"/>
          <w:color w:val="000000"/>
          <w:sz w:val="24"/>
          <w:szCs w:val="24"/>
          <w:lang w:val="en-US"/>
        </w:rPr>
        <w:t xml:space="preserve"> for all the significant independent variables</w:t>
      </w:r>
      <w:r w:rsidR="00265E90">
        <w:rPr>
          <w:rFonts w:ascii="Times New Roman" w:hAnsi="Times New Roman"/>
          <w:color w:val="000000"/>
          <w:sz w:val="24"/>
          <w:szCs w:val="24"/>
          <w:lang w:val="en-US"/>
        </w:rPr>
        <w:t xml:space="preserve"> (see Appendix </w:t>
      </w:r>
      <w:r w:rsidR="00ED7176">
        <w:rPr>
          <w:rFonts w:ascii="Times New Roman" w:hAnsi="Times New Roman"/>
          <w:color w:val="000000"/>
          <w:sz w:val="24"/>
          <w:szCs w:val="24"/>
          <w:lang w:val="en-US"/>
        </w:rPr>
        <w:t>8</w:t>
      </w:r>
      <w:r w:rsidR="00265E90">
        <w:rPr>
          <w:rFonts w:ascii="Times New Roman" w:hAnsi="Times New Roman"/>
          <w:color w:val="000000"/>
          <w:sz w:val="24"/>
          <w:szCs w:val="24"/>
          <w:lang w:val="en-US"/>
        </w:rPr>
        <w:t>.3</w:t>
      </w:r>
      <w:r w:rsidR="00F51F87">
        <w:rPr>
          <w:rFonts w:ascii="Times New Roman" w:hAnsi="Times New Roman"/>
          <w:color w:val="000000"/>
          <w:sz w:val="24"/>
          <w:szCs w:val="24"/>
          <w:lang w:val="en-US"/>
        </w:rPr>
        <w:t>,</w:t>
      </w:r>
      <w:r w:rsidR="00F51F87" w:rsidRPr="00F51F87">
        <w:rPr>
          <w:rFonts w:ascii="Times New Roman" w:hAnsi="Times New Roman"/>
          <w:color w:val="000000"/>
          <w:sz w:val="24"/>
          <w:szCs w:val="24"/>
          <w:lang w:val="en-US"/>
        </w:rPr>
        <w:t xml:space="preserve"> </w:t>
      </w:r>
      <w:r w:rsidR="00F51F87">
        <w:rPr>
          <w:rFonts w:ascii="Times New Roman" w:hAnsi="Times New Roman"/>
          <w:color w:val="000000"/>
          <w:sz w:val="24"/>
          <w:szCs w:val="24"/>
          <w:lang w:val="en-US"/>
        </w:rPr>
        <w:t xml:space="preserve">Table </w:t>
      </w:r>
      <w:r w:rsidR="00E42DF0">
        <w:rPr>
          <w:rFonts w:ascii="Times New Roman" w:hAnsi="Times New Roman"/>
          <w:color w:val="000000"/>
          <w:sz w:val="24"/>
          <w:szCs w:val="24"/>
          <w:lang w:val="en-US"/>
        </w:rPr>
        <w:t>8</w:t>
      </w:r>
      <w:r w:rsidR="00F51F87">
        <w:rPr>
          <w:rFonts w:ascii="Times New Roman" w:hAnsi="Times New Roman"/>
          <w:color w:val="000000"/>
          <w:sz w:val="24"/>
          <w:szCs w:val="24"/>
          <w:lang w:val="en-US"/>
        </w:rPr>
        <w:t xml:space="preserve"> and </w:t>
      </w:r>
      <w:r w:rsidR="00177FCD">
        <w:rPr>
          <w:rFonts w:ascii="Times New Roman" w:hAnsi="Times New Roman"/>
          <w:color w:val="000000"/>
          <w:sz w:val="24"/>
          <w:szCs w:val="24"/>
          <w:lang w:val="en-US"/>
        </w:rPr>
        <w:t>10</w:t>
      </w:r>
      <w:r w:rsidR="00F51F87">
        <w:rPr>
          <w:rFonts w:ascii="Times New Roman" w:hAnsi="Times New Roman"/>
          <w:color w:val="000000"/>
          <w:sz w:val="24"/>
          <w:szCs w:val="24"/>
          <w:lang w:val="en-US"/>
        </w:rPr>
        <w:t>, Step 5</w:t>
      </w:r>
      <w:r w:rsidR="00265E90">
        <w:rPr>
          <w:rFonts w:ascii="Times New Roman" w:hAnsi="Times New Roman"/>
          <w:color w:val="000000"/>
          <w:sz w:val="24"/>
          <w:szCs w:val="24"/>
          <w:lang w:val="en-US"/>
        </w:rPr>
        <w:t>)</w:t>
      </w:r>
      <w:r w:rsidR="004A19B4" w:rsidRPr="00BC4171">
        <w:rPr>
          <w:rFonts w:ascii="Times New Roman" w:hAnsi="Times New Roman"/>
          <w:color w:val="000000"/>
          <w:sz w:val="24"/>
          <w:szCs w:val="24"/>
          <w:lang w:val="en-US"/>
        </w:rPr>
        <w:t>. Deleted residual values were used to identify outliers in our dataset and improve the model performance</w:t>
      </w:r>
      <w:r w:rsidR="00E42DF0">
        <w:rPr>
          <w:rFonts w:ascii="Times New Roman" w:hAnsi="Times New Roman"/>
          <w:color w:val="000000"/>
          <w:sz w:val="24"/>
          <w:szCs w:val="24"/>
          <w:lang w:val="en-US"/>
        </w:rPr>
        <w:t>.</w:t>
      </w:r>
    </w:p>
    <w:p w:rsidR="00E3141F" w:rsidRDefault="00E3141F" w:rsidP="00CE182C">
      <w:pPr>
        <w:spacing w:after="120" w:line="360" w:lineRule="auto"/>
        <w:jc w:val="both"/>
        <w:rPr>
          <w:rFonts w:ascii="Times New Roman" w:hAnsi="Times New Roman"/>
          <w:color w:val="000000"/>
          <w:sz w:val="24"/>
          <w:szCs w:val="24"/>
          <w:lang w:val="en-US"/>
        </w:rPr>
      </w:pPr>
      <w:r w:rsidRPr="00E3141F">
        <w:rPr>
          <w:rFonts w:ascii="Times New Roman" w:hAnsi="Times New Roman"/>
          <w:color w:val="000000"/>
          <w:sz w:val="24"/>
          <w:szCs w:val="24"/>
          <w:lang w:val="en-US"/>
        </w:rPr>
        <w:t xml:space="preserve">The </w:t>
      </w:r>
      <w:r w:rsidR="00323892">
        <w:rPr>
          <w:rFonts w:ascii="Times New Roman" w:hAnsi="Times New Roman"/>
          <w:color w:val="000000"/>
          <w:sz w:val="24"/>
          <w:szCs w:val="24"/>
          <w:lang w:val="en-US"/>
        </w:rPr>
        <w:t xml:space="preserve">final </w:t>
      </w:r>
      <w:r w:rsidRPr="00E3141F">
        <w:rPr>
          <w:rFonts w:ascii="Times New Roman" w:hAnsi="Times New Roman"/>
          <w:color w:val="000000"/>
          <w:sz w:val="24"/>
          <w:szCs w:val="24"/>
          <w:lang w:val="en-US"/>
        </w:rPr>
        <w:t>model</w:t>
      </w:r>
      <w:r w:rsidR="00B859C9">
        <w:rPr>
          <w:rFonts w:ascii="Times New Roman" w:hAnsi="Times New Roman"/>
          <w:color w:val="000000"/>
          <w:sz w:val="24"/>
          <w:szCs w:val="24"/>
          <w:lang w:val="en-US"/>
        </w:rPr>
        <w:t>’s</w:t>
      </w:r>
      <w:r w:rsidRPr="00E3141F">
        <w:rPr>
          <w:rFonts w:ascii="Times New Roman" w:hAnsi="Times New Roman"/>
          <w:color w:val="000000"/>
          <w:sz w:val="24"/>
          <w:szCs w:val="24"/>
          <w:lang w:val="en-US"/>
        </w:rPr>
        <w:t xml:space="preserve"> adjusted R-squared was 58</w:t>
      </w:r>
      <w:r w:rsidR="00AF62F6">
        <w:rPr>
          <w:rFonts w:ascii="Times New Roman" w:hAnsi="Times New Roman"/>
          <w:color w:val="000000"/>
          <w:sz w:val="24"/>
          <w:szCs w:val="24"/>
          <w:lang w:val="en-US"/>
        </w:rPr>
        <w:t>.</w:t>
      </w:r>
      <w:r w:rsidR="00382428">
        <w:rPr>
          <w:rFonts w:ascii="Times New Roman" w:hAnsi="Times New Roman"/>
          <w:color w:val="000000"/>
          <w:sz w:val="24"/>
          <w:szCs w:val="24"/>
          <w:lang w:val="en-US"/>
        </w:rPr>
        <w:t>66</w:t>
      </w:r>
      <w:r w:rsidRPr="00E3141F">
        <w:rPr>
          <w:rFonts w:ascii="Times New Roman" w:hAnsi="Times New Roman"/>
          <w:color w:val="000000"/>
          <w:sz w:val="24"/>
          <w:szCs w:val="24"/>
          <w:lang w:val="en-US"/>
        </w:rPr>
        <w:t xml:space="preserve"> % which means that almost 60% of the variation in the BEV sales in our sample countries was explained by the statistically significant variables, i.e. government grant, driving range, charging </w:t>
      </w:r>
      <w:r w:rsidR="00816BA6">
        <w:rPr>
          <w:rFonts w:ascii="Times New Roman" w:hAnsi="Times New Roman"/>
          <w:color w:val="000000"/>
          <w:sz w:val="24"/>
          <w:szCs w:val="24"/>
          <w:lang w:val="en-US"/>
        </w:rPr>
        <w:t>stations</w:t>
      </w:r>
      <w:r w:rsidRPr="00E3141F">
        <w:rPr>
          <w:rFonts w:ascii="Times New Roman" w:hAnsi="Times New Roman"/>
          <w:color w:val="000000"/>
          <w:sz w:val="24"/>
          <w:szCs w:val="24"/>
          <w:lang w:val="en-US"/>
        </w:rPr>
        <w:t xml:space="preserve"> and </w:t>
      </w:r>
      <w:r w:rsidR="00F201CD">
        <w:rPr>
          <w:rFonts w:ascii="Times New Roman" w:hAnsi="Times New Roman"/>
          <w:color w:val="000000"/>
          <w:sz w:val="24"/>
          <w:szCs w:val="24"/>
          <w:lang w:val="en-US"/>
        </w:rPr>
        <w:t xml:space="preserve">HOV/Bus </w:t>
      </w:r>
      <w:r w:rsidRPr="00E3141F">
        <w:rPr>
          <w:rFonts w:ascii="Times New Roman" w:hAnsi="Times New Roman"/>
          <w:color w:val="000000"/>
          <w:sz w:val="24"/>
          <w:szCs w:val="24"/>
          <w:lang w:val="en-US"/>
        </w:rPr>
        <w:t xml:space="preserve">lane access. </w:t>
      </w:r>
      <w:r w:rsidR="00B7173F">
        <w:rPr>
          <w:rFonts w:ascii="Times New Roman" w:hAnsi="Times New Roman"/>
          <w:color w:val="000000"/>
          <w:sz w:val="24"/>
          <w:szCs w:val="24"/>
          <w:lang w:val="en-US"/>
        </w:rPr>
        <w:t>T</w:t>
      </w:r>
      <w:r w:rsidRPr="00E3141F">
        <w:rPr>
          <w:rFonts w:ascii="Times New Roman" w:hAnsi="Times New Roman"/>
          <w:color w:val="000000"/>
          <w:sz w:val="24"/>
          <w:szCs w:val="24"/>
          <w:lang w:val="en-US"/>
        </w:rPr>
        <w:t xml:space="preserve">he coefficients </w:t>
      </w:r>
      <w:r w:rsidR="00B7173F">
        <w:rPr>
          <w:rFonts w:ascii="Times New Roman" w:hAnsi="Times New Roman"/>
          <w:color w:val="000000"/>
          <w:sz w:val="24"/>
          <w:szCs w:val="24"/>
          <w:lang w:val="en-US"/>
        </w:rPr>
        <w:t xml:space="preserve">of these variables </w:t>
      </w:r>
      <w:r w:rsidRPr="00E3141F">
        <w:rPr>
          <w:rFonts w:ascii="Times New Roman" w:hAnsi="Times New Roman"/>
          <w:color w:val="000000"/>
          <w:sz w:val="24"/>
          <w:szCs w:val="24"/>
          <w:lang w:val="en-US"/>
        </w:rPr>
        <w:t>were not equal to zero, with p-values of 0.00</w:t>
      </w:r>
      <w:r w:rsidR="00382428">
        <w:rPr>
          <w:rFonts w:ascii="Times New Roman" w:hAnsi="Times New Roman"/>
          <w:color w:val="000000"/>
          <w:sz w:val="24"/>
          <w:szCs w:val="24"/>
          <w:lang w:val="en-US"/>
        </w:rPr>
        <w:t>3</w:t>
      </w:r>
      <w:r w:rsidRPr="00E3141F">
        <w:rPr>
          <w:rFonts w:ascii="Times New Roman" w:hAnsi="Times New Roman"/>
          <w:color w:val="000000"/>
          <w:sz w:val="24"/>
          <w:szCs w:val="24"/>
          <w:lang w:val="en-US"/>
        </w:rPr>
        <w:t xml:space="preserve">, 0.000, 0.000 and 0.000 respectively. </w:t>
      </w:r>
      <w:r w:rsidR="00086BF2" w:rsidRPr="00086BF2">
        <w:rPr>
          <w:rFonts w:ascii="Times New Roman" w:hAnsi="Times New Roman"/>
          <w:color w:val="000000"/>
          <w:sz w:val="24"/>
          <w:szCs w:val="24"/>
          <w:lang w:val="en-US"/>
        </w:rPr>
        <w:t xml:space="preserve">Moreover, the sign of </w:t>
      </w:r>
      <w:r w:rsidR="00086BF2" w:rsidRPr="00086BF2">
        <w:rPr>
          <w:rFonts w:ascii="Times New Roman" w:hAnsi="Times New Roman" w:hint="eastAsia"/>
          <w:color w:val="000000"/>
          <w:sz w:val="24"/>
          <w:szCs w:val="24"/>
          <w:lang w:val="en-US"/>
        </w:rPr>
        <w:t>β</w:t>
      </w:r>
      <w:r w:rsidR="00086BF2" w:rsidRPr="00086BF2">
        <w:rPr>
          <w:rFonts w:ascii="Times New Roman" w:hAnsi="Times New Roman"/>
          <w:color w:val="000000"/>
          <w:sz w:val="24"/>
          <w:szCs w:val="24"/>
          <w:lang w:val="en-US"/>
        </w:rPr>
        <w:t xml:space="preserve"> coefficient</w:t>
      </w:r>
      <w:r w:rsidR="00086BF2">
        <w:rPr>
          <w:rFonts w:ascii="Times New Roman" w:hAnsi="Times New Roman"/>
          <w:color w:val="000000"/>
          <w:sz w:val="24"/>
          <w:szCs w:val="24"/>
          <w:lang w:val="en-US"/>
        </w:rPr>
        <w:t xml:space="preserve"> for ‘</w:t>
      </w:r>
      <w:r w:rsidR="00323892">
        <w:rPr>
          <w:rFonts w:ascii="Times New Roman" w:hAnsi="Times New Roman"/>
          <w:color w:val="000000"/>
          <w:sz w:val="24"/>
          <w:szCs w:val="24"/>
          <w:lang w:val="en-US"/>
        </w:rPr>
        <w:t>government</w:t>
      </w:r>
      <w:r w:rsidR="00086BF2">
        <w:rPr>
          <w:rFonts w:ascii="Times New Roman" w:hAnsi="Times New Roman"/>
          <w:color w:val="000000"/>
          <w:sz w:val="24"/>
          <w:szCs w:val="24"/>
          <w:lang w:val="en-US"/>
        </w:rPr>
        <w:t xml:space="preserve"> grant’- the variable of interest - is</w:t>
      </w:r>
      <w:r w:rsidR="00086BF2" w:rsidRPr="00086BF2">
        <w:rPr>
          <w:rFonts w:ascii="Times New Roman" w:hAnsi="Times New Roman"/>
          <w:color w:val="000000"/>
          <w:sz w:val="24"/>
          <w:szCs w:val="24"/>
          <w:lang w:val="en-US"/>
        </w:rPr>
        <w:t xml:space="preserve"> positive (See Appendix</w:t>
      </w:r>
      <w:r w:rsidR="00ED7176">
        <w:rPr>
          <w:rFonts w:ascii="Times New Roman" w:hAnsi="Times New Roman"/>
          <w:color w:val="000000"/>
          <w:sz w:val="24"/>
          <w:szCs w:val="24"/>
          <w:lang w:val="en-US"/>
        </w:rPr>
        <w:t xml:space="preserve"> 8.3</w:t>
      </w:r>
      <w:r w:rsidR="00086BF2" w:rsidRPr="00086BF2">
        <w:rPr>
          <w:rFonts w:ascii="Times New Roman" w:hAnsi="Times New Roman"/>
          <w:color w:val="000000"/>
          <w:sz w:val="24"/>
          <w:szCs w:val="24"/>
          <w:lang w:val="en-US"/>
        </w:rPr>
        <w:t xml:space="preserve">, Table </w:t>
      </w:r>
      <w:r w:rsidR="00E42DF0">
        <w:rPr>
          <w:rFonts w:ascii="Times New Roman" w:hAnsi="Times New Roman"/>
          <w:color w:val="000000"/>
          <w:sz w:val="24"/>
          <w:szCs w:val="24"/>
          <w:lang w:val="en-US"/>
        </w:rPr>
        <w:t>8</w:t>
      </w:r>
      <w:r w:rsidR="00086BF2" w:rsidRPr="00086BF2">
        <w:rPr>
          <w:rFonts w:ascii="Times New Roman" w:hAnsi="Times New Roman"/>
          <w:color w:val="000000"/>
          <w:sz w:val="24"/>
          <w:szCs w:val="24"/>
          <w:lang w:val="en-US"/>
        </w:rPr>
        <w:t xml:space="preserve">). Thus, </w:t>
      </w:r>
      <w:r w:rsidR="00253EA9">
        <w:rPr>
          <w:rFonts w:ascii="Times New Roman" w:hAnsi="Times New Roman"/>
          <w:color w:val="000000"/>
          <w:sz w:val="24"/>
          <w:szCs w:val="24"/>
          <w:lang w:val="en-US"/>
        </w:rPr>
        <w:t>with this model specification</w:t>
      </w:r>
      <w:r w:rsidR="00086BF2">
        <w:rPr>
          <w:rFonts w:ascii="Times New Roman" w:hAnsi="Times New Roman"/>
          <w:color w:val="000000"/>
          <w:sz w:val="24"/>
          <w:szCs w:val="24"/>
          <w:lang w:val="en-US"/>
        </w:rPr>
        <w:t xml:space="preserve"> </w:t>
      </w:r>
      <w:r w:rsidR="00086BF2" w:rsidRPr="00086BF2">
        <w:rPr>
          <w:rFonts w:ascii="Times New Roman" w:hAnsi="Times New Roman"/>
          <w:color w:val="000000"/>
          <w:sz w:val="24"/>
          <w:szCs w:val="24"/>
          <w:lang w:val="en-US"/>
        </w:rPr>
        <w:t xml:space="preserve">we reject the null hypothesis at </w:t>
      </w:r>
      <w:r w:rsidR="00382428">
        <w:rPr>
          <w:rFonts w:ascii="Times New Roman" w:hAnsi="Times New Roman"/>
          <w:color w:val="000000"/>
          <w:sz w:val="24"/>
          <w:szCs w:val="24"/>
          <w:lang w:val="en-US"/>
        </w:rPr>
        <w:t>1</w:t>
      </w:r>
      <w:r w:rsidR="00B7173F">
        <w:rPr>
          <w:rFonts w:ascii="Times New Roman" w:hAnsi="Times New Roman"/>
          <w:color w:val="000000"/>
          <w:sz w:val="24"/>
          <w:szCs w:val="24"/>
          <w:lang w:val="en-US"/>
        </w:rPr>
        <w:t>%</w:t>
      </w:r>
      <w:r w:rsidR="00086BF2" w:rsidRPr="00086BF2">
        <w:rPr>
          <w:rFonts w:ascii="Times New Roman" w:hAnsi="Times New Roman"/>
          <w:color w:val="000000"/>
          <w:sz w:val="24"/>
          <w:szCs w:val="24"/>
          <w:lang w:val="en-US"/>
        </w:rPr>
        <w:t xml:space="preserve"> significance level: There is s</w:t>
      </w:r>
      <w:r w:rsidR="004C40A4">
        <w:rPr>
          <w:rFonts w:ascii="Times New Roman" w:hAnsi="Times New Roman"/>
          <w:color w:val="000000"/>
          <w:sz w:val="24"/>
          <w:szCs w:val="24"/>
          <w:lang w:val="en-US"/>
        </w:rPr>
        <w:t>trong</w:t>
      </w:r>
      <w:r w:rsidR="00086BF2" w:rsidRPr="00086BF2">
        <w:rPr>
          <w:rFonts w:ascii="Times New Roman" w:hAnsi="Times New Roman"/>
          <w:color w:val="000000"/>
          <w:sz w:val="24"/>
          <w:szCs w:val="24"/>
          <w:lang w:val="en-US"/>
        </w:rPr>
        <w:t xml:space="preserve"> evidence to support the claim of a positive relationship between </w:t>
      </w:r>
      <w:r w:rsidR="00086BF2">
        <w:rPr>
          <w:rFonts w:ascii="Times New Roman" w:hAnsi="Times New Roman"/>
          <w:color w:val="000000"/>
          <w:sz w:val="24"/>
          <w:szCs w:val="24"/>
          <w:lang w:val="en-US"/>
        </w:rPr>
        <w:t>government grant</w:t>
      </w:r>
      <w:r w:rsidR="00086BF2" w:rsidRPr="00086BF2">
        <w:rPr>
          <w:rFonts w:ascii="Times New Roman" w:hAnsi="Times New Roman"/>
          <w:color w:val="000000"/>
          <w:sz w:val="24"/>
          <w:szCs w:val="24"/>
          <w:lang w:val="en-US"/>
        </w:rPr>
        <w:t xml:space="preserve"> and </w:t>
      </w:r>
      <w:r w:rsidR="00086BF2">
        <w:rPr>
          <w:rFonts w:ascii="Times New Roman" w:hAnsi="Times New Roman"/>
          <w:color w:val="000000"/>
          <w:sz w:val="24"/>
          <w:szCs w:val="24"/>
          <w:lang w:val="en-US"/>
        </w:rPr>
        <w:t xml:space="preserve">BEV </w:t>
      </w:r>
      <w:r w:rsidR="00B7173F">
        <w:rPr>
          <w:rFonts w:ascii="Times New Roman" w:hAnsi="Times New Roman"/>
          <w:color w:val="000000"/>
          <w:sz w:val="24"/>
          <w:szCs w:val="24"/>
          <w:lang w:val="en-US"/>
        </w:rPr>
        <w:t>sales</w:t>
      </w:r>
      <w:r w:rsidR="00086BF2" w:rsidRPr="00086BF2">
        <w:rPr>
          <w:rFonts w:ascii="Times New Roman" w:hAnsi="Times New Roman"/>
          <w:color w:val="000000"/>
          <w:sz w:val="24"/>
          <w:szCs w:val="24"/>
          <w:lang w:val="en-US"/>
        </w:rPr>
        <w:t xml:space="preserve">. </w:t>
      </w:r>
      <w:r w:rsidRPr="00E3141F">
        <w:rPr>
          <w:rFonts w:ascii="Times New Roman" w:hAnsi="Times New Roman"/>
          <w:color w:val="000000"/>
          <w:sz w:val="24"/>
          <w:szCs w:val="24"/>
          <w:lang w:val="en-US"/>
        </w:rPr>
        <w:t>‘Government grant’ showed a beta of 0</w:t>
      </w:r>
      <w:r w:rsidR="00AF62F6">
        <w:rPr>
          <w:rFonts w:ascii="Times New Roman" w:hAnsi="Times New Roman"/>
          <w:color w:val="000000"/>
          <w:sz w:val="24"/>
          <w:szCs w:val="24"/>
          <w:lang w:val="en-US"/>
        </w:rPr>
        <w:t>.</w:t>
      </w:r>
      <w:r w:rsidRPr="00E3141F">
        <w:rPr>
          <w:rFonts w:ascii="Times New Roman" w:hAnsi="Times New Roman"/>
          <w:color w:val="000000"/>
          <w:sz w:val="24"/>
          <w:szCs w:val="24"/>
          <w:lang w:val="en-US"/>
        </w:rPr>
        <w:t>00007</w:t>
      </w:r>
      <w:r w:rsidR="004C40A4">
        <w:rPr>
          <w:rFonts w:ascii="Times New Roman" w:hAnsi="Times New Roman"/>
          <w:color w:val="000000"/>
          <w:sz w:val="24"/>
          <w:szCs w:val="24"/>
          <w:lang w:val="en-US"/>
        </w:rPr>
        <w:t>4</w:t>
      </w:r>
      <w:r w:rsidRPr="00E3141F">
        <w:rPr>
          <w:rFonts w:ascii="Times New Roman" w:hAnsi="Times New Roman"/>
          <w:color w:val="000000"/>
          <w:sz w:val="24"/>
          <w:szCs w:val="24"/>
          <w:lang w:val="en-US"/>
        </w:rPr>
        <w:t xml:space="preserve"> meaning that 1$ increase in government grant value</w:t>
      </w:r>
      <w:r w:rsidR="004C40A4">
        <w:rPr>
          <w:rFonts w:ascii="Times New Roman" w:hAnsi="Times New Roman"/>
          <w:color w:val="000000"/>
          <w:sz w:val="24"/>
          <w:szCs w:val="24"/>
          <w:lang w:val="en-US"/>
        </w:rPr>
        <w:t>, ceteris paribus,</w:t>
      </w:r>
      <w:r w:rsidRPr="00E3141F">
        <w:rPr>
          <w:rFonts w:ascii="Times New Roman" w:hAnsi="Times New Roman"/>
          <w:color w:val="000000"/>
          <w:sz w:val="24"/>
          <w:szCs w:val="24"/>
          <w:lang w:val="en-US"/>
        </w:rPr>
        <w:t xml:space="preserve"> is associated with 0</w:t>
      </w:r>
      <w:r w:rsidR="00AF62F6">
        <w:rPr>
          <w:rFonts w:ascii="Times New Roman" w:hAnsi="Times New Roman"/>
          <w:color w:val="000000"/>
          <w:sz w:val="24"/>
          <w:szCs w:val="24"/>
          <w:lang w:val="en-US"/>
        </w:rPr>
        <w:t>.</w:t>
      </w:r>
      <w:r w:rsidRPr="00E3141F">
        <w:rPr>
          <w:rFonts w:ascii="Times New Roman" w:hAnsi="Times New Roman"/>
          <w:color w:val="000000"/>
          <w:sz w:val="24"/>
          <w:szCs w:val="24"/>
          <w:lang w:val="en-US"/>
        </w:rPr>
        <w:t>007</w:t>
      </w:r>
      <w:r w:rsidR="004C40A4">
        <w:rPr>
          <w:rFonts w:ascii="Times New Roman" w:hAnsi="Times New Roman"/>
          <w:color w:val="000000"/>
          <w:sz w:val="24"/>
          <w:szCs w:val="24"/>
          <w:lang w:val="en-US"/>
        </w:rPr>
        <w:t>4</w:t>
      </w:r>
      <w:r w:rsidRPr="00E3141F">
        <w:rPr>
          <w:rFonts w:ascii="Times New Roman" w:hAnsi="Times New Roman"/>
          <w:color w:val="000000"/>
          <w:sz w:val="24"/>
          <w:szCs w:val="24"/>
          <w:lang w:val="en-US"/>
        </w:rPr>
        <w:t xml:space="preserve">% </w:t>
      </w:r>
      <w:r w:rsidR="00253EA9">
        <w:rPr>
          <w:rFonts w:ascii="Times New Roman" w:hAnsi="Times New Roman"/>
          <w:color w:val="000000"/>
          <w:sz w:val="24"/>
          <w:szCs w:val="24"/>
          <w:lang w:val="en-US"/>
        </w:rPr>
        <w:t>increase</w:t>
      </w:r>
      <w:r w:rsidRPr="00E3141F">
        <w:rPr>
          <w:rFonts w:ascii="Times New Roman" w:hAnsi="Times New Roman"/>
          <w:color w:val="000000"/>
          <w:sz w:val="24"/>
          <w:szCs w:val="24"/>
          <w:lang w:val="en-US"/>
        </w:rPr>
        <w:t xml:space="preserve"> in BEV sales. For instance, a country </w:t>
      </w:r>
      <w:r w:rsidR="00B859C9">
        <w:rPr>
          <w:rFonts w:ascii="Times New Roman" w:hAnsi="Times New Roman"/>
          <w:color w:val="000000"/>
          <w:sz w:val="24"/>
          <w:szCs w:val="24"/>
          <w:lang w:val="en-US"/>
        </w:rPr>
        <w:t xml:space="preserve">with a </w:t>
      </w:r>
      <w:r w:rsidR="00253EA9">
        <w:rPr>
          <w:rFonts w:ascii="Times New Roman" w:hAnsi="Times New Roman"/>
          <w:color w:val="000000"/>
          <w:sz w:val="24"/>
          <w:szCs w:val="24"/>
          <w:lang w:val="en-US"/>
        </w:rPr>
        <w:t>reported</w:t>
      </w:r>
      <w:r w:rsidRPr="00E3141F">
        <w:rPr>
          <w:rFonts w:ascii="Times New Roman" w:hAnsi="Times New Roman"/>
          <w:color w:val="000000"/>
          <w:sz w:val="24"/>
          <w:szCs w:val="24"/>
          <w:lang w:val="en-US"/>
        </w:rPr>
        <w:t xml:space="preserve"> 5</w:t>
      </w:r>
      <w:r w:rsidR="00C65BE4">
        <w:rPr>
          <w:rFonts w:ascii="Times New Roman" w:hAnsi="Times New Roman"/>
          <w:color w:val="000000"/>
          <w:sz w:val="24"/>
          <w:szCs w:val="24"/>
          <w:lang w:val="en-US"/>
        </w:rPr>
        <w:t>,</w:t>
      </w:r>
      <w:r w:rsidRPr="00E3141F">
        <w:rPr>
          <w:rFonts w:ascii="Times New Roman" w:hAnsi="Times New Roman"/>
          <w:color w:val="000000"/>
          <w:sz w:val="24"/>
          <w:szCs w:val="24"/>
          <w:lang w:val="en-US"/>
        </w:rPr>
        <w:t xml:space="preserve">000 BEV </w:t>
      </w:r>
      <w:r w:rsidR="00B7173F">
        <w:rPr>
          <w:rFonts w:ascii="Times New Roman" w:hAnsi="Times New Roman"/>
          <w:color w:val="000000"/>
          <w:sz w:val="24"/>
          <w:szCs w:val="24"/>
          <w:lang w:val="en-US"/>
        </w:rPr>
        <w:t>registrations</w:t>
      </w:r>
      <w:r w:rsidRPr="00E3141F">
        <w:rPr>
          <w:rFonts w:ascii="Times New Roman" w:hAnsi="Times New Roman"/>
          <w:color w:val="000000"/>
          <w:sz w:val="24"/>
          <w:szCs w:val="24"/>
          <w:lang w:val="en-US"/>
        </w:rPr>
        <w:t xml:space="preserve"> would have 3</w:t>
      </w:r>
      <w:r w:rsidR="004C40A4">
        <w:rPr>
          <w:rFonts w:ascii="Times New Roman" w:hAnsi="Times New Roman"/>
          <w:color w:val="000000"/>
          <w:sz w:val="24"/>
          <w:szCs w:val="24"/>
          <w:lang w:val="en-US"/>
        </w:rPr>
        <w:t>70</w:t>
      </w:r>
      <w:r w:rsidRPr="00E3141F">
        <w:rPr>
          <w:rFonts w:ascii="Times New Roman" w:hAnsi="Times New Roman"/>
          <w:color w:val="000000"/>
          <w:sz w:val="24"/>
          <w:szCs w:val="24"/>
          <w:lang w:val="en-US"/>
        </w:rPr>
        <w:t xml:space="preserve"> more BEV registrations if</w:t>
      </w:r>
      <w:r w:rsidR="00B859C9">
        <w:rPr>
          <w:rFonts w:ascii="Times New Roman" w:hAnsi="Times New Roman"/>
          <w:color w:val="000000"/>
          <w:sz w:val="24"/>
          <w:szCs w:val="24"/>
          <w:lang w:val="en-US"/>
        </w:rPr>
        <w:t xml:space="preserve"> a</w:t>
      </w:r>
      <w:r w:rsidRPr="00E3141F">
        <w:rPr>
          <w:rFonts w:ascii="Times New Roman" w:hAnsi="Times New Roman"/>
          <w:color w:val="000000"/>
          <w:sz w:val="24"/>
          <w:szCs w:val="24"/>
          <w:lang w:val="en-US"/>
        </w:rPr>
        <w:t xml:space="preserve"> 1</w:t>
      </w:r>
      <w:r w:rsidR="00C65BE4">
        <w:rPr>
          <w:rFonts w:ascii="Times New Roman" w:hAnsi="Times New Roman"/>
          <w:color w:val="000000"/>
          <w:sz w:val="24"/>
          <w:szCs w:val="24"/>
          <w:lang w:val="en-US"/>
        </w:rPr>
        <w:t>,</w:t>
      </w:r>
      <w:r w:rsidRPr="00E3141F">
        <w:rPr>
          <w:rFonts w:ascii="Times New Roman" w:hAnsi="Times New Roman"/>
          <w:color w:val="000000"/>
          <w:sz w:val="24"/>
          <w:szCs w:val="24"/>
          <w:lang w:val="en-US"/>
        </w:rPr>
        <w:t xml:space="preserve">000$ increase in subsidies </w:t>
      </w:r>
      <w:r w:rsidR="00B859C9">
        <w:rPr>
          <w:rFonts w:ascii="Times New Roman" w:hAnsi="Times New Roman"/>
          <w:color w:val="000000"/>
          <w:sz w:val="24"/>
          <w:szCs w:val="24"/>
          <w:lang w:val="en-US"/>
        </w:rPr>
        <w:t xml:space="preserve">were </w:t>
      </w:r>
      <w:r w:rsidRPr="00E3141F">
        <w:rPr>
          <w:rFonts w:ascii="Times New Roman" w:hAnsi="Times New Roman"/>
          <w:color w:val="000000"/>
          <w:sz w:val="24"/>
          <w:szCs w:val="24"/>
          <w:lang w:val="en-US"/>
        </w:rPr>
        <w:t>introduced. In terms of driving range</w:t>
      </w:r>
      <w:r w:rsidR="00A672B6">
        <w:rPr>
          <w:rFonts w:ascii="Times New Roman" w:hAnsi="Times New Roman"/>
          <w:color w:val="000000"/>
          <w:sz w:val="24"/>
          <w:szCs w:val="24"/>
          <w:lang w:val="en-US"/>
        </w:rPr>
        <w:t xml:space="preserve"> and charging stations</w:t>
      </w:r>
      <w:r w:rsidRPr="00E3141F">
        <w:rPr>
          <w:rFonts w:ascii="Times New Roman" w:hAnsi="Times New Roman"/>
          <w:color w:val="000000"/>
          <w:sz w:val="24"/>
          <w:szCs w:val="24"/>
          <w:lang w:val="en-US"/>
        </w:rPr>
        <w:t>, 1% increase in driving range of a BEV</w:t>
      </w:r>
      <w:r w:rsidR="004043E6">
        <w:rPr>
          <w:rFonts w:ascii="Times New Roman" w:hAnsi="Times New Roman"/>
          <w:color w:val="000000"/>
          <w:sz w:val="24"/>
          <w:szCs w:val="24"/>
          <w:lang w:val="en-US"/>
        </w:rPr>
        <w:t>,</w:t>
      </w:r>
      <w:r w:rsidRPr="00E3141F">
        <w:rPr>
          <w:rFonts w:ascii="Times New Roman" w:hAnsi="Times New Roman"/>
          <w:color w:val="000000"/>
          <w:sz w:val="24"/>
          <w:szCs w:val="24"/>
          <w:lang w:val="en-US"/>
        </w:rPr>
        <w:t xml:space="preserve"> </w:t>
      </w:r>
      <w:r w:rsidR="004043E6">
        <w:rPr>
          <w:rFonts w:ascii="Times New Roman" w:hAnsi="Times New Roman"/>
          <w:color w:val="000000"/>
          <w:sz w:val="24"/>
          <w:szCs w:val="24"/>
          <w:lang w:val="en-US"/>
        </w:rPr>
        <w:t>ceteris paribus,</w:t>
      </w:r>
      <w:r w:rsidR="004043E6" w:rsidRPr="00E3141F">
        <w:rPr>
          <w:rFonts w:ascii="Times New Roman" w:hAnsi="Times New Roman"/>
          <w:color w:val="000000"/>
          <w:sz w:val="24"/>
          <w:szCs w:val="24"/>
          <w:lang w:val="en-US"/>
        </w:rPr>
        <w:t xml:space="preserve"> </w:t>
      </w:r>
      <w:r w:rsidRPr="00E3141F">
        <w:rPr>
          <w:rFonts w:ascii="Times New Roman" w:hAnsi="Times New Roman"/>
          <w:color w:val="000000"/>
          <w:sz w:val="24"/>
          <w:szCs w:val="24"/>
          <w:lang w:val="en-US"/>
        </w:rPr>
        <w:t>would cause its sales to increase almost at the same rate of 1</w:t>
      </w:r>
      <w:r w:rsidR="00AF62F6">
        <w:rPr>
          <w:rFonts w:ascii="Times New Roman" w:hAnsi="Times New Roman"/>
          <w:color w:val="000000"/>
          <w:sz w:val="24"/>
          <w:szCs w:val="24"/>
          <w:lang w:val="en-US"/>
        </w:rPr>
        <w:t>.</w:t>
      </w:r>
      <w:r w:rsidRPr="00E3141F">
        <w:rPr>
          <w:rFonts w:ascii="Times New Roman" w:hAnsi="Times New Roman"/>
          <w:color w:val="000000"/>
          <w:sz w:val="24"/>
          <w:szCs w:val="24"/>
          <w:lang w:val="en-US"/>
        </w:rPr>
        <w:t>0</w:t>
      </w:r>
      <w:r w:rsidR="004C40A4">
        <w:rPr>
          <w:rFonts w:ascii="Times New Roman" w:hAnsi="Times New Roman"/>
          <w:color w:val="000000"/>
          <w:sz w:val="24"/>
          <w:szCs w:val="24"/>
          <w:lang w:val="en-US"/>
        </w:rPr>
        <w:t>13</w:t>
      </w:r>
      <w:r w:rsidRPr="00E3141F">
        <w:rPr>
          <w:rFonts w:ascii="Times New Roman" w:hAnsi="Times New Roman"/>
          <w:color w:val="000000"/>
          <w:sz w:val="24"/>
          <w:szCs w:val="24"/>
          <w:lang w:val="en-US"/>
        </w:rPr>
        <w:t xml:space="preserve">%, whereas </w:t>
      </w:r>
      <w:r w:rsidR="00B859C9">
        <w:rPr>
          <w:rFonts w:ascii="Times New Roman" w:hAnsi="Times New Roman"/>
          <w:color w:val="000000"/>
          <w:sz w:val="24"/>
          <w:szCs w:val="24"/>
          <w:lang w:val="en-US"/>
        </w:rPr>
        <w:t xml:space="preserve">a </w:t>
      </w:r>
      <w:r w:rsidRPr="00E3141F">
        <w:rPr>
          <w:rFonts w:ascii="Times New Roman" w:hAnsi="Times New Roman"/>
          <w:color w:val="000000"/>
          <w:sz w:val="24"/>
          <w:szCs w:val="24"/>
          <w:lang w:val="en-US"/>
        </w:rPr>
        <w:t xml:space="preserve">1% increase in the number of charging stations </w:t>
      </w:r>
      <w:r w:rsidR="00A672B6">
        <w:rPr>
          <w:rFonts w:ascii="Times New Roman" w:hAnsi="Times New Roman"/>
          <w:color w:val="000000"/>
          <w:sz w:val="24"/>
          <w:szCs w:val="24"/>
          <w:lang w:val="en-US"/>
        </w:rPr>
        <w:t>would lead</w:t>
      </w:r>
      <w:r w:rsidRPr="00E3141F">
        <w:rPr>
          <w:rFonts w:ascii="Times New Roman" w:hAnsi="Times New Roman"/>
          <w:color w:val="000000"/>
          <w:sz w:val="24"/>
          <w:szCs w:val="24"/>
          <w:lang w:val="en-US"/>
        </w:rPr>
        <w:t xml:space="preserve"> to </w:t>
      </w:r>
      <w:r w:rsidR="00B859C9">
        <w:rPr>
          <w:rFonts w:ascii="Times New Roman" w:hAnsi="Times New Roman"/>
          <w:color w:val="000000"/>
          <w:sz w:val="24"/>
          <w:szCs w:val="24"/>
          <w:lang w:val="en-US"/>
        </w:rPr>
        <w:t xml:space="preserve">a </w:t>
      </w:r>
      <w:r w:rsidRPr="00E3141F">
        <w:rPr>
          <w:rFonts w:ascii="Times New Roman" w:hAnsi="Times New Roman"/>
          <w:color w:val="000000"/>
          <w:sz w:val="24"/>
          <w:szCs w:val="24"/>
          <w:lang w:val="en-US"/>
        </w:rPr>
        <w:t>0</w:t>
      </w:r>
      <w:r w:rsidR="00AF62F6">
        <w:rPr>
          <w:rFonts w:ascii="Times New Roman" w:hAnsi="Times New Roman"/>
          <w:color w:val="000000"/>
          <w:sz w:val="24"/>
          <w:szCs w:val="24"/>
          <w:lang w:val="en-US"/>
        </w:rPr>
        <w:t>.</w:t>
      </w:r>
      <w:r w:rsidRPr="00E3141F">
        <w:rPr>
          <w:rFonts w:ascii="Times New Roman" w:hAnsi="Times New Roman"/>
          <w:color w:val="000000"/>
          <w:sz w:val="24"/>
          <w:szCs w:val="24"/>
          <w:lang w:val="en-US"/>
        </w:rPr>
        <w:t>5</w:t>
      </w:r>
      <w:r w:rsidR="004C40A4">
        <w:rPr>
          <w:rFonts w:ascii="Times New Roman" w:hAnsi="Times New Roman"/>
          <w:color w:val="000000"/>
          <w:sz w:val="24"/>
          <w:szCs w:val="24"/>
          <w:lang w:val="en-US"/>
        </w:rPr>
        <w:t>631</w:t>
      </w:r>
      <w:r w:rsidRPr="00E3141F">
        <w:rPr>
          <w:rFonts w:ascii="Times New Roman" w:hAnsi="Times New Roman"/>
          <w:color w:val="000000"/>
          <w:sz w:val="24"/>
          <w:szCs w:val="24"/>
          <w:lang w:val="en-US"/>
        </w:rPr>
        <w:t>% increase in sales. Comparing government grant and</w:t>
      </w:r>
      <w:r w:rsidR="00E46199">
        <w:rPr>
          <w:rFonts w:ascii="Times New Roman" w:hAnsi="Times New Roman"/>
          <w:color w:val="000000"/>
          <w:sz w:val="24"/>
          <w:szCs w:val="24"/>
          <w:lang w:val="en-US"/>
        </w:rPr>
        <w:t xml:space="preserve"> a </w:t>
      </w:r>
      <w:r w:rsidR="00F201CD">
        <w:rPr>
          <w:rFonts w:ascii="Times New Roman" w:hAnsi="Times New Roman"/>
          <w:color w:val="000000"/>
          <w:sz w:val="24"/>
          <w:szCs w:val="24"/>
          <w:lang w:val="en-US"/>
        </w:rPr>
        <w:t xml:space="preserve">HOV/Bus </w:t>
      </w:r>
      <w:r w:rsidRPr="00E3141F">
        <w:rPr>
          <w:rFonts w:ascii="Times New Roman" w:hAnsi="Times New Roman"/>
          <w:color w:val="000000"/>
          <w:sz w:val="24"/>
          <w:szCs w:val="24"/>
          <w:lang w:val="en-US"/>
        </w:rPr>
        <w:t>lane access, the latter ha</w:t>
      </w:r>
      <w:r w:rsidR="00A672B6">
        <w:rPr>
          <w:rFonts w:ascii="Times New Roman" w:hAnsi="Times New Roman"/>
          <w:color w:val="000000"/>
          <w:sz w:val="24"/>
          <w:szCs w:val="24"/>
          <w:lang w:val="en-US"/>
        </w:rPr>
        <w:t>s</w:t>
      </w:r>
      <w:r w:rsidRPr="00E3141F">
        <w:rPr>
          <w:rFonts w:ascii="Times New Roman" w:hAnsi="Times New Roman"/>
          <w:color w:val="000000"/>
          <w:sz w:val="24"/>
          <w:szCs w:val="24"/>
          <w:lang w:val="en-US"/>
        </w:rPr>
        <w:t xml:space="preserve"> a greater impact </w:t>
      </w:r>
      <w:r w:rsidR="00A672B6">
        <w:rPr>
          <w:rFonts w:ascii="Times New Roman" w:hAnsi="Times New Roman"/>
          <w:color w:val="000000"/>
          <w:sz w:val="24"/>
          <w:szCs w:val="24"/>
          <w:lang w:val="en-US"/>
        </w:rPr>
        <w:t>on</w:t>
      </w:r>
      <w:r w:rsidRPr="00E3141F">
        <w:rPr>
          <w:rFonts w:ascii="Times New Roman" w:hAnsi="Times New Roman"/>
          <w:color w:val="000000"/>
          <w:sz w:val="24"/>
          <w:szCs w:val="24"/>
          <w:lang w:val="en-US"/>
        </w:rPr>
        <w:t xml:space="preserve"> stimulating BEV sales, with </w:t>
      </w:r>
      <w:r w:rsidR="00A52E41">
        <w:rPr>
          <w:rFonts w:ascii="Times New Roman" w:hAnsi="Times New Roman"/>
          <w:color w:val="000000"/>
          <w:sz w:val="24"/>
          <w:szCs w:val="24"/>
          <w:lang w:val="en-US"/>
        </w:rPr>
        <w:t xml:space="preserve">an increase of </w:t>
      </w:r>
      <w:r w:rsidR="00B7173F" w:rsidRPr="00E3141F">
        <w:rPr>
          <w:rFonts w:ascii="Times New Roman" w:hAnsi="Times New Roman"/>
          <w:color w:val="000000"/>
          <w:sz w:val="24"/>
          <w:szCs w:val="24"/>
          <w:lang w:val="en-US"/>
        </w:rPr>
        <w:t>7</w:t>
      </w:r>
      <w:r w:rsidR="00AF62F6">
        <w:rPr>
          <w:rFonts w:ascii="Times New Roman" w:hAnsi="Times New Roman"/>
          <w:color w:val="000000"/>
          <w:sz w:val="24"/>
          <w:szCs w:val="24"/>
          <w:lang w:val="en-US"/>
        </w:rPr>
        <w:t>.</w:t>
      </w:r>
      <w:r w:rsidR="004C40A4">
        <w:rPr>
          <w:rFonts w:ascii="Times New Roman" w:hAnsi="Times New Roman"/>
          <w:color w:val="000000"/>
          <w:sz w:val="24"/>
          <w:szCs w:val="24"/>
          <w:lang w:val="en-US"/>
        </w:rPr>
        <w:t>4</w:t>
      </w:r>
      <w:r w:rsidR="00B7173F" w:rsidRPr="00E3141F">
        <w:rPr>
          <w:rFonts w:ascii="Times New Roman" w:hAnsi="Times New Roman"/>
          <w:color w:val="000000"/>
          <w:sz w:val="24"/>
          <w:szCs w:val="24"/>
          <w:lang w:val="en-US"/>
        </w:rPr>
        <w:t xml:space="preserve">% </w:t>
      </w:r>
      <w:r w:rsidRPr="00E3141F">
        <w:rPr>
          <w:rFonts w:ascii="Times New Roman" w:hAnsi="Times New Roman"/>
          <w:color w:val="000000"/>
          <w:sz w:val="24"/>
          <w:szCs w:val="24"/>
          <w:lang w:val="en-US"/>
        </w:rPr>
        <w:t xml:space="preserve">and </w:t>
      </w:r>
      <w:r w:rsidR="00B7173F">
        <w:rPr>
          <w:rFonts w:ascii="Times New Roman" w:hAnsi="Times New Roman"/>
          <w:color w:val="000000"/>
          <w:sz w:val="24"/>
          <w:szCs w:val="24"/>
          <w:lang w:val="en-US"/>
        </w:rPr>
        <w:t>2</w:t>
      </w:r>
      <w:r w:rsidR="004C40A4">
        <w:rPr>
          <w:rFonts w:ascii="Times New Roman" w:hAnsi="Times New Roman"/>
          <w:color w:val="000000"/>
          <w:sz w:val="24"/>
          <w:szCs w:val="24"/>
          <w:lang w:val="en-US"/>
        </w:rPr>
        <w:t>72</w:t>
      </w:r>
      <w:r w:rsidR="00B7173F">
        <w:rPr>
          <w:rFonts w:ascii="Times New Roman" w:hAnsi="Times New Roman"/>
          <w:color w:val="000000"/>
          <w:sz w:val="24"/>
          <w:szCs w:val="24"/>
          <w:lang w:val="en-US"/>
        </w:rPr>
        <w:t>%</w:t>
      </w:r>
      <w:r w:rsidR="00B7173F" w:rsidRPr="00E3141F">
        <w:rPr>
          <w:rFonts w:ascii="Times New Roman" w:hAnsi="Times New Roman"/>
          <w:color w:val="000000"/>
          <w:sz w:val="24"/>
          <w:szCs w:val="24"/>
          <w:lang w:val="en-US"/>
        </w:rPr>
        <w:t xml:space="preserve"> </w:t>
      </w:r>
      <w:r w:rsidR="00B7173F">
        <w:rPr>
          <w:rFonts w:ascii="Times New Roman" w:hAnsi="Times New Roman"/>
          <w:color w:val="000000"/>
          <w:sz w:val="24"/>
          <w:szCs w:val="24"/>
          <w:lang w:val="en-US"/>
        </w:rPr>
        <w:t>(</w:t>
      </w:r>
      <m:oMath>
        <m:r>
          <w:rPr>
            <w:rFonts w:ascii="Cambria Math" w:hAnsi="Cambria Math"/>
            <w:color w:val="000000"/>
            <w:sz w:val="24"/>
            <w:szCs w:val="24"/>
            <w:lang w:val="en-US"/>
          </w:rPr>
          <m:t>(</m:t>
        </m:r>
        <m:sSup>
          <m:sSupPr>
            <m:ctrlPr>
              <w:rPr>
                <w:rFonts w:ascii="Cambria Math" w:hAnsi="Cambria Math"/>
                <w:color w:val="000000"/>
                <w:sz w:val="24"/>
                <w:szCs w:val="24"/>
                <w:lang w:val="en-US"/>
              </w:rPr>
            </m:ctrlPr>
          </m:sSupPr>
          <m:e>
            <m:r>
              <w:rPr>
                <w:rFonts w:ascii="Cambria Math" w:hAnsi="Cambria Math"/>
                <w:color w:val="000000"/>
                <w:sz w:val="24"/>
                <w:szCs w:val="24"/>
                <w:lang w:val="en-US"/>
              </w:rPr>
              <m:t>e</m:t>
            </m:r>
          </m:e>
          <m:sup>
            <m:r>
              <w:rPr>
                <w:rFonts w:ascii="Cambria Math" w:hAnsi="Cambria Math"/>
                <w:color w:val="000000"/>
                <w:sz w:val="24"/>
                <w:szCs w:val="24"/>
                <w:lang w:val="en-US"/>
              </w:rPr>
              <m:t>1,314</m:t>
            </m:r>
          </m:sup>
        </m:sSup>
        <m:r>
          <w:rPr>
            <w:rFonts w:ascii="Cambria Math" w:hAnsi="Cambria Math"/>
            <w:color w:val="000000"/>
            <w:sz w:val="24"/>
            <w:szCs w:val="24"/>
            <w:lang w:val="en-US"/>
          </w:rPr>
          <m:t>-1)=2.72</m:t>
        </m:r>
      </m:oMath>
      <w:r w:rsidR="00B7173F">
        <w:rPr>
          <w:rFonts w:ascii="Times New Roman" w:hAnsi="Times New Roman"/>
          <w:color w:val="000000"/>
          <w:sz w:val="24"/>
          <w:szCs w:val="24"/>
          <w:lang w:val="en-US"/>
        </w:rPr>
        <w:t>)</w:t>
      </w:r>
      <w:r w:rsidR="009F1623">
        <w:rPr>
          <w:rFonts w:ascii="Times New Roman" w:hAnsi="Times New Roman"/>
          <w:color w:val="000000"/>
          <w:sz w:val="24"/>
          <w:szCs w:val="24"/>
          <w:lang w:val="en-US"/>
        </w:rPr>
        <w:t xml:space="preserve"> </w:t>
      </w:r>
      <w:r w:rsidRPr="00E3141F">
        <w:rPr>
          <w:rFonts w:ascii="Times New Roman" w:hAnsi="Times New Roman"/>
          <w:color w:val="000000"/>
          <w:sz w:val="24"/>
          <w:szCs w:val="24"/>
          <w:lang w:val="en-US"/>
        </w:rPr>
        <w:t xml:space="preserve">respectively. In other words, providing bus lane access is </w:t>
      </w:r>
      <w:r w:rsidR="00A672B6">
        <w:rPr>
          <w:rFonts w:ascii="Times New Roman" w:hAnsi="Times New Roman"/>
          <w:color w:val="000000"/>
          <w:sz w:val="24"/>
          <w:szCs w:val="24"/>
          <w:lang w:val="en-US"/>
        </w:rPr>
        <w:t xml:space="preserve">much </w:t>
      </w:r>
      <w:r w:rsidRPr="00E3141F">
        <w:rPr>
          <w:rFonts w:ascii="Times New Roman" w:hAnsi="Times New Roman"/>
          <w:color w:val="000000"/>
          <w:sz w:val="24"/>
          <w:szCs w:val="24"/>
          <w:lang w:val="en-US"/>
        </w:rPr>
        <w:t>more effective than increasing government grant by 1</w:t>
      </w:r>
      <w:r w:rsidR="00C65BE4">
        <w:rPr>
          <w:rFonts w:ascii="Times New Roman" w:hAnsi="Times New Roman"/>
          <w:color w:val="000000"/>
          <w:sz w:val="24"/>
          <w:szCs w:val="24"/>
          <w:lang w:val="en-US"/>
        </w:rPr>
        <w:t>,</w:t>
      </w:r>
      <w:r w:rsidR="009F1623">
        <w:rPr>
          <w:rFonts w:ascii="Times New Roman" w:hAnsi="Times New Roman"/>
          <w:color w:val="000000"/>
          <w:sz w:val="24"/>
          <w:szCs w:val="24"/>
          <w:lang w:val="en-US"/>
        </w:rPr>
        <w:t>000</w:t>
      </w:r>
      <w:r w:rsidRPr="00E3141F">
        <w:rPr>
          <w:rFonts w:ascii="Times New Roman" w:hAnsi="Times New Roman"/>
          <w:color w:val="000000"/>
          <w:sz w:val="24"/>
          <w:szCs w:val="24"/>
          <w:lang w:val="en-US"/>
        </w:rPr>
        <w:t xml:space="preserve">$. </w:t>
      </w:r>
      <w:r w:rsidR="00A672B6">
        <w:rPr>
          <w:rFonts w:ascii="Times New Roman" w:hAnsi="Times New Roman"/>
          <w:color w:val="000000"/>
          <w:sz w:val="24"/>
          <w:szCs w:val="24"/>
          <w:lang w:val="en-US"/>
        </w:rPr>
        <w:t xml:space="preserve">The other question is if these measures and their </w:t>
      </w:r>
      <w:r w:rsidR="006C3E12">
        <w:rPr>
          <w:rFonts w:ascii="Times New Roman" w:hAnsi="Times New Roman"/>
          <w:color w:val="000000"/>
          <w:sz w:val="24"/>
          <w:szCs w:val="24"/>
          <w:lang w:val="en-US"/>
        </w:rPr>
        <w:t>cost</w:t>
      </w:r>
      <w:r w:rsidR="00A672B6">
        <w:rPr>
          <w:rFonts w:ascii="Times New Roman" w:hAnsi="Times New Roman"/>
          <w:color w:val="000000"/>
          <w:sz w:val="24"/>
          <w:szCs w:val="24"/>
          <w:lang w:val="en-US"/>
        </w:rPr>
        <w:t xml:space="preserve"> </w:t>
      </w:r>
      <w:r w:rsidR="00EB390E">
        <w:rPr>
          <w:rFonts w:ascii="Times New Roman" w:hAnsi="Times New Roman"/>
          <w:color w:val="000000"/>
          <w:sz w:val="24"/>
          <w:szCs w:val="24"/>
          <w:lang w:val="en-US"/>
        </w:rPr>
        <w:t xml:space="preserve">for the country’s budget </w:t>
      </w:r>
      <w:r w:rsidR="00A672B6">
        <w:rPr>
          <w:rFonts w:ascii="Times New Roman" w:hAnsi="Times New Roman"/>
          <w:color w:val="000000"/>
          <w:sz w:val="24"/>
          <w:szCs w:val="24"/>
          <w:lang w:val="en-US"/>
        </w:rPr>
        <w:t xml:space="preserve">can </w:t>
      </w:r>
      <w:proofErr w:type="gramStart"/>
      <w:r w:rsidR="00A672B6">
        <w:rPr>
          <w:rFonts w:ascii="Times New Roman" w:hAnsi="Times New Roman"/>
          <w:color w:val="000000"/>
          <w:sz w:val="24"/>
          <w:szCs w:val="24"/>
          <w:lang w:val="en-US"/>
        </w:rPr>
        <w:t>actually be</w:t>
      </w:r>
      <w:proofErr w:type="gramEnd"/>
      <w:r w:rsidR="00A672B6">
        <w:rPr>
          <w:rFonts w:ascii="Times New Roman" w:hAnsi="Times New Roman"/>
          <w:color w:val="000000"/>
          <w:sz w:val="24"/>
          <w:szCs w:val="24"/>
          <w:lang w:val="en-US"/>
        </w:rPr>
        <w:t xml:space="preserve"> compared. </w:t>
      </w:r>
      <w:r w:rsidRPr="00E3141F">
        <w:rPr>
          <w:rFonts w:ascii="Times New Roman" w:hAnsi="Times New Roman"/>
          <w:color w:val="000000"/>
          <w:sz w:val="24"/>
          <w:szCs w:val="24"/>
          <w:lang w:val="en-US"/>
        </w:rPr>
        <w:t>Interestingly, other policy measures</w:t>
      </w:r>
      <w:r w:rsidR="00A52E41">
        <w:rPr>
          <w:rFonts w:ascii="Times New Roman" w:hAnsi="Times New Roman"/>
          <w:color w:val="000000"/>
          <w:sz w:val="24"/>
          <w:szCs w:val="24"/>
          <w:lang w:val="en-US"/>
        </w:rPr>
        <w:t xml:space="preserve"> such as annual or purchase tax reductions</w:t>
      </w:r>
      <w:r w:rsidRPr="00E3141F">
        <w:rPr>
          <w:rFonts w:ascii="Times New Roman" w:hAnsi="Times New Roman"/>
          <w:color w:val="000000"/>
          <w:sz w:val="24"/>
          <w:szCs w:val="24"/>
          <w:lang w:val="en-US"/>
        </w:rPr>
        <w:t xml:space="preserve"> </w:t>
      </w:r>
      <w:r w:rsidRPr="00E3141F">
        <w:rPr>
          <w:rFonts w:ascii="Times New Roman" w:hAnsi="Times New Roman"/>
          <w:color w:val="000000"/>
          <w:sz w:val="24"/>
          <w:szCs w:val="24"/>
          <w:lang w:val="en-US"/>
        </w:rPr>
        <w:lastRenderedPageBreak/>
        <w:t>did</w:t>
      </w:r>
      <w:r w:rsidR="00A52E41">
        <w:rPr>
          <w:rFonts w:ascii="Times New Roman" w:hAnsi="Times New Roman"/>
          <w:color w:val="000000"/>
          <w:sz w:val="24"/>
          <w:szCs w:val="24"/>
          <w:lang w:val="en-US"/>
        </w:rPr>
        <w:t xml:space="preserve"> </w:t>
      </w:r>
      <w:r w:rsidRPr="00E3141F">
        <w:rPr>
          <w:rFonts w:ascii="Times New Roman" w:hAnsi="Times New Roman"/>
          <w:color w:val="000000"/>
          <w:sz w:val="24"/>
          <w:szCs w:val="24"/>
          <w:lang w:val="en-US"/>
        </w:rPr>
        <w:t>n</w:t>
      </w:r>
      <w:r w:rsidR="00A52E41">
        <w:rPr>
          <w:rFonts w:ascii="Times New Roman" w:hAnsi="Times New Roman"/>
          <w:color w:val="000000"/>
          <w:sz w:val="24"/>
          <w:szCs w:val="24"/>
          <w:lang w:val="en-US"/>
        </w:rPr>
        <w:t>o</w:t>
      </w:r>
      <w:r w:rsidRPr="00E3141F">
        <w:rPr>
          <w:rFonts w:ascii="Times New Roman" w:hAnsi="Times New Roman"/>
          <w:color w:val="000000"/>
          <w:sz w:val="24"/>
          <w:szCs w:val="24"/>
          <w:lang w:val="en-US"/>
        </w:rPr>
        <w:t>t show significant coefficients</w:t>
      </w:r>
      <w:r w:rsidR="009F1623">
        <w:rPr>
          <w:rFonts w:ascii="Times New Roman" w:hAnsi="Times New Roman"/>
          <w:color w:val="000000"/>
          <w:sz w:val="24"/>
          <w:szCs w:val="24"/>
          <w:lang w:val="en-US"/>
        </w:rPr>
        <w:t xml:space="preserve">, with </w:t>
      </w:r>
      <w:r w:rsidRPr="00E3141F">
        <w:rPr>
          <w:rFonts w:ascii="Times New Roman" w:hAnsi="Times New Roman"/>
          <w:color w:val="000000"/>
          <w:sz w:val="24"/>
          <w:szCs w:val="24"/>
          <w:lang w:val="en-US"/>
        </w:rPr>
        <w:t>even wrong coefficient signs</w:t>
      </w:r>
      <w:r w:rsidR="00E03518">
        <w:rPr>
          <w:rFonts w:ascii="Times New Roman" w:hAnsi="Times New Roman"/>
          <w:color w:val="000000"/>
          <w:sz w:val="24"/>
          <w:szCs w:val="24"/>
          <w:lang w:val="en-US"/>
        </w:rPr>
        <w:t>, probably because they are weakly correlated with the response variable.</w:t>
      </w:r>
    </w:p>
    <w:p w:rsidR="00495107" w:rsidRDefault="00853A21" w:rsidP="00401FDE">
      <w:pPr>
        <w:spacing w:after="120" w:line="360" w:lineRule="auto"/>
        <w:jc w:val="both"/>
        <w:rPr>
          <w:rFonts w:ascii="Times New Roman" w:hAnsi="Times New Roman"/>
          <w:sz w:val="24"/>
          <w:szCs w:val="24"/>
          <w:lang w:val="en-US"/>
        </w:rPr>
      </w:pPr>
      <w:r>
        <w:rPr>
          <w:rFonts w:ascii="Times New Roman" w:hAnsi="Times New Roman"/>
          <w:color w:val="000000"/>
          <w:sz w:val="24"/>
          <w:szCs w:val="24"/>
          <w:lang w:val="en-US"/>
        </w:rPr>
        <w:t xml:space="preserve">Besides the final estimates of </w:t>
      </w:r>
      <w:r w:rsidR="00E03518">
        <w:rPr>
          <w:rFonts w:ascii="Times New Roman" w:hAnsi="Times New Roman"/>
          <w:color w:val="000000"/>
          <w:sz w:val="24"/>
          <w:szCs w:val="24"/>
          <w:lang w:val="en-US"/>
        </w:rPr>
        <w:t xml:space="preserve">significant </w:t>
      </w:r>
      <w:r>
        <w:rPr>
          <w:rFonts w:ascii="Times New Roman" w:hAnsi="Times New Roman"/>
          <w:color w:val="000000"/>
          <w:sz w:val="24"/>
          <w:szCs w:val="24"/>
          <w:lang w:val="en-US"/>
        </w:rPr>
        <w:t>coefficients</w:t>
      </w:r>
      <w:r w:rsidR="00FC431D">
        <w:rPr>
          <w:rFonts w:ascii="Times New Roman" w:hAnsi="Times New Roman"/>
          <w:color w:val="000000"/>
          <w:sz w:val="24"/>
          <w:szCs w:val="24"/>
          <w:lang w:val="en-US"/>
        </w:rPr>
        <w:t xml:space="preserve"> (Step 5)</w:t>
      </w:r>
      <w:r>
        <w:rPr>
          <w:rFonts w:ascii="Times New Roman" w:hAnsi="Times New Roman"/>
          <w:color w:val="000000"/>
          <w:sz w:val="24"/>
          <w:szCs w:val="24"/>
          <w:lang w:val="en-US"/>
        </w:rPr>
        <w:t xml:space="preserve">, Table </w:t>
      </w:r>
      <w:r w:rsidR="00E42DF0">
        <w:rPr>
          <w:rFonts w:ascii="Times New Roman" w:hAnsi="Times New Roman"/>
          <w:color w:val="000000"/>
          <w:sz w:val="24"/>
          <w:szCs w:val="24"/>
          <w:lang w:val="en-US"/>
        </w:rPr>
        <w:t>8</w:t>
      </w:r>
      <w:r w:rsidR="00956DCB">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provides information about the sensitivity of these estimates and </w:t>
      </w:r>
      <w:r w:rsidR="005D1CE9">
        <w:rPr>
          <w:rFonts w:ascii="Times New Roman" w:hAnsi="Times New Roman"/>
          <w:color w:val="000000"/>
          <w:sz w:val="24"/>
          <w:szCs w:val="24"/>
          <w:lang w:val="en-US"/>
        </w:rPr>
        <w:t>the model</w:t>
      </w:r>
      <w:r w:rsidR="00FC431D">
        <w:rPr>
          <w:rFonts w:ascii="Times New Roman" w:hAnsi="Times New Roman"/>
          <w:color w:val="000000"/>
          <w:sz w:val="24"/>
          <w:szCs w:val="24"/>
          <w:lang w:val="en-US"/>
        </w:rPr>
        <w:t xml:space="preserve"> </w:t>
      </w:r>
      <w:r w:rsidR="004043E6">
        <w:rPr>
          <w:rFonts w:ascii="Times New Roman" w:hAnsi="Times New Roman"/>
          <w:color w:val="000000"/>
          <w:sz w:val="24"/>
          <w:szCs w:val="24"/>
          <w:lang w:val="en-US"/>
        </w:rPr>
        <w:t xml:space="preserve">robustness </w:t>
      </w:r>
      <w:r w:rsidR="00FC431D">
        <w:rPr>
          <w:rFonts w:ascii="Times New Roman" w:hAnsi="Times New Roman"/>
          <w:color w:val="000000"/>
          <w:sz w:val="24"/>
          <w:szCs w:val="24"/>
          <w:lang w:val="en-US"/>
        </w:rPr>
        <w:t xml:space="preserve">through </w:t>
      </w:r>
      <w:r w:rsidR="0022266A">
        <w:rPr>
          <w:rFonts w:ascii="Times New Roman" w:hAnsi="Times New Roman"/>
          <w:color w:val="000000"/>
          <w:sz w:val="24"/>
          <w:szCs w:val="24"/>
          <w:lang w:val="en-US"/>
        </w:rPr>
        <w:t>S</w:t>
      </w:r>
      <w:r w:rsidR="00FC431D">
        <w:rPr>
          <w:rFonts w:ascii="Times New Roman" w:hAnsi="Times New Roman"/>
          <w:color w:val="000000"/>
          <w:sz w:val="24"/>
          <w:szCs w:val="24"/>
          <w:lang w:val="en-US"/>
        </w:rPr>
        <w:t xml:space="preserve">tep 1-4. </w:t>
      </w:r>
      <w:r w:rsidR="00401FDE">
        <w:rPr>
          <w:rFonts w:ascii="Times New Roman" w:hAnsi="Times New Roman"/>
          <w:sz w:val="24"/>
          <w:szCs w:val="24"/>
          <w:lang w:val="en-US"/>
        </w:rPr>
        <w:t>Step 1 presents the base specification, in which the regressors are the government grant and other influencing factors such as driving range, charging stations and price. All the coefficients are significant</w:t>
      </w:r>
      <w:r w:rsidR="00B20FFD">
        <w:rPr>
          <w:rFonts w:ascii="Times New Roman" w:hAnsi="Times New Roman"/>
          <w:sz w:val="24"/>
          <w:szCs w:val="24"/>
          <w:lang w:val="en-US"/>
        </w:rPr>
        <w:t xml:space="preserve">, with </w:t>
      </w:r>
      <w:r w:rsidR="00A22678">
        <w:rPr>
          <w:rFonts w:ascii="Times New Roman" w:hAnsi="Times New Roman"/>
          <w:sz w:val="24"/>
          <w:szCs w:val="24"/>
          <w:lang w:val="en-US"/>
        </w:rPr>
        <w:t>5</w:t>
      </w:r>
      <w:r w:rsidR="00BC28E4">
        <w:rPr>
          <w:rFonts w:ascii="Times New Roman" w:hAnsi="Times New Roman"/>
          <w:sz w:val="24"/>
          <w:szCs w:val="24"/>
          <w:lang w:val="en-US"/>
        </w:rPr>
        <w:t>3</w:t>
      </w:r>
      <w:r w:rsidR="00C65BE4">
        <w:rPr>
          <w:rFonts w:ascii="Times New Roman" w:hAnsi="Times New Roman"/>
          <w:sz w:val="24"/>
          <w:szCs w:val="24"/>
          <w:lang w:val="en-US"/>
        </w:rPr>
        <w:t>.</w:t>
      </w:r>
      <w:r w:rsidR="00BC28E4">
        <w:rPr>
          <w:rFonts w:ascii="Times New Roman" w:hAnsi="Times New Roman"/>
          <w:sz w:val="24"/>
          <w:szCs w:val="24"/>
          <w:lang w:val="en-US"/>
        </w:rPr>
        <w:t>78</w:t>
      </w:r>
      <w:r w:rsidR="00A22678">
        <w:rPr>
          <w:rFonts w:ascii="Times New Roman" w:hAnsi="Times New Roman"/>
          <w:sz w:val="24"/>
          <w:szCs w:val="24"/>
          <w:lang w:val="en-US"/>
        </w:rPr>
        <w:t>% R-squared and 5</w:t>
      </w:r>
      <w:r w:rsidR="00BC28E4">
        <w:rPr>
          <w:rFonts w:ascii="Times New Roman" w:hAnsi="Times New Roman"/>
          <w:sz w:val="24"/>
          <w:szCs w:val="24"/>
          <w:lang w:val="en-US"/>
        </w:rPr>
        <w:t>2</w:t>
      </w:r>
      <w:r w:rsidR="00C65BE4">
        <w:rPr>
          <w:rFonts w:ascii="Times New Roman" w:hAnsi="Times New Roman"/>
          <w:sz w:val="24"/>
          <w:szCs w:val="24"/>
          <w:lang w:val="en-US"/>
        </w:rPr>
        <w:t>.</w:t>
      </w:r>
      <w:r w:rsidR="00BC28E4">
        <w:rPr>
          <w:rFonts w:ascii="Times New Roman" w:hAnsi="Times New Roman"/>
          <w:sz w:val="24"/>
          <w:szCs w:val="24"/>
          <w:lang w:val="en-US"/>
        </w:rPr>
        <w:t>88</w:t>
      </w:r>
      <w:r w:rsidR="00A22678">
        <w:rPr>
          <w:rFonts w:ascii="Times New Roman" w:hAnsi="Times New Roman"/>
          <w:sz w:val="24"/>
          <w:szCs w:val="24"/>
          <w:lang w:val="en-US"/>
        </w:rPr>
        <w:t>% adjusted R-squared.</w:t>
      </w:r>
      <w:r w:rsidR="00401FDE">
        <w:rPr>
          <w:rFonts w:ascii="Times New Roman" w:hAnsi="Times New Roman"/>
          <w:sz w:val="24"/>
          <w:szCs w:val="24"/>
          <w:lang w:val="en-US"/>
        </w:rPr>
        <w:t xml:space="preserve"> Steps 2-3 present alternative specifications that examine the effect of </w:t>
      </w:r>
      <w:r w:rsidR="009E0C46">
        <w:rPr>
          <w:rFonts w:ascii="Times New Roman" w:hAnsi="Times New Roman"/>
          <w:sz w:val="24"/>
          <w:szCs w:val="24"/>
          <w:lang w:val="en-US"/>
        </w:rPr>
        <w:t xml:space="preserve">the </w:t>
      </w:r>
      <w:r w:rsidR="00401FDE">
        <w:rPr>
          <w:rFonts w:ascii="Times New Roman" w:hAnsi="Times New Roman"/>
          <w:sz w:val="24"/>
          <w:szCs w:val="24"/>
          <w:lang w:val="en-US"/>
        </w:rPr>
        <w:t xml:space="preserve">inclusion </w:t>
      </w:r>
      <w:r w:rsidR="009E0C46">
        <w:rPr>
          <w:rFonts w:ascii="Times New Roman" w:hAnsi="Times New Roman"/>
          <w:sz w:val="24"/>
          <w:szCs w:val="24"/>
          <w:lang w:val="en-US"/>
        </w:rPr>
        <w:t xml:space="preserve">of </w:t>
      </w:r>
      <w:r w:rsidR="00401FDE">
        <w:rPr>
          <w:rFonts w:ascii="Times New Roman" w:hAnsi="Times New Roman"/>
          <w:sz w:val="24"/>
          <w:szCs w:val="24"/>
          <w:lang w:val="en-US"/>
        </w:rPr>
        <w:t>other policy measures (</w:t>
      </w:r>
      <w:r w:rsidR="00816BA6">
        <w:rPr>
          <w:rFonts w:ascii="Times New Roman" w:hAnsi="Times New Roman"/>
          <w:sz w:val="24"/>
          <w:szCs w:val="24"/>
          <w:lang w:val="en-US"/>
        </w:rPr>
        <w:t>S</w:t>
      </w:r>
      <w:r w:rsidR="00401FDE">
        <w:rPr>
          <w:rFonts w:ascii="Times New Roman" w:hAnsi="Times New Roman"/>
          <w:sz w:val="24"/>
          <w:szCs w:val="24"/>
          <w:lang w:val="en-US"/>
        </w:rPr>
        <w:t>tep 2</w:t>
      </w:r>
      <w:r w:rsidR="00816BA6">
        <w:rPr>
          <w:rFonts w:ascii="Times New Roman" w:hAnsi="Times New Roman"/>
          <w:sz w:val="24"/>
          <w:szCs w:val="24"/>
          <w:lang w:val="en-US"/>
        </w:rPr>
        <w:t xml:space="preserve">: </w:t>
      </w:r>
      <w:r w:rsidR="00401FDE">
        <w:rPr>
          <w:rFonts w:ascii="Times New Roman" w:hAnsi="Times New Roman"/>
          <w:sz w:val="24"/>
          <w:szCs w:val="24"/>
          <w:lang w:val="en-US"/>
        </w:rPr>
        <w:t xml:space="preserve">VAT amount, Reductions, </w:t>
      </w:r>
      <w:r w:rsidR="00F201CD">
        <w:rPr>
          <w:rFonts w:ascii="Times New Roman" w:hAnsi="Times New Roman"/>
          <w:sz w:val="24"/>
          <w:szCs w:val="24"/>
          <w:lang w:val="en-US"/>
        </w:rPr>
        <w:t xml:space="preserve">HOV/Bus </w:t>
      </w:r>
      <w:r w:rsidR="00401FDE">
        <w:rPr>
          <w:rFonts w:ascii="Times New Roman" w:hAnsi="Times New Roman"/>
          <w:sz w:val="24"/>
          <w:szCs w:val="24"/>
          <w:lang w:val="en-US"/>
        </w:rPr>
        <w:t>lane access) and other context-level factors that were also identified as influencing EV adoption (</w:t>
      </w:r>
      <w:r w:rsidR="00816BA6">
        <w:rPr>
          <w:rFonts w:ascii="Times New Roman" w:hAnsi="Times New Roman"/>
          <w:sz w:val="24"/>
          <w:szCs w:val="24"/>
          <w:lang w:val="en-US"/>
        </w:rPr>
        <w:t>S</w:t>
      </w:r>
      <w:r w:rsidR="00401FDE">
        <w:rPr>
          <w:rFonts w:ascii="Times New Roman" w:hAnsi="Times New Roman"/>
          <w:sz w:val="24"/>
          <w:szCs w:val="24"/>
          <w:lang w:val="en-US"/>
        </w:rPr>
        <w:t>tep 3</w:t>
      </w:r>
      <w:r w:rsidR="00816BA6">
        <w:rPr>
          <w:rFonts w:ascii="Times New Roman" w:hAnsi="Times New Roman"/>
          <w:sz w:val="24"/>
          <w:szCs w:val="24"/>
          <w:lang w:val="en-US"/>
        </w:rPr>
        <w:t>:</w:t>
      </w:r>
      <w:r w:rsidR="00401FDE">
        <w:rPr>
          <w:rFonts w:ascii="Times New Roman" w:hAnsi="Times New Roman"/>
          <w:sz w:val="24"/>
          <w:szCs w:val="24"/>
          <w:lang w:val="en-US"/>
        </w:rPr>
        <w:t xml:space="preserve"> urban density, electricity price, BEV models available, interest score). Already at Step 2, the coefficient </w:t>
      </w:r>
      <w:r w:rsidR="005A174B">
        <w:rPr>
          <w:rFonts w:ascii="Times New Roman" w:hAnsi="Times New Roman"/>
          <w:sz w:val="24"/>
          <w:szCs w:val="24"/>
          <w:lang w:val="en-US"/>
        </w:rPr>
        <w:t xml:space="preserve">of </w:t>
      </w:r>
      <w:r w:rsidR="00401FDE">
        <w:rPr>
          <w:rFonts w:ascii="Times New Roman" w:hAnsi="Times New Roman"/>
          <w:sz w:val="24"/>
          <w:szCs w:val="24"/>
          <w:lang w:val="en-US"/>
        </w:rPr>
        <w:t xml:space="preserve">price loses its significance, whereas </w:t>
      </w:r>
      <w:r w:rsidR="00F201CD">
        <w:rPr>
          <w:rFonts w:ascii="Times New Roman" w:hAnsi="Times New Roman"/>
          <w:sz w:val="24"/>
          <w:szCs w:val="24"/>
          <w:lang w:val="en-US"/>
        </w:rPr>
        <w:t xml:space="preserve">HOV/Bus </w:t>
      </w:r>
      <w:r w:rsidR="00401FDE">
        <w:rPr>
          <w:rFonts w:ascii="Times New Roman" w:hAnsi="Times New Roman"/>
          <w:sz w:val="24"/>
          <w:szCs w:val="24"/>
          <w:lang w:val="en-US"/>
        </w:rPr>
        <w:t xml:space="preserve">lane access </w:t>
      </w:r>
      <w:r w:rsidR="009E0C46">
        <w:rPr>
          <w:rFonts w:ascii="Times New Roman" w:hAnsi="Times New Roman"/>
          <w:sz w:val="24"/>
          <w:szCs w:val="24"/>
          <w:lang w:val="en-US"/>
        </w:rPr>
        <w:t>emerges</w:t>
      </w:r>
      <w:r w:rsidR="00401FDE">
        <w:rPr>
          <w:rFonts w:ascii="Times New Roman" w:hAnsi="Times New Roman"/>
          <w:sz w:val="24"/>
          <w:szCs w:val="24"/>
          <w:lang w:val="en-US"/>
        </w:rPr>
        <w:t xml:space="preserve"> as a significant factor. Not</w:t>
      </w:r>
      <w:r w:rsidR="00816BA6">
        <w:rPr>
          <w:rFonts w:ascii="Times New Roman" w:hAnsi="Times New Roman"/>
          <w:sz w:val="24"/>
          <w:szCs w:val="24"/>
          <w:lang w:val="en-US"/>
        </w:rPr>
        <w:t>e</w:t>
      </w:r>
      <w:r w:rsidR="00401FDE">
        <w:rPr>
          <w:rFonts w:ascii="Times New Roman" w:hAnsi="Times New Roman"/>
          <w:sz w:val="24"/>
          <w:szCs w:val="24"/>
          <w:lang w:val="en-US"/>
        </w:rPr>
        <w:t xml:space="preserve"> that both R-squared and adjusted R-squared </w:t>
      </w:r>
      <w:r w:rsidR="009E0C46">
        <w:rPr>
          <w:rFonts w:ascii="Times New Roman" w:hAnsi="Times New Roman"/>
          <w:sz w:val="24"/>
          <w:szCs w:val="24"/>
          <w:lang w:val="en-US"/>
        </w:rPr>
        <w:t xml:space="preserve">of Specification 2 </w:t>
      </w:r>
      <w:r w:rsidR="00401FDE">
        <w:rPr>
          <w:rFonts w:ascii="Times New Roman" w:hAnsi="Times New Roman"/>
          <w:sz w:val="24"/>
          <w:szCs w:val="24"/>
          <w:lang w:val="en-US"/>
        </w:rPr>
        <w:t>are higher than that of Specification 1</w:t>
      </w:r>
      <w:r w:rsidR="00A22678">
        <w:rPr>
          <w:rFonts w:ascii="Times New Roman" w:hAnsi="Times New Roman"/>
          <w:sz w:val="24"/>
          <w:szCs w:val="24"/>
          <w:lang w:val="en-US"/>
        </w:rPr>
        <w:t xml:space="preserve">, with </w:t>
      </w:r>
      <w:r w:rsidR="00BC28E4">
        <w:rPr>
          <w:rFonts w:ascii="Times New Roman" w:hAnsi="Times New Roman"/>
          <w:sz w:val="24"/>
          <w:szCs w:val="24"/>
          <w:lang w:val="en-US"/>
        </w:rPr>
        <w:t>59</w:t>
      </w:r>
      <w:r w:rsidR="00C65BE4">
        <w:rPr>
          <w:rFonts w:ascii="Times New Roman" w:hAnsi="Times New Roman"/>
          <w:sz w:val="24"/>
          <w:szCs w:val="24"/>
          <w:lang w:val="en-US"/>
        </w:rPr>
        <w:t>.</w:t>
      </w:r>
      <w:r w:rsidR="00BC28E4">
        <w:rPr>
          <w:rFonts w:ascii="Times New Roman" w:hAnsi="Times New Roman"/>
          <w:sz w:val="24"/>
          <w:szCs w:val="24"/>
          <w:lang w:val="en-US"/>
        </w:rPr>
        <w:t>94</w:t>
      </w:r>
      <w:r w:rsidR="00A22678">
        <w:rPr>
          <w:rFonts w:ascii="Times New Roman" w:hAnsi="Times New Roman"/>
          <w:sz w:val="24"/>
          <w:szCs w:val="24"/>
          <w:lang w:val="en-US"/>
        </w:rPr>
        <w:t>% and 58</w:t>
      </w:r>
      <w:r w:rsidR="00C65BE4">
        <w:rPr>
          <w:rFonts w:ascii="Times New Roman" w:hAnsi="Times New Roman"/>
          <w:sz w:val="24"/>
          <w:szCs w:val="24"/>
          <w:lang w:val="en-US"/>
        </w:rPr>
        <w:t>.</w:t>
      </w:r>
      <w:r w:rsidR="00BC28E4">
        <w:rPr>
          <w:rFonts w:ascii="Times New Roman" w:hAnsi="Times New Roman"/>
          <w:sz w:val="24"/>
          <w:szCs w:val="24"/>
          <w:lang w:val="en-US"/>
        </w:rPr>
        <w:t>15</w:t>
      </w:r>
      <w:r w:rsidR="00A22678">
        <w:rPr>
          <w:rFonts w:ascii="Times New Roman" w:hAnsi="Times New Roman"/>
          <w:sz w:val="24"/>
          <w:szCs w:val="24"/>
          <w:lang w:val="en-US"/>
        </w:rPr>
        <w:t>% respectively.</w:t>
      </w:r>
      <w:r w:rsidR="00675FB9">
        <w:rPr>
          <w:rFonts w:ascii="Times New Roman" w:hAnsi="Times New Roman"/>
          <w:sz w:val="24"/>
          <w:szCs w:val="24"/>
          <w:lang w:val="en-US"/>
        </w:rPr>
        <w:t xml:space="preserve"> </w:t>
      </w:r>
      <w:r w:rsidR="00A22678">
        <w:rPr>
          <w:rFonts w:ascii="Times New Roman" w:hAnsi="Times New Roman"/>
          <w:sz w:val="24"/>
          <w:szCs w:val="24"/>
          <w:lang w:val="en-US"/>
        </w:rPr>
        <w:t xml:space="preserve">This means that </w:t>
      </w:r>
      <w:r w:rsidR="00675FB9">
        <w:rPr>
          <w:rFonts w:ascii="Times New Roman" w:hAnsi="Times New Roman"/>
          <w:sz w:val="24"/>
          <w:szCs w:val="24"/>
          <w:lang w:val="en-US"/>
        </w:rPr>
        <w:t xml:space="preserve">a </w:t>
      </w:r>
      <w:r w:rsidR="00F201CD">
        <w:rPr>
          <w:rFonts w:ascii="Times New Roman" w:hAnsi="Times New Roman"/>
          <w:sz w:val="24"/>
          <w:szCs w:val="24"/>
          <w:lang w:val="en-US"/>
        </w:rPr>
        <w:t xml:space="preserve">HOV/Bus </w:t>
      </w:r>
      <w:r w:rsidR="00675FB9">
        <w:rPr>
          <w:rFonts w:ascii="Times New Roman" w:hAnsi="Times New Roman"/>
          <w:sz w:val="24"/>
          <w:szCs w:val="24"/>
          <w:lang w:val="en-US"/>
        </w:rPr>
        <w:t xml:space="preserve">lane access is an important </w:t>
      </w:r>
      <w:r w:rsidR="00B032A4">
        <w:rPr>
          <w:rFonts w:ascii="Times New Roman" w:hAnsi="Times New Roman"/>
          <w:sz w:val="24"/>
          <w:szCs w:val="24"/>
          <w:lang w:val="en-US"/>
        </w:rPr>
        <w:t>influencing factor</w:t>
      </w:r>
      <w:r w:rsidR="00401FDE">
        <w:rPr>
          <w:rFonts w:ascii="Times New Roman" w:hAnsi="Times New Roman"/>
          <w:sz w:val="24"/>
          <w:szCs w:val="24"/>
          <w:lang w:val="en-US"/>
        </w:rPr>
        <w:t xml:space="preserve">. </w:t>
      </w:r>
      <w:r w:rsidR="00816BA6">
        <w:rPr>
          <w:rFonts w:ascii="Times New Roman" w:hAnsi="Times New Roman"/>
          <w:sz w:val="24"/>
          <w:szCs w:val="24"/>
          <w:lang w:val="en-US"/>
        </w:rPr>
        <w:t>On the other hand,</w:t>
      </w:r>
      <w:r w:rsidR="00401FDE">
        <w:rPr>
          <w:rFonts w:ascii="Times New Roman" w:hAnsi="Times New Roman"/>
          <w:sz w:val="24"/>
          <w:szCs w:val="24"/>
          <w:lang w:val="en-US"/>
        </w:rPr>
        <w:t xml:space="preserve"> the difference between </w:t>
      </w:r>
      <w:r w:rsidR="00B859C9">
        <w:rPr>
          <w:rFonts w:ascii="Times New Roman" w:hAnsi="Times New Roman"/>
          <w:sz w:val="24"/>
          <w:szCs w:val="24"/>
          <w:lang w:val="en-US"/>
        </w:rPr>
        <w:t xml:space="preserve">the </w:t>
      </w:r>
      <w:r w:rsidR="00401FDE">
        <w:rPr>
          <w:rFonts w:ascii="Times New Roman" w:hAnsi="Times New Roman"/>
          <w:sz w:val="24"/>
          <w:szCs w:val="24"/>
          <w:lang w:val="en-US"/>
        </w:rPr>
        <w:t xml:space="preserve">R-squared of Specification 3 and 2 is </w:t>
      </w:r>
      <w:r w:rsidR="00B859C9">
        <w:rPr>
          <w:rFonts w:ascii="Times New Roman" w:hAnsi="Times New Roman"/>
          <w:sz w:val="24"/>
          <w:szCs w:val="24"/>
          <w:lang w:val="en-US"/>
        </w:rPr>
        <w:t>negligible</w:t>
      </w:r>
      <w:r w:rsidR="00A22678">
        <w:rPr>
          <w:rFonts w:ascii="Times New Roman" w:hAnsi="Times New Roman"/>
          <w:sz w:val="24"/>
          <w:szCs w:val="24"/>
          <w:lang w:val="en-US"/>
        </w:rPr>
        <w:t xml:space="preserve"> (60</w:t>
      </w:r>
      <w:r w:rsidR="00C65BE4">
        <w:rPr>
          <w:rFonts w:ascii="Times New Roman" w:hAnsi="Times New Roman"/>
          <w:sz w:val="24"/>
          <w:szCs w:val="24"/>
          <w:lang w:val="en-US"/>
        </w:rPr>
        <w:t>.</w:t>
      </w:r>
      <w:r w:rsidR="00BC28E4">
        <w:rPr>
          <w:rFonts w:ascii="Times New Roman" w:hAnsi="Times New Roman"/>
          <w:sz w:val="24"/>
          <w:szCs w:val="24"/>
          <w:lang w:val="en-US"/>
        </w:rPr>
        <w:t>07</w:t>
      </w:r>
      <w:r w:rsidR="00A22678">
        <w:rPr>
          <w:rFonts w:ascii="Times New Roman" w:hAnsi="Times New Roman"/>
          <w:sz w:val="24"/>
          <w:szCs w:val="24"/>
          <w:lang w:val="en-US"/>
        </w:rPr>
        <w:t xml:space="preserve">% and </w:t>
      </w:r>
      <w:r w:rsidR="00BC28E4">
        <w:rPr>
          <w:rFonts w:ascii="Times New Roman" w:hAnsi="Times New Roman"/>
          <w:sz w:val="24"/>
          <w:szCs w:val="24"/>
          <w:lang w:val="en-US"/>
        </w:rPr>
        <w:t>59</w:t>
      </w:r>
      <w:r w:rsidR="00C65BE4">
        <w:rPr>
          <w:rFonts w:ascii="Times New Roman" w:hAnsi="Times New Roman"/>
          <w:sz w:val="24"/>
          <w:szCs w:val="24"/>
          <w:lang w:val="en-US"/>
        </w:rPr>
        <w:t>.</w:t>
      </w:r>
      <w:r w:rsidR="00BC28E4">
        <w:rPr>
          <w:rFonts w:ascii="Times New Roman" w:hAnsi="Times New Roman"/>
          <w:sz w:val="24"/>
          <w:szCs w:val="24"/>
          <w:lang w:val="en-US"/>
        </w:rPr>
        <w:t>94</w:t>
      </w:r>
      <w:r w:rsidR="00A22678">
        <w:rPr>
          <w:rFonts w:ascii="Times New Roman" w:hAnsi="Times New Roman"/>
          <w:sz w:val="24"/>
          <w:szCs w:val="24"/>
          <w:lang w:val="en-US"/>
        </w:rPr>
        <w:t>% respectively)</w:t>
      </w:r>
      <w:r w:rsidR="00401FDE">
        <w:rPr>
          <w:rFonts w:ascii="Times New Roman" w:hAnsi="Times New Roman"/>
          <w:sz w:val="24"/>
          <w:szCs w:val="24"/>
          <w:lang w:val="en-US"/>
        </w:rPr>
        <w:t xml:space="preserve">, with </w:t>
      </w:r>
      <w:r w:rsidR="00B859C9">
        <w:rPr>
          <w:rFonts w:ascii="Times New Roman" w:hAnsi="Times New Roman"/>
          <w:sz w:val="24"/>
          <w:szCs w:val="24"/>
          <w:lang w:val="en-US"/>
        </w:rPr>
        <w:t xml:space="preserve">a </w:t>
      </w:r>
      <w:r w:rsidR="00401FDE">
        <w:rPr>
          <w:rFonts w:ascii="Times New Roman" w:hAnsi="Times New Roman"/>
          <w:sz w:val="24"/>
          <w:szCs w:val="24"/>
          <w:lang w:val="en-US"/>
        </w:rPr>
        <w:t xml:space="preserve">decreasing adjusted R-squared, suggesting that adding new variables in Step 3 does not improve the model. In </w:t>
      </w:r>
      <w:r w:rsidR="00816BA6">
        <w:rPr>
          <w:rFonts w:ascii="Times New Roman" w:hAnsi="Times New Roman"/>
          <w:sz w:val="24"/>
          <w:szCs w:val="24"/>
          <w:lang w:val="en-US"/>
        </w:rPr>
        <w:t>S</w:t>
      </w:r>
      <w:r w:rsidR="00401FDE">
        <w:rPr>
          <w:rFonts w:ascii="Times New Roman" w:hAnsi="Times New Roman"/>
          <w:sz w:val="24"/>
          <w:szCs w:val="24"/>
          <w:lang w:val="en-US"/>
        </w:rPr>
        <w:t>tep 4, price, urban density</w:t>
      </w:r>
      <w:r w:rsidR="00E05F48">
        <w:rPr>
          <w:rFonts w:ascii="Times New Roman" w:hAnsi="Times New Roman"/>
          <w:sz w:val="24"/>
          <w:szCs w:val="24"/>
          <w:lang w:val="en-US"/>
        </w:rPr>
        <w:t xml:space="preserve">, </w:t>
      </w:r>
      <w:r w:rsidR="00BC28E4">
        <w:rPr>
          <w:rFonts w:ascii="Times New Roman" w:hAnsi="Times New Roman"/>
          <w:sz w:val="24"/>
          <w:szCs w:val="24"/>
          <w:lang w:val="en-US"/>
        </w:rPr>
        <w:t xml:space="preserve">and both </w:t>
      </w:r>
      <w:r w:rsidR="00401FDE">
        <w:rPr>
          <w:rFonts w:ascii="Times New Roman" w:hAnsi="Times New Roman"/>
          <w:sz w:val="24"/>
          <w:szCs w:val="24"/>
          <w:lang w:val="en-US"/>
        </w:rPr>
        <w:t>interest score</w:t>
      </w:r>
      <w:r w:rsidR="00BC28E4">
        <w:rPr>
          <w:rFonts w:ascii="Times New Roman" w:hAnsi="Times New Roman"/>
          <w:sz w:val="24"/>
          <w:szCs w:val="24"/>
          <w:lang w:val="en-US"/>
        </w:rPr>
        <w:t xml:space="preserve"> and </w:t>
      </w:r>
      <w:r w:rsidR="00E05F48">
        <w:rPr>
          <w:rFonts w:ascii="Times New Roman" w:hAnsi="Times New Roman"/>
          <w:sz w:val="24"/>
          <w:szCs w:val="24"/>
          <w:lang w:val="en-US"/>
        </w:rPr>
        <w:t xml:space="preserve">electricity price </w:t>
      </w:r>
      <w:r w:rsidR="00401FDE">
        <w:rPr>
          <w:rFonts w:ascii="Times New Roman" w:hAnsi="Times New Roman"/>
          <w:sz w:val="24"/>
          <w:szCs w:val="24"/>
          <w:lang w:val="en-US"/>
        </w:rPr>
        <w:t xml:space="preserve">were excluded, </w:t>
      </w:r>
      <w:r w:rsidR="00816BA6">
        <w:rPr>
          <w:rFonts w:ascii="Times New Roman" w:hAnsi="Times New Roman"/>
          <w:sz w:val="24"/>
          <w:szCs w:val="24"/>
          <w:lang w:val="en-US"/>
        </w:rPr>
        <w:t>due to multicollinearity</w:t>
      </w:r>
      <w:r w:rsidR="00A22678">
        <w:rPr>
          <w:rFonts w:ascii="Times New Roman" w:hAnsi="Times New Roman"/>
          <w:sz w:val="24"/>
          <w:szCs w:val="24"/>
          <w:lang w:val="en-US"/>
        </w:rPr>
        <w:t xml:space="preserve"> with VAT amount, charging stations</w:t>
      </w:r>
      <w:r w:rsidR="00E05F48">
        <w:rPr>
          <w:rFonts w:ascii="Times New Roman" w:hAnsi="Times New Roman"/>
          <w:sz w:val="24"/>
          <w:szCs w:val="24"/>
          <w:lang w:val="en-US"/>
        </w:rPr>
        <w:t xml:space="preserve"> and </w:t>
      </w:r>
      <w:r w:rsidR="00F201CD">
        <w:rPr>
          <w:rFonts w:ascii="Times New Roman" w:hAnsi="Times New Roman"/>
          <w:sz w:val="24"/>
          <w:szCs w:val="24"/>
          <w:lang w:val="en-US"/>
        </w:rPr>
        <w:t xml:space="preserve">HOV/Bus </w:t>
      </w:r>
      <w:r w:rsidR="00E05F48">
        <w:rPr>
          <w:rFonts w:ascii="Times New Roman" w:hAnsi="Times New Roman"/>
          <w:sz w:val="24"/>
          <w:szCs w:val="24"/>
          <w:lang w:val="en-US"/>
        </w:rPr>
        <w:t>lane access</w:t>
      </w:r>
      <w:r w:rsidR="00A22678">
        <w:rPr>
          <w:rFonts w:ascii="Times New Roman" w:hAnsi="Times New Roman"/>
          <w:sz w:val="24"/>
          <w:szCs w:val="24"/>
          <w:lang w:val="en-US"/>
        </w:rPr>
        <w:t xml:space="preserve"> respectively.</w:t>
      </w:r>
      <w:r w:rsidR="00F97422">
        <w:rPr>
          <w:rFonts w:ascii="Times New Roman" w:hAnsi="Times New Roman"/>
          <w:sz w:val="24"/>
          <w:szCs w:val="24"/>
          <w:lang w:val="en-US"/>
        </w:rPr>
        <w:t xml:space="preserve"> Note that</w:t>
      </w:r>
      <w:r w:rsidR="00A22678">
        <w:rPr>
          <w:rFonts w:ascii="Times New Roman" w:hAnsi="Times New Roman"/>
          <w:sz w:val="24"/>
          <w:szCs w:val="24"/>
          <w:lang w:val="en-US"/>
        </w:rPr>
        <w:t xml:space="preserve"> </w:t>
      </w:r>
      <w:r w:rsidR="00B859C9">
        <w:rPr>
          <w:rFonts w:ascii="Times New Roman" w:hAnsi="Times New Roman"/>
          <w:sz w:val="24"/>
          <w:szCs w:val="24"/>
          <w:lang w:val="en-US"/>
        </w:rPr>
        <w:t xml:space="preserve">the </w:t>
      </w:r>
      <w:r w:rsidR="00F97422">
        <w:rPr>
          <w:rFonts w:ascii="Times New Roman" w:hAnsi="Times New Roman"/>
          <w:color w:val="000000"/>
          <w:sz w:val="24"/>
          <w:szCs w:val="24"/>
          <w:lang w:val="en-US"/>
        </w:rPr>
        <w:t xml:space="preserve">standard errors of the coefficients for correlating variables decreased substantially, e.g. </w:t>
      </w:r>
      <w:r w:rsidR="00F97422">
        <w:rPr>
          <w:rFonts w:ascii="Times New Roman" w:hAnsi="Times New Roman"/>
          <w:sz w:val="24"/>
          <w:szCs w:val="24"/>
          <w:lang w:val="en-US"/>
        </w:rPr>
        <w:t xml:space="preserve">that of </w:t>
      </w:r>
      <w:r w:rsidR="00F201CD">
        <w:rPr>
          <w:rFonts w:ascii="Times New Roman" w:hAnsi="Times New Roman"/>
          <w:sz w:val="24"/>
          <w:szCs w:val="24"/>
          <w:lang w:val="en-US"/>
        </w:rPr>
        <w:t xml:space="preserve">HOV/Bus </w:t>
      </w:r>
      <w:r w:rsidR="00F97422">
        <w:rPr>
          <w:rFonts w:ascii="Times New Roman" w:hAnsi="Times New Roman"/>
          <w:sz w:val="24"/>
          <w:szCs w:val="24"/>
          <w:lang w:val="en-US"/>
        </w:rPr>
        <w:t>lane access dropped from 0</w:t>
      </w:r>
      <w:r w:rsidR="00C65BE4">
        <w:rPr>
          <w:rFonts w:ascii="Times New Roman" w:hAnsi="Times New Roman"/>
          <w:sz w:val="24"/>
          <w:szCs w:val="24"/>
          <w:lang w:val="en-US"/>
        </w:rPr>
        <w:t>.</w:t>
      </w:r>
      <w:r w:rsidR="00F97422">
        <w:rPr>
          <w:rFonts w:ascii="Times New Roman" w:hAnsi="Times New Roman"/>
          <w:sz w:val="24"/>
          <w:szCs w:val="24"/>
          <w:lang w:val="en-US"/>
        </w:rPr>
        <w:t>433 to 0</w:t>
      </w:r>
      <w:r w:rsidR="00C65BE4">
        <w:rPr>
          <w:rFonts w:ascii="Times New Roman" w:hAnsi="Times New Roman"/>
          <w:sz w:val="24"/>
          <w:szCs w:val="24"/>
          <w:lang w:val="en-US"/>
        </w:rPr>
        <w:t>.</w:t>
      </w:r>
      <w:r w:rsidR="00F97422">
        <w:rPr>
          <w:rFonts w:ascii="Times New Roman" w:hAnsi="Times New Roman"/>
          <w:sz w:val="24"/>
          <w:szCs w:val="24"/>
          <w:lang w:val="en-US"/>
        </w:rPr>
        <w:t xml:space="preserve">287 (see Table </w:t>
      </w:r>
      <w:r w:rsidR="00ED7176">
        <w:rPr>
          <w:rFonts w:ascii="Times New Roman" w:hAnsi="Times New Roman"/>
          <w:sz w:val="24"/>
          <w:szCs w:val="24"/>
          <w:lang w:val="en-US"/>
        </w:rPr>
        <w:t>8</w:t>
      </w:r>
      <w:r w:rsidR="00F97422">
        <w:rPr>
          <w:rFonts w:ascii="Times New Roman" w:hAnsi="Times New Roman"/>
          <w:sz w:val="24"/>
          <w:szCs w:val="24"/>
          <w:lang w:val="en-US"/>
        </w:rPr>
        <w:t xml:space="preserve">). </w:t>
      </w:r>
      <w:r w:rsidR="00401FDE">
        <w:rPr>
          <w:rFonts w:ascii="Times New Roman" w:hAnsi="Times New Roman"/>
          <w:sz w:val="24"/>
          <w:szCs w:val="24"/>
          <w:lang w:val="en-US"/>
        </w:rPr>
        <w:t xml:space="preserve">In </w:t>
      </w:r>
      <w:r w:rsidR="00816BA6">
        <w:rPr>
          <w:rFonts w:ascii="Times New Roman" w:hAnsi="Times New Roman"/>
          <w:sz w:val="24"/>
          <w:szCs w:val="24"/>
          <w:lang w:val="en-US"/>
        </w:rPr>
        <w:t>S</w:t>
      </w:r>
      <w:r w:rsidR="00401FDE">
        <w:rPr>
          <w:rFonts w:ascii="Times New Roman" w:hAnsi="Times New Roman"/>
          <w:sz w:val="24"/>
          <w:szCs w:val="24"/>
          <w:lang w:val="en-US"/>
        </w:rPr>
        <w:t xml:space="preserve">tep 5, the final </w:t>
      </w:r>
      <w:r w:rsidR="00C06750">
        <w:rPr>
          <w:rFonts w:ascii="Times New Roman" w:hAnsi="Times New Roman"/>
          <w:sz w:val="24"/>
          <w:szCs w:val="24"/>
          <w:lang w:val="en-US"/>
        </w:rPr>
        <w:t xml:space="preserve">estimates of significant coefficients </w:t>
      </w:r>
      <w:r w:rsidR="00401FDE">
        <w:rPr>
          <w:rFonts w:ascii="Times New Roman" w:hAnsi="Times New Roman"/>
          <w:sz w:val="24"/>
          <w:szCs w:val="24"/>
          <w:lang w:val="en-US"/>
        </w:rPr>
        <w:t>w</w:t>
      </w:r>
      <w:r w:rsidR="00C06750">
        <w:rPr>
          <w:rFonts w:ascii="Times New Roman" w:hAnsi="Times New Roman"/>
          <w:sz w:val="24"/>
          <w:szCs w:val="24"/>
          <w:lang w:val="en-US"/>
        </w:rPr>
        <w:t>ere</w:t>
      </w:r>
      <w:r w:rsidR="00401FDE">
        <w:rPr>
          <w:rFonts w:ascii="Times New Roman" w:hAnsi="Times New Roman"/>
          <w:sz w:val="24"/>
          <w:szCs w:val="24"/>
          <w:lang w:val="en-US"/>
        </w:rPr>
        <w:t xml:space="preserve"> calculated. We notice that the estimates of coefficients are numerically similar across different specifications suggesting that they are reliably measured. The </w:t>
      </w:r>
      <w:r w:rsidR="004E51E0">
        <w:rPr>
          <w:rFonts w:ascii="Times New Roman" w:hAnsi="Times New Roman"/>
          <w:sz w:val="24"/>
          <w:szCs w:val="24"/>
          <w:lang w:val="en-US"/>
        </w:rPr>
        <w:t xml:space="preserve">adjusted </w:t>
      </w:r>
      <w:r w:rsidR="00401FDE">
        <w:rPr>
          <w:rFonts w:ascii="Times New Roman" w:hAnsi="Times New Roman"/>
          <w:sz w:val="24"/>
          <w:szCs w:val="24"/>
          <w:lang w:val="en-US"/>
        </w:rPr>
        <w:t xml:space="preserve">R-squared </w:t>
      </w:r>
      <w:r w:rsidR="00495107">
        <w:rPr>
          <w:rFonts w:ascii="Times New Roman" w:hAnsi="Times New Roman"/>
          <w:sz w:val="24"/>
          <w:szCs w:val="24"/>
          <w:lang w:val="en-US"/>
        </w:rPr>
        <w:t>of</w:t>
      </w:r>
      <w:r w:rsidR="00401FDE">
        <w:rPr>
          <w:rFonts w:ascii="Times New Roman" w:hAnsi="Times New Roman"/>
          <w:sz w:val="24"/>
          <w:szCs w:val="24"/>
          <w:lang w:val="en-US"/>
        </w:rPr>
        <w:t xml:space="preserve"> Specification 4 </w:t>
      </w:r>
      <w:r w:rsidR="00495107">
        <w:rPr>
          <w:rFonts w:ascii="Times New Roman" w:hAnsi="Times New Roman"/>
          <w:sz w:val="24"/>
          <w:szCs w:val="24"/>
          <w:lang w:val="en-US"/>
        </w:rPr>
        <w:t>(</w:t>
      </w:r>
      <w:r w:rsidR="004E51E0">
        <w:rPr>
          <w:rFonts w:ascii="Times New Roman" w:hAnsi="Times New Roman"/>
          <w:sz w:val="24"/>
          <w:szCs w:val="24"/>
          <w:lang w:val="en-US"/>
        </w:rPr>
        <w:t>58</w:t>
      </w:r>
      <w:r w:rsidR="00C65BE4">
        <w:rPr>
          <w:rFonts w:ascii="Times New Roman" w:hAnsi="Times New Roman"/>
          <w:sz w:val="24"/>
          <w:szCs w:val="24"/>
          <w:lang w:val="en-US"/>
        </w:rPr>
        <w:t>.</w:t>
      </w:r>
      <w:r w:rsidR="004E51E0">
        <w:rPr>
          <w:rFonts w:ascii="Times New Roman" w:hAnsi="Times New Roman"/>
          <w:sz w:val="24"/>
          <w:szCs w:val="24"/>
          <w:lang w:val="en-US"/>
        </w:rPr>
        <w:t>21</w:t>
      </w:r>
      <w:r w:rsidR="00495107">
        <w:rPr>
          <w:rFonts w:ascii="Times New Roman" w:hAnsi="Times New Roman"/>
          <w:sz w:val="24"/>
          <w:szCs w:val="24"/>
          <w:lang w:val="en-US"/>
        </w:rPr>
        <w:t xml:space="preserve">%) </w:t>
      </w:r>
      <w:r w:rsidR="00401FDE">
        <w:rPr>
          <w:rFonts w:ascii="Times New Roman" w:hAnsi="Times New Roman"/>
          <w:sz w:val="24"/>
          <w:szCs w:val="24"/>
          <w:lang w:val="en-US"/>
        </w:rPr>
        <w:t xml:space="preserve">and 5 </w:t>
      </w:r>
      <w:r w:rsidR="00495107">
        <w:rPr>
          <w:rFonts w:ascii="Times New Roman" w:hAnsi="Times New Roman"/>
          <w:sz w:val="24"/>
          <w:szCs w:val="24"/>
          <w:lang w:val="en-US"/>
        </w:rPr>
        <w:t>(5</w:t>
      </w:r>
      <w:r w:rsidR="004E51E0">
        <w:rPr>
          <w:rFonts w:ascii="Times New Roman" w:hAnsi="Times New Roman"/>
          <w:sz w:val="24"/>
          <w:szCs w:val="24"/>
          <w:lang w:val="en-US"/>
        </w:rPr>
        <w:t>7</w:t>
      </w:r>
      <w:r w:rsidR="00C65BE4">
        <w:rPr>
          <w:rFonts w:ascii="Times New Roman" w:hAnsi="Times New Roman"/>
          <w:sz w:val="24"/>
          <w:szCs w:val="24"/>
          <w:lang w:val="en-US"/>
        </w:rPr>
        <w:t>.</w:t>
      </w:r>
      <w:r w:rsidR="004E51E0">
        <w:rPr>
          <w:rFonts w:ascii="Times New Roman" w:hAnsi="Times New Roman"/>
          <w:sz w:val="24"/>
          <w:szCs w:val="24"/>
          <w:lang w:val="en-US"/>
        </w:rPr>
        <w:t>8</w:t>
      </w:r>
      <w:r w:rsidR="00495107">
        <w:rPr>
          <w:rFonts w:ascii="Times New Roman" w:hAnsi="Times New Roman"/>
          <w:sz w:val="24"/>
          <w:szCs w:val="24"/>
          <w:lang w:val="en-US"/>
        </w:rPr>
        <w:t>6%) are</w:t>
      </w:r>
      <w:r w:rsidR="00401FDE">
        <w:rPr>
          <w:rFonts w:ascii="Times New Roman" w:hAnsi="Times New Roman"/>
          <w:sz w:val="24"/>
          <w:szCs w:val="24"/>
          <w:lang w:val="en-US"/>
        </w:rPr>
        <w:t xml:space="preserve"> also approximately the same, showing that insignificant variables do not contribute much to the explanatory power of the model.</w:t>
      </w:r>
      <w:r w:rsidR="00675FB9">
        <w:rPr>
          <w:rFonts w:ascii="Times New Roman" w:hAnsi="Times New Roman"/>
          <w:sz w:val="24"/>
          <w:szCs w:val="24"/>
          <w:lang w:val="en-US"/>
        </w:rPr>
        <w:t xml:space="preserve"> </w:t>
      </w:r>
      <w:r w:rsidR="00692410">
        <w:rPr>
          <w:rFonts w:ascii="Times New Roman" w:hAnsi="Times New Roman"/>
          <w:sz w:val="24"/>
          <w:szCs w:val="24"/>
          <w:lang w:val="en-US"/>
        </w:rPr>
        <w:t xml:space="preserve">Furthermore, the influence </w:t>
      </w:r>
      <w:r w:rsidR="00495107">
        <w:rPr>
          <w:rFonts w:ascii="Times New Roman" w:hAnsi="Times New Roman"/>
          <w:sz w:val="24"/>
          <w:szCs w:val="24"/>
          <w:lang w:val="en-US"/>
        </w:rPr>
        <w:t xml:space="preserve">of the </w:t>
      </w:r>
      <w:r w:rsidR="00692410">
        <w:rPr>
          <w:rFonts w:ascii="Times New Roman" w:hAnsi="Times New Roman"/>
          <w:sz w:val="24"/>
          <w:szCs w:val="24"/>
          <w:lang w:val="en-US"/>
        </w:rPr>
        <w:t xml:space="preserve">individual </w:t>
      </w:r>
      <w:r w:rsidR="00495107">
        <w:rPr>
          <w:rFonts w:ascii="Times New Roman" w:hAnsi="Times New Roman"/>
          <w:sz w:val="24"/>
          <w:szCs w:val="24"/>
          <w:lang w:val="en-US"/>
        </w:rPr>
        <w:t xml:space="preserve">significant variables </w:t>
      </w:r>
      <w:r w:rsidR="00692410">
        <w:rPr>
          <w:rFonts w:ascii="Times New Roman" w:hAnsi="Times New Roman"/>
          <w:sz w:val="24"/>
          <w:szCs w:val="24"/>
          <w:lang w:val="en-US"/>
        </w:rPr>
        <w:t xml:space="preserve">was analyzed. </w:t>
      </w:r>
      <w:r w:rsidR="00F97422">
        <w:rPr>
          <w:rFonts w:ascii="Times New Roman" w:hAnsi="Times New Roman"/>
          <w:sz w:val="24"/>
          <w:szCs w:val="24"/>
          <w:lang w:val="en-US"/>
        </w:rPr>
        <w:t xml:space="preserve">From the analysis summary in Table </w:t>
      </w:r>
      <w:r w:rsidR="00E42DF0">
        <w:rPr>
          <w:rFonts w:ascii="Times New Roman" w:hAnsi="Times New Roman"/>
          <w:sz w:val="24"/>
          <w:szCs w:val="24"/>
          <w:lang w:val="en-US"/>
        </w:rPr>
        <w:t xml:space="preserve">9 </w:t>
      </w:r>
      <w:r w:rsidR="00F97422">
        <w:rPr>
          <w:rFonts w:ascii="Times New Roman" w:hAnsi="Times New Roman"/>
          <w:sz w:val="24"/>
          <w:szCs w:val="24"/>
          <w:lang w:val="en-US"/>
        </w:rPr>
        <w:t>i</w:t>
      </w:r>
      <w:r w:rsidR="00692410">
        <w:rPr>
          <w:rFonts w:ascii="Times New Roman" w:hAnsi="Times New Roman"/>
          <w:sz w:val="24"/>
          <w:szCs w:val="24"/>
          <w:lang w:val="en-US"/>
        </w:rPr>
        <w:t xml:space="preserve">t can be concluded that </w:t>
      </w:r>
      <w:proofErr w:type="spellStart"/>
      <w:r w:rsidR="00692410">
        <w:rPr>
          <w:rFonts w:ascii="Times New Roman" w:hAnsi="Times New Roman"/>
          <w:sz w:val="24"/>
          <w:szCs w:val="24"/>
          <w:lang w:val="en-US"/>
        </w:rPr>
        <w:t>ch</w:t>
      </w:r>
      <w:proofErr w:type="spellEnd"/>
      <w:r w:rsidR="00692410">
        <w:rPr>
          <w:rFonts w:ascii="Times New Roman" w:hAnsi="Times New Roman"/>
          <w:sz w:val="24"/>
          <w:szCs w:val="24"/>
          <w:lang w:val="en-US"/>
        </w:rPr>
        <w:t xml:space="preserve"> stations is </w:t>
      </w:r>
      <w:r w:rsidR="00B63BC5">
        <w:rPr>
          <w:rFonts w:ascii="Times New Roman" w:hAnsi="Times New Roman"/>
          <w:sz w:val="24"/>
          <w:szCs w:val="24"/>
          <w:lang w:val="en-US"/>
        </w:rPr>
        <w:t xml:space="preserve">a </w:t>
      </w:r>
      <w:r w:rsidR="00692410">
        <w:rPr>
          <w:rFonts w:ascii="Times New Roman" w:hAnsi="Times New Roman"/>
          <w:sz w:val="24"/>
          <w:szCs w:val="24"/>
          <w:lang w:val="en-US"/>
        </w:rPr>
        <w:t>much stronger</w:t>
      </w:r>
      <w:r w:rsidR="00B63BC5">
        <w:rPr>
          <w:rFonts w:ascii="Times New Roman" w:hAnsi="Times New Roman"/>
          <w:sz w:val="24"/>
          <w:szCs w:val="24"/>
          <w:lang w:val="en-US"/>
        </w:rPr>
        <w:t xml:space="preserve"> factor</w:t>
      </w:r>
      <w:r w:rsidR="00464E6D">
        <w:rPr>
          <w:rFonts w:ascii="Times New Roman" w:hAnsi="Times New Roman"/>
          <w:sz w:val="24"/>
          <w:szCs w:val="24"/>
          <w:lang w:val="en-US"/>
        </w:rPr>
        <w:t xml:space="preserve"> i</w:t>
      </w:r>
      <w:r w:rsidR="00B63BC5">
        <w:rPr>
          <w:rFonts w:ascii="Times New Roman" w:hAnsi="Times New Roman"/>
          <w:sz w:val="24"/>
          <w:szCs w:val="24"/>
          <w:lang w:val="en-US"/>
        </w:rPr>
        <w:t xml:space="preserve">n explaining BEV sales </w:t>
      </w:r>
      <w:r w:rsidR="00692410">
        <w:rPr>
          <w:rFonts w:ascii="Times New Roman" w:hAnsi="Times New Roman"/>
          <w:sz w:val="24"/>
          <w:szCs w:val="24"/>
          <w:lang w:val="en-US"/>
        </w:rPr>
        <w:t xml:space="preserve">than government grant, whereas </w:t>
      </w:r>
      <w:r w:rsidR="00F201CD">
        <w:rPr>
          <w:rFonts w:ascii="Times New Roman" w:hAnsi="Times New Roman"/>
          <w:sz w:val="24"/>
          <w:szCs w:val="24"/>
          <w:lang w:val="en-US"/>
        </w:rPr>
        <w:t xml:space="preserve">HOV/Bus </w:t>
      </w:r>
      <w:r w:rsidR="00692410">
        <w:rPr>
          <w:rFonts w:ascii="Times New Roman" w:hAnsi="Times New Roman"/>
          <w:sz w:val="24"/>
          <w:szCs w:val="24"/>
          <w:lang w:val="en-US"/>
        </w:rPr>
        <w:t xml:space="preserve">lane access and driving range are almost equally influential.  </w:t>
      </w:r>
    </w:p>
    <w:p w:rsidR="00A96B87" w:rsidRDefault="0022266A" w:rsidP="00A96B87">
      <w:pPr>
        <w:spacing w:after="120"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T</w:t>
      </w:r>
      <w:r w:rsidR="00E3141F" w:rsidRPr="00E3141F">
        <w:rPr>
          <w:rFonts w:ascii="Times New Roman" w:hAnsi="Times New Roman"/>
          <w:color w:val="000000"/>
          <w:sz w:val="24"/>
          <w:szCs w:val="24"/>
          <w:lang w:val="en-US"/>
        </w:rPr>
        <w:t xml:space="preserve">o study the influence of </w:t>
      </w:r>
      <w:r w:rsidR="00054C06">
        <w:rPr>
          <w:rFonts w:ascii="Times New Roman" w:hAnsi="Times New Roman"/>
          <w:color w:val="000000"/>
          <w:sz w:val="24"/>
          <w:szCs w:val="24"/>
          <w:lang w:val="en-US"/>
        </w:rPr>
        <w:t>the layout of charging stations</w:t>
      </w:r>
      <w:r w:rsidR="00E3141F" w:rsidRPr="00E3141F">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we </w:t>
      </w:r>
      <w:r w:rsidR="00054C06">
        <w:rPr>
          <w:rFonts w:ascii="Times New Roman" w:hAnsi="Times New Roman"/>
          <w:color w:val="000000"/>
          <w:sz w:val="24"/>
          <w:szCs w:val="24"/>
          <w:lang w:val="en-US"/>
        </w:rPr>
        <w:t xml:space="preserve">substituted the variable representing overall charging infrastructure in a country (‘charging stations’) with </w:t>
      </w:r>
      <w:r>
        <w:rPr>
          <w:rFonts w:ascii="Times New Roman" w:hAnsi="Times New Roman"/>
          <w:color w:val="000000"/>
          <w:sz w:val="24"/>
          <w:szCs w:val="24"/>
          <w:lang w:val="en-US"/>
        </w:rPr>
        <w:t xml:space="preserve">the </w:t>
      </w:r>
      <w:r w:rsidR="00054C06">
        <w:rPr>
          <w:rFonts w:ascii="Times New Roman" w:hAnsi="Times New Roman"/>
          <w:color w:val="000000"/>
          <w:sz w:val="24"/>
          <w:szCs w:val="24"/>
          <w:lang w:val="en-US"/>
        </w:rPr>
        <w:t xml:space="preserve">more precise </w:t>
      </w:r>
      <w:r>
        <w:rPr>
          <w:rFonts w:ascii="Times New Roman" w:hAnsi="Times New Roman"/>
          <w:color w:val="000000"/>
          <w:sz w:val="24"/>
          <w:szCs w:val="24"/>
          <w:lang w:val="en-US"/>
        </w:rPr>
        <w:t xml:space="preserve">variable representing </w:t>
      </w:r>
      <w:r w:rsidR="00054C06">
        <w:rPr>
          <w:rFonts w:ascii="Times New Roman" w:hAnsi="Times New Roman"/>
          <w:color w:val="000000"/>
          <w:sz w:val="24"/>
          <w:szCs w:val="24"/>
          <w:lang w:val="en-US"/>
        </w:rPr>
        <w:t xml:space="preserve">only </w:t>
      </w:r>
      <w:r w:rsidR="00E3141F" w:rsidRPr="00E3141F">
        <w:rPr>
          <w:rFonts w:ascii="Times New Roman" w:hAnsi="Times New Roman"/>
          <w:color w:val="000000"/>
          <w:sz w:val="24"/>
          <w:szCs w:val="24"/>
          <w:lang w:val="en-US"/>
        </w:rPr>
        <w:t>fast</w:t>
      </w:r>
      <w:r w:rsidR="00287DC8">
        <w:rPr>
          <w:rFonts w:ascii="Times New Roman" w:hAnsi="Times New Roman"/>
          <w:color w:val="000000"/>
          <w:sz w:val="24"/>
          <w:szCs w:val="24"/>
          <w:lang w:val="en-US"/>
        </w:rPr>
        <w:t>-</w:t>
      </w:r>
      <w:r w:rsidR="00E3141F" w:rsidRPr="00E3141F">
        <w:rPr>
          <w:rFonts w:ascii="Times New Roman" w:hAnsi="Times New Roman"/>
          <w:color w:val="000000"/>
          <w:sz w:val="24"/>
          <w:szCs w:val="24"/>
          <w:lang w:val="en-US"/>
        </w:rPr>
        <w:t xml:space="preserve">charging </w:t>
      </w:r>
      <w:r w:rsidR="00054C06">
        <w:rPr>
          <w:rFonts w:ascii="Times New Roman" w:hAnsi="Times New Roman"/>
          <w:color w:val="000000"/>
          <w:sz w:val="24"/>
          <w:szCs w:val="24"/>
          <w:lang w:val="en-US"/>
        </w:rPr>
        <w:t>stations (‘fast</w:t>
      </w:r>
      <w:r w:rsidR="00287DC8">
        <w:rPr>
          <w:rFonts w:ascii="Times New Roman" w:hAnsi="Times New Roman"/>
          <w:color w:val="000000"/>
          <w:sz w:val="24"/>
          <w:szCs w:val="24"/>
          <w:lang w:val="en-US"/>
        </w:rPr>
        <w:t>-</w:t>
      </w:r>
      <w:r w:rsidR="00054C06">
        <w:rPr>
          <w:rFonts w:ascii="Times New Roman" w:hAnsi="Times New Roman"/>
          <w:color w:val="000000"/>
          <w:sz w:val="24"/>
          <w:szCs w:val="24"/>
          <w:lang w:val="en-US"/>
        </w:rPr>
        <w:t>charging stations’)</w:t>
      </w:r>
      <w:r w:rsidR="00E3141F" w:rsidRPr="00E3141F">
        <w:rPr>
          <w:rFonts w:ascii="Times New Roman" w:hAnsi="Times New Roman"/>
          <w:color w:val="000000"/>
          <w:sz w:val="24"/>
          <w:szCs w:val="24"/>
          <w:lang w:val="en-US"/>
        </w:rPr>
        <w:t>. T</w:t>
      </w:r>
      <w:r w:rsidR="0056759A">
        <w:rPr>
          <w:rFonts w:ascii="Times New Roman" w:hAnsi="Times New Roman"/>
          <w:color w:val="000000"/>
          <w:sz w:val="24"/>
          <w:szCs w:val="24"/>
          <w:lang w:val="en-US"/>
        </w:rPr>
        <w:t xml:space="preserve">he </w:t>
      </w:r>
      <w:r w:rsidR="00E3141F" w:rsidRPr="00E3141F">
        <w:rPr>
          <w:rFonts w:ascii="Times New Roman" w:hAnsi="Times New Roman"/>
          <w:color w:val="000000"/>
          <w:sz w:val="24"/>
          <w:szCs w:val="24"/>
          <w:lang w:val="en-US"/>
        </w:rPr>
        <w:lastRenderedPageBreak/>
        <w:t xml:space="preserve">results </w:t>
      </w:r>
      <w:r w:rsidR="0056759A">
        <w:rPr>
          <w:rFonts w:ascii="Times New Roman" w:hAnsi="Times New Roman"/>
          <w:color w:val="000000"/>
          <w:sz w:val="24"/>
          <w:szCs w:val="24"/>
          <w:lang w:val="en-US"/>
        </w:rPr>
        <w:t>of</w:t>
      </w:r>
      <w:r w:rsidR="00E3141F" w:rsidRPr="00E3141F">
        <w:rPr>
          <w:rFonts w:ascii="Times New Roman" w:hAnsi="Times New Roman"/>
          <w:color w:val="000000"/>
          <w:sz w:val="24"/>
          <w:szCs w:val="24"/>
          <w:lang w:val="en-US"/>
        </w:rPr>
        <w:t xml:space="preserve"> new specification</w:t>
      </w:r>
      <w:r w:rsidR="00BF2DE8">
        <w:rPr>
          <w:rFonts w:ascii="Times New Roman" w:hAnsi="Times New Roman"/>
          <w:color w:val="000000"/>
          <w:sz w:val="24"/>
          <w:szCs w:val="24"/>
          <w:lang w:val="en-US"/>
        </w:rPr>
        <w:t>s</w:t>
      </w:r>
      <w:r w:rsidR="00E3141F" w:rsidRPr="00E3141F">
        <w:rPr>
          <w:rFonts w:ascii="Times New Roman" w:hAnsi="Times New Roman"/>
          <w:color w:val="000000"/>
          <w:sz w:val="24"/>
          <w:szCs w:val="24"/>
          <w:lang w:val="en-US"/>
        </w:rPr>
        <w:t xml:space="preserve"> </w:t>
      </w:r>
      <w:r w:rsidR="00BF2DE8">
        <w:rPr>
          <w:rFonts w:ascii="Times New Roman" w:hAnsi="Times New Roman"/>
          <w:color w:val="000000"/>
          <w:sz w:val="24"/>
          <w:szCs w:val="24"/>
          <w:lang w:val="en-US"/>
        </w:rPr>
        <w:t xml:space="preserve">(Step 1 – Step 5) </w:t>
      </w:r>
      <w:r w:rsidR="0056759A">
        <w:rPr>
          <w:rFonts w:ascii="Times New Roman" w:hAnsi="Times New Roman"/>
          <w:color w:val="000000"/>
          <w:sz w:val="24"/>
          <w:szCs w:val="24"/>
          <w:lang w:val="en-US"/>
        </w:rPr>
        <w:t>were summarized</w:t>
      </w:r>
      <w:r w:rsidR="00E3141F" w:rsidRPr="00E3141F">
        <w:rPr>
          <w:rFonts w:ascii="Times New Roman" w:hAnsi="Times New Roman"/>
          <w:color w:val="000000"/>
          <w:sz w:val="24"/>
          <w:szCs w:val="24"/>
          <w:lang w:val="en-US"/>
        </w:rPr>
        <w:t xml:space="preserve"> </w:t>
      </w:r>
      <w:r w:rsidR="00401FDE">
        <w:rPr>
          <w:rFonts w:ascii="Times New Roman" w:hAnsi="Times New Roman"/>
          <w:color w:val="000000"/>
          <w:sz w:val="24"/>
          <w:szCs w:val="24"/>
          <w:lang w:val="en-US"/>
        </w:rPr>
        <w:t>in Table</w:t>
      </w:r>
      <w:r w:rsidR="00956DCB">
        <w:rPr>
          <w:rFonts w:ascii="Times New Roman" w:hAnsi="Times New Roman"/>
          <w:color w:val="000000"/>
          <w:sz w:val="24"/>
          <w:szCs w:val="24"/>
          <w:lang w:val="en-US"/>
        </w:rPr>
        <w:t xml:space="preserve"> </w:t>
      </w:r>
      <w:r w:rsidR="00E42DF0">
        <w:rPr>
          <w:rFonts w:ascii="Times New Roman" w:hAnsi="Times New Roman"/>
          <w:color w:val="000000"/>
          <w:sz w:val="24"/>
          <w:szCs w:val="24"/>
          <w:lang w:val="en-US"/>
        </w:rPr>
        <w:t>10</w:t>
      </w:r>
      <w:r w:rsidR="00CE4A3F">
        <w:rPr>
          <w:rFonts w:ascii="Times New Roman" w:hAnsi="Times New Roman"/>
          <w:color w:val="000000"/>
          <w:sz w:val="24"/>
          <w:szCs w:val="24"/>
          <w:lang w:val="en-US"/>
        </w:rPr>
        <w:t xml:space="preserve"> (see Appendix</w:t>
      </w:r>
      <w:r w:rsidR="00B02056">
        <w:rPr>
          <w:rFonts w:ascii="Times New Roman" w:hAnsi="Times New Roman"/>
          <w:color w:val="000000"/>
          <w:sz w:val="24"/>
          <w:szCs w:val="24"/>
          <w:lang w:val="en-US"/>
        </w:rPr>
        <w:t xml:space="preserve"> </w:t>
      </w:r>
      <w:r w:rsidR="00ED7176">
        <w:rPr>
          <w:rFonts w:ascii="Times New Roman" w:hAnsi="Times New Roman"/>
          <w:color w:val="000000"/>
          <w:sz w:val="24"/>
          <w:szCs w:val="24"/>
          <w:lang w:val="en-US"/>
        </w:rPr>
        <w:t>8</w:t>
      </w:r>
      <w:r w:rsidR="00B02056">
        <w:rPr>
          <w:rFonts w:ascii="Times New Roman" w:hAnsi="Times New Roman"/>
          <w:color w:val="000000"/>
          <w:sz w:val="24"/>
          <w:szCs w:val="24"/>
          <w:lang w:val="en-US"/>
        </w:rPr>
        <w:t>.3</w:t>
      </w:r>
      <w:r w:rsidR="00CE4A3F">
        <w:rPr>
          <w:rFonts w:ascii="Times New Roman" w:hAnsi="Times New Roman"/>
          <w:color w:val="000000"/>
          <w:sz w:val="24"/>
          <w:szCs w:val="24"/>
          <w:lang w:val="en-US"/>
        </w:rPr>
        <w:t>)</w:t>
      </w:r>
      <w:r w:rsidR="00401FDE">
        <w:rPr>
          <w:rFonts w:ascii="Times New Roman" w:hAnsi="Times New Roman"/>
          <w:color w:val="000000"/>
          <w:sz w:val="24"/>
          <w:szCs w:val="24"/>
          <w:lang w:val="en-US"/>
        </w:rPr>
        <w:t xml:space="preserve">. Comparing </w:t>
      </w:r>
      <w:r w:rsidR="0056759A">
        <w:rPr>
          <w:rFonts w:ascii="Times New Roman" w:hAnsi="Times New Roman"/>
          <w:color w:val="000000"/>
          <w:sz w:val="24"/>
          <w:szCs w:val="24"/>
          <w:lang w:val="en-US"/>
        </w:rPr>
        <w:t>the g</w:t>
      </w:r>
      <w:r w:rsidR="00401FDE">
        <w:rPr>
          <w:rFonts w:ascii="Times New Roman" w:hAnsi="Times New Roman"/>
          <w:color w:val="000000"/>
          <w:sz w:val="24"/>
          <w:szCs w:val="24"/>
          <w:lang w:val="en-US"/>
        </w:rPr>
        <w:t>oodness</w:t>
      </w:r>
      <w:r w:rsidR="0056759A">
        <w:rPr>
          <w:rFonts w:ascii="Times New Roman" w:hAnsi="Times New Roman"/>
          <w:color w:val="000000"/>
          <w:sz w:val="24"/>
          <w:szCs w:val="24"/>
          <w:lang w:val="en-US"/>
        </w:rPr>
        <w:t>-</w:t>
      </w:r>
      <w:r w:rsidR="00401FDE">
        <w:rPr>
          <w:rFonts w:ascii="Times New Roman" w:hAnsi="Times New Roman"/>
          <w:color w:val="000000"/>
          <w:sz w:val="24"/>
          <w:szCs w:val="24"/>
          <w:lang w:val="en-US"/>
        </w:rPr>
        <w:t>of</w:t>
      </w:r>
      <w:r w:rsidR="0056759A">
        <w:rPr>
          <w:rFonts w:ascii="Times New Roman" w:hAnsi="Times New Roman"/>
          <w:color w:val="000000"/>
          <w:sz w:val="24"/>
          <w:szCs w:val="24"/>
          <w:lang w:val="en-US"/>
        </w:rPr>
        <w:t>-</w:t>
      </w:r>
      <w:r w:rsidR="00401FDE">
        <w:rPr>
          <w:rFonts w:ascii="Times New Roman" w:hAnsi="Times New Roman"/>
          <w:color w:val="000000"/>
          <w:sz w:val="24"/>
          <w:szCs w:val="24"/>
          <w:lang w:val="en-US"/>
        </w:rPr>
        <w:t xml:space="preserve">fit </w:t>
      </w:r>
      <w:r w:rsidR="0056759A">
        <w:rPr>
          <w:rFonts w:ascii="Times New Roman" w:hAnsi="Times New Roman"/>
          <w:color w:val="000000"/>
          <w:sz w:val="24"/>
          <w:szCs w:val="24"/>
          <w:lang w:val="en-US"/>
        </w:rPr>
        <w:t xml:space="preserve">measures </w:t>
      </w:r>
      <w:r w:rsidR="00401FDE">
        <w:rPr>
          <w:rFonts w:ascii="Times New Roman" w:hAnsi="Times New Roman"/>
          <w:color w:val="000000"/>
          <w:sz w:val="24"/>
          <w:szCs w:val="24"/>
          <w:lang w:val="en-US"/>
        </w:rPr>
        <w:t xml:space="preserve">of </w:t>
      </w:r>
      <w:r w:rsidR="0056759A">
        <w:rPr>
          <w:rFonts w:ascii="Times New Roman" w:hAnsi="Times New Roman"/>
          <w:color w:val="000000"/>
          <w:sz w:val="24"/>
          <w:szCs w:val="24"/>
          <w:lang w:val="en-US"/>
        </w:rPr>
        <w:t xml:space="preserve">the </w:t>
      </w:r>
      <w:r w:rsidR="00401FDE">
        <w:rPr>
          <w:rFonts w:ascii="Times New Roman" w:hAnsi="Times New Roman"/>
          <w:color w:val="000000"/>
          <w:sz w:val="24"/>
          <w:szCs w:val="24"/>
          <w:lang w:val="en-US"/>
        </w:rPr>
        <w:t>specifications with ‘charging stations’ and ‘fast</w:t>
      </w:r>
      <w:r w:rsidR="00287DC8">
        <w:rPr>
          <w:rFonts w:ascii="Times New Roman" w:hAnsi="Times New Roman"/>
          <w:color w:val="000000"/>
          <w:sz w:val="24"/>
          <w:szCs w:val="24"/>
          <w:lang w:val="en-US"/>
        </w:rPr>
        <w:t>-</w:t>
      </w:r>
      <w:r w:rsidR="00401FDE">
        <w:rPr>
          <w:rFonts w:ascii="Times New Roman" w:hAnsi="Times New Roman"/>
          <w:color w:val="000000"/>
          <w:sz w:val="24"/>
          <w:szCs w:val="24"/>
          <w:lang w:val="en-US"/>
        </w:rPr>
        <w:t>charging stations’, we see that base models (Step 1) have almost the same R-squared</w:t>
      </w:r>
      <w:r w:rsidR="00026825">
        <w:rPr>
          <w:rFonts w:ascii="Times New Roman" w:hAnsi="Times New Roman"/>
          <w:color w:val="000000"/>
          <w:sz w:val="24"/>
          <w:szCs w:val="24"/>
          <w:lang w:val="en-US"/>
        </w:rPr>
        <w:t xml:space="preserve"> (</w:t>
      </w:r>
      <w:r w:rsidR="000C57D7">
        <w:rPr>
          <w:rFonts w:ascii="Times New Roman" w:hAnsi="Times New Roman"/>
          <w:color w:val="000000"/>
          <w:sz w:val="24"/>
          <w:szCs w:val="24"/>
          <w:lang w:val="en-US"/>
        </w:rPr>
        <w:t>53</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78</w:t>
      </w:r>
      <w:r w:rsidR="00026825">
        <w:rPr>
          <w:rFonts w:ascii="Times New Roman" w:hAnsi="Times New Roman"/>
          <w:color w:val="000000"/>
          <w:sz w:val="24"/>
          <w:szCs w:val="24"/>
          <w:lang w:val="en-US"/>
        </w:rPr>
        <w:t>% and 5</w:t>
      </w:r>
      <w:r w:rsidR="000C57D7">
        <w:rPr>
          <w:rFonts w:ascii="Times New Roman" w:hAnsi="Times New Roman"/>
          <w:color w:val="000000"/>
          <w:sz w:val="24"/>
          <w:szCs w:val="24"/>
          <w:lang w:val="en-US"/>
        </w:rPr>
        <w:t>3</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93</w:t>
      </w:r>
      <w:r w:rsidR="00026825">
        <w:rPr>
          <w:rFonts w:ascii="Times New Roman" w:hAnsi="Times New Roman"/>
          <w:color w:val="000000"/>
          <w:sz w:val="24"/>
          <w:szCs w:val="24"/>
          <w:lang w:val="en-US"/>
        </w:rPr>
        <w:t>%)</w:t>
      </w:r>
      <w:r w:rsidR="0056759A">
        <w:rPr>
          <w:rFonts w:ascii="Times New Roman" w:hAnsi="Times New Roman"/>
          <w:color w:val="000000"/>
          <w:sz w:val="24"/>
          <w:szCs w:val="24"/>
          <w:lang w:val="en-US"/>
        </w:rPr>
        <w:t xml:space="preserve">. But in the model </w:t>
      </w:r>
      <w:r w:rsidR="00401FDE">
        <w:rPr>
          <w:rFonts w:ascii="Times New Roman" w:hAnsi="Times New Roman"/>
          <w:color w:val="000000"/>
          <w:sz w:val="24"/>
          <w:szCs w:val="24"/>
          <w:lang w:val="en-US"/>
        </w:rPr>
        <w:t>with ‘fast</w:t>
      </w:r>
      <w:r w:rsidR="00287DC8">
        <w:rPr>
          <w:rFonts w:ascii="Times New Roman" w:hAnsi="Times New Roman"/>
          <w:color w:val="000000"/>
          <w:sz w:val="24"/>
          <w:szCs w:val="24"/>
          <w:lang w:val="en-US"/>
        </w:rPr>
        <w:t>-</w:t>
      </w:r>
      <w:r w:rsidR="00401FDE">
        <w:rPr>
          <w:rFonts w:ascii="Times New Roman" w:hAnsi="Times New Roman"/>
          <w:color w:val="000000"/>
          <w:sz w:val="24"/>
          <w:szCs w:val="24"/>
          <w:lang w:val="en-US"/>
        </w:rPr>
        <w:t xml:space="preserve">charging stations’ both government grant and price become insignificant. We exclude price </w:t>
      </w:r>
      <w:r w:rsidR="0056759A">
        <w:rPr>
          <w:rFonts w:ascii="Times New Roman" w:hAnsi="Times New Roman"/>
          <w:color w:val="000000"/>
          <w:sz w:val="24"/>
          <w:szCs w:val="24"/>
          <w:lang w:val="en-US"/>
        </w:rPr>
        <w:t>already at Step 2,</w:t>
      </w:r>
      <w:r w:rsidR="00401FDE">
        <w:rPr>
          <w:rFonts w:ascii="Times New Roman" w:hAnsi="Times New Roman"/>
          <w:color w:val="000000"/>
          <w:sz w:val="24"/>
          <w:szCs w:val="24"/>
          <w:lang w:val="en-US"/>
        </w:rPr>
        <w:t xml:space="preserve"> to avoid the multicollinearity with </w:t>
      </w:r>
      <w:r w:rsidR="0056759A">
        <w:rPr>
          <w:rFonts w:ascii="Times New Roman" w:hAnsi="Times New Roman"/>
          <w:color w:val="000000"/>
          <w:sz w:val="24"/>
          <w:szCs w:val="24"/>
          <w:lang w:val="en-US"/>
        </w:rPr>
        <w:t>‘</w:t>
      </w:r>
      <w:r w:rsidR="00401FDE">
        <w:rPr>
          <w:rFonts w:ascii="Times New Roman" w:hAnsi="Times New Roman"/>
          <w:color w:val="000000"/>
          <w:sz w:val="24"/>
          <w:szCs w:val="24"/>
          <w:lang w:val="en-US"/>
        </w:rPr>
        <w:t>VAT amount</w:t>
      </w:r>
      <w:r w:rsidR="0056759A">
        <w:rPr>
          <w:rFonts w:ascii="Times New Roman" w:hAnsi="Times New Roman"/>
          <w:color w:val="000000"/>
          <w:sz w:val="24"/>
          <w:szCs w:val="24"/>
          <w:lang w:val="en-US"/>
        </w:rPr>
        <w:t>’</w:t>
      </w:r>
      <w:r w:rsidR="00401FDE">
        <w:rPr>
          <w:rFonts w:ascii="Times New Roman" w:hAnsi="Times New Roman"/>
          <w:color w:val="000000"/>
          <w:sz w:val="24"/>
          <w:szCs w:val="24"/>
          <w:lang w:val="en-US"/>
        </w:rPr>
        <w:t xml:space="preserve">, and include </w:t>
      </w:r>
      <w:r w:rsidR="00F966EC">
        <w:rPr>
          <w:rFonts w:ascii="Times New Roman" w:hAnsi="Times New Roman"/>
          <w:color w:val="000000"/>
          <w:sz w:val="24"/>
          <w:szCs w:val="24"/>
          <w:lang w:val="en-US"/>
        </w:rPr>
        <w:t>‘</w:t>
      </w:r>
      <w:r w:rsidR="00401FDE">
        <w:rPr>
          <w:rFonts w:ascii="Times New Roman" w:hAnsi="Times New Roman"/>
          <w:color w:val="000000"/>
          <w:sz w:val="24"/>
          <w:szCs w:val="24"/>
          <w:lang w:val="en-US"/>
        </w:rPr>
        <w:t>VAT Amount</w:t>
      </w:r>
      <w:r w:rsidR="00F966EC">
        <w:rPr>
          <w:rFonts w:ascii="Times New Roman" w:hAnsi="Times New Roman"/>
          <w:color w:val="000000"/>
          <w:sz w:val="24"/>
          <w:szCs w:val="24"/>
          <w:lang w:val="en-US"/>
        </w:rPr>
        <w:t>’</w:t>
      </w:r>
      <w:r w:rsidR="00401FDE">
        <w:rPr>
          <w:rFonts w:ascii="Times New Roman" w:hAnsi="Times New Roman"/>
          <w:color w:val="000000"/>
          <w:sz w:val="24"/>
          <w:szCs w:val="24"/>
          <w:lang w:val="en-US"/>
        </w:rPr>
        <w:t xml:space="preserve">, </w:t>
      </w:r>
      <w:r w:rsidR="00097087">
        <w:rPr>
          <w:rFonts w:ascii="Times New Roman" w:hAnsi="Times New Roman"/>
          <w:color w:val="000000"/>
          <w:sz w:val="24"/>
          <w:szCs w:val="24"/>
          <w:lang w:val="en-US"/>
        </w:rPr>
        <w:t xml:space="preserve">tax </w:t>
      </w:r>
      <w:r w:rsidR="00401FDE">
        <w:rPr>
          <w:rFonts w:ascii="Times New Roman" w:hAnsi="Times New Roman"/>
          <w:color w:val="000000"/>
          <w:sz w:val="24"/>
          <w:szCs w:val="24"/>
          <w:lang w:val="en-US"/>
        </w:rPr>
        <w:t xml:space="preserve">reductions, and </w:t>
      </w:r>
      <w:r w:rsidR="00F966EC">
        <w:rPr>
          <w:rFonts w:ascii="Times New Roman" w:hAnsi="Times New Roman"/>
          <w:color w:val="000000"/>
          <w:sz w:val="24"/>
          <w:szCs w:val="24"/>
          <w:lang w:val="en-US"/>
        </w:rPr>
        <w:t>‘</w:t>
      </w:r>
      <w:r w:rsidR="00F201CD">
        <w:rPr>
          <w:rFonts w:ascii="Times New Roman" w:hAnsi="Times New Roman"/>
          <w:color w:val="000000"/>
          <w:sz w:val="24"/>
          <w:szCs w:val="24"/>
          <w:lang w:val="en-US"/>
        </w:rPr>
        <w:t xml:space="preserve">HOV/Bus </w:t>
      </w:r>
      <w:r w:rsidR="00401FDE">
        <w:rPr>
          <w:rFonts w:ascii="Times New Roman" w:hAnsi="Times New Roman"/>
          <w:color w:val="000000"/>
          <w:sz w:val="24"/>
          <w:szCs w:val="24"/>
          <w:lang w:val="en-US"/>
        </w:rPr>
        <w:t>lane access</w:t>
      </w:r>
      <w:r w:rsidR="00F966EC">
        <w:rPr>
          <w:rFonts w:ascii="Times New Roman" w:hAnsi="Times New Roman"/>
          <w:color w:val="000000"/>
          <w:sz w:val="24"/>
          <w:szCs w:val="24"/>
          <w:lang w:val="en-US"/>
        </w:rPr>
        <w:t>’</w:t>
      </w:r>
      <w:r w:rsidR="00401FDE">
        <w:rPr>
          <w:rFonts w:ascii="Times New Roman" w:hAnsi="Times New Roman"/>
          <w:color w:val="000000"/>
          <w:sz w:val="24"/>
          <w:szCs w:val="24"/>
          <w:lang w:val="en-US"/>
        </w:rPr>
        <w:t xml:space="preserve">. </w:t>
      </w:r>
      <w:r w:rsidR="00CA01B3">
        <w:rPr>
          <w:rFonts w:ascii="Times New Roman" w:hAnsi="Times New Roman"/>
          <w:color w:val="000000"/>
          <w:sz w:val="24"/>
          <w:szCs w:val="24"/>
          <w:lang w:val="en-US"/>
        </w:rPr>
        <w:t xml:space="preserve">Through </w:t>
      </w:r>
      <w:r w:rsidR="004D1958">
        <w:rPr>
          <w:rFonts w:ascii="Times New Roman" w:hAnsi="Times New Roman"/>
          <w:color w:val="000000"/>
          <w:sz w:val="24"/>
          <w:szCs w:val="24"/>
          <w:lang w:val="en-US"/>
        </w:rPr>
        <w:t>Step 3</w:t>
      </w:r>
      <w:r w:rsidR="00CA01B3">
        <w:rPr>
          <w:rFonts w:ascii="Times New Roman" w:hAnsi="Times New Roman"/>
          <w:color w:val="000000"/>
          <w:sz w:val="24"/>
          <w:szCs w:val="24"/>
          <w:lang w:val="en-US"/>
        </w:rPr>
        <w:t>-5</w:t>
      </w:r>
      <w:r w:rsidR="004D1958">
        <w:rPr>
          <w:rFonts w:ascii="Times New Roman" w:hAnsi="Times New Roman"/>
          <w:color w:val="000000"/>
          <w:sz w:val="24"/>
          <w:szCs w:val="24"/>
          <w:lang w:val="en-US"/>
        </w:rPr>
        <w:t>, w</w:t>
      </w:r>
      <w:r w:rsidR="00401FDE">
        <w:rPr>
          <w:rFonts w:ascii="Times New Roman" w:hAnsi="Times New Roman"/>
          <w:color w:val="000000"/>
          <w:sz w:val="24"/>
          <w:szCs w:val="24"/>
          <w:lang w:val="en-US"/>
        </w:rPr>
        <w:t>e notice that</w:t>
      </w:r>
      <w:r w:rsidR="00B11FD5">
        <w:rPr>
          <w:rFonts w:ascii="Times New Roman" w:hAnsi="Times New Roman"/>
          <w:color w:val="000000"/>
          <w:sz w:val="24"/>
          <w:szCs w:val="24"/>
          <w:lang w:val="en-US"/>
        </w:rPr>
        <w:t xml:space="preserve"> </w:t>
      </w:r>
      <w:r w:rsidR="00026825">
        <w:rPr>
          <w:rFonts w:ascii="Times New Roman" w:hAnsi="Times New Roman"/>
          <w:color w:val="000000"/>
          <w:sz w:val="24"/>
          <w:szCs w:val="24"/>
          <w:lang w:val="en-US"/>
        </w:rPr>
        <w:t>t</w:t>
      </w:r>
      <w:r w:rsidR="00401FDE">
        <w:rPr>
          <w:rFonts w:ascii="Times New Roman" w:hAnsi="Times New Roman"/>
          <w:color w:val="000000"/>
          <w:sz w:val="24"/>
          <w:szCs w:val="24"/>
          <w:lang w:val="en-US"/>
        </w:rPr>
        <w:t xml:space="preserve">he explanatory power of </w:t>
      </w:r>
      <w:r w:rsidR="004D1958">
        <w:rPr>
          <w:rFonts w:ascii="Times New Roman" w:hAnsi="Times New Roman"/>
          <w:color w:val="000000"/>
          <w:sz w:val="24"/>
          <w:szCs w:val="24"/>
          <w:lang w:val="en-US"/>
        </w:rPr>
        <w:t>th</w:t>
      </w:r>
      <w:r w:rsidR="00CA01B3">
        <w:rPr>
          <w:rFonts w:ascii="Times New Roman" w:hAnsi="Times New Roman"/>
          <w:color w:val="000000"/>
          <w:sz w:val="24"/>
          <w:szCs w:val="24"/>
          <w:lang w:val="en-US"/>
        </w:rPr>
        <w:t xml:space="preserve">e </w:t>
      </w:r>
      <w:r w:rsidR="004D1958">
        <w:rPr>
          <w:rFonts w:ascii="Times New Roman" w:hAnsi="Times New Roman"/>
          <w:color w:val="000000"/>
          <w:sz w:val="24"/>
          <w:szCs w:val="24"/>
          <w:lang w:val="en-US"/>
        </w:rPr>
        <w:t>model specification</w:t>
      </w:r>
      <w:r w:rsidR="00CA01B3">
        <w:rPr>
          <w:rFonts w:ascii="Times New Roman" w:hAnsi="Times New Roman"/>
          <w:color w:val="000000"/>
          <w:sz w:val="24"/>
          <w:szCs w:val="24"/>
          <w:lang w:val="en-US"/>
        </w:rPr>
        <w:t xml:space="preserve"> with ‘fast</w:t>
      </w:r>
      <w:r w:rsidR="00287DC8">
        <w:rPr>
          <w:rFonts w:ascii="Times New Roman" w:hAnsi="Times New Roman"/>
          <w:color w:val="000000"/>
          <w:sz w:val="24"/>
          <w:szCs w:val="24"/>
          <w:lang w:val="en-US"/>
        </w:rPr>
        <w:t>-</w:t>
      </w:r>
      <w:r w:rsidR="00CA01B3">
        <w:rPr>
          <w:rFonts w:ascii="Times New Roman" w:hAnsi="Times New Roman"/>
          <w:color w:val="000000"/>
          <w:sz w:val="24"/>
          <w:szCs w:val="24"/>
          <w:lang w:val="en-US"/>
        </w:rPr>
        <w:t>charging stations’</w:t>
      </w:r>
      <w:r w:rsidR="00026825">
        <w:rPr>
          <w:rFonts w:ascii="Times New Roman" w:hAnsi="Times New Roman"/>
          <w:color w:val="000000"/>
          <w:sz w:val="24"/>
          <w:szCs w:val="24"/>
          <w:lang w:val="en-US"/>
        </w:rPr>
        <w:t xml:space="preserve"> </w:t>
      </w:r>
      <w:r w:rsidR="004D1958">
        <w:rPr>
          <w:rFonts w:ascii="Times New Roman" w:hAnsi="Times New Roman"/>
          <w:color w:val="000000"/>
          <w:sz w:val="24"/>
          <w:szCs w:val="24"/>
          <w:lang w:val="en-US"/>
        </w:rPr>
        <w:t>is</w:t>
      </w:r>
      <w:r w:rsidR="00401FDE">
        <w:rPr>
          <w:rFonts w:ascii="Times New Roman" w:hAnsi="Times New Roman"/>
          <w:color w:val="000000"/>
          <w:sz w:val="24"/>
          <w:szCs w:val="24"/>
          <w:lang w:val="en-US"/>
        </w:rPr>
        <w:t xml:space="preserve"> higher than the </w:t>
      </w:r>
      <w:r w:rsidR="00097087">
        <w:rPr>
          <w:rFonts w:ascii="Times New Roman" w:hAnsi="Times New Roman"/>
          <w:color w:val="000000"/>
          <w:sz w:val="24"/>
          <w:szCs w:val="24"/>
          <w:lang w:val="en-US"/>
        </w:rPr>
        <w:t xml:space="preserve">one </w:t>
      </w:r>
      <w:r w:rsidR="00401FDE">
        <w:rPr>
          <w:rFonts w:ascii="Times New Roman" w:hAnsi="Times New Roman"/>
          <w:color w:val="000000"/>
          <w:sz w:val="24"/>
          <w:szCs w:val="24"/>
          <w:lang w:val="en-US"/>
        </w:rPr>
        <w:t xml:space="preserve">with </w:t>
      </w:r>
      <w:r w:rsidR="00097087">
        <w:rPr>
          <w:rFonts w:ascii="Times New Roman" w:hAnsi="Times New Roman"/>
          <w:color w:val="000000"/>
          <w:sz w:val="24"/>
          <w:szCs w:val="24"/>
          <w:lang w:val="en-US"/>
        </w:rPr>
        <w:t>‘</w:t>
      </w:r>
      <w:r w:rsidR="00401FDE">
        <w:rPr>
          <w:rFonts w:ascii="Times New Roman" w:hAnsi="Times New Roman"/>
          <w:color w:val="000000"/>
          <w:sz w:val="24"/>
          <w:szCs w:val="24"/>
          <w:lang w:val="en-US"/>
        </w:rPr>
        <w:t>charging stations</w:t>
      </w:r>
      <w:r w:rsidR="00097087">
        <w:rPr>
          <w:rFonts w:ascii="Times New Roman" w:hAnsi="Times New Roman"/>
          <w:color w:val="000000"/>
          <w:sz w:val="24"/>
          <w:szCs w:val="24"/>
          <w:lang w:val="en-US"/>
        </w:rPr>
        <w:t>’</w:t>
      </w:r>
      <w:r w:rsidR="00401FDE">
        <w:rPr>
          <w:rFonts w:ascii="Times New Roman" w:hAnsi="Times New Roman"/>
          <w:color w:val="000000"/>
          <w:sz w:val="24"/>
          <w:szCs w:val="24"/>
          <w:lang w:val="en-US"/>
        </w:rPr>
        <w:t xml:space="preserve"> variable</w:t>
      </w:r>
      <w:r w:rsidR="004D1958">
        <w:rPr>
          <w:rFonts w:ascii="Times New Roman" w:hAnsi="Times New Roman"/>
          <w:color w:val="000000"/>
          <w:sz w:val="24"/>
          <w:szCs w:val="24"/>
          <w:lang w:val="en-US"/>
        </w:rPr>
        <w:t xml:space="preserve"> (</w:t>
      </w:r>
      <w:r w:rsidR="00CA01B3">
        <w:rPr>
          <w:rFonts w:ascii="Times New Roman" w:hAnsi="Times New Roman"/>
          <w:color w:val="000000"/>
          <w:sz w:val="24"/>
          <w:szCs w:val="24"/>
          <w:lang w:val="en-US"/>
        </w:rPr>
        <w:t>61</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97</w:t>
      </w:r>
      <w:r w:rsidR="00CA01B3">
        <w:rPr>
          <w:rFonts w:ascii="Times New Roman" w:hAnsi="Times New Roman"/>
          <w:color w:val="000000"/>
          <w:sz w:val="24"/>
          <w:szCs w:val="24"/>
          <w:lang w:val="en-US"/>
        </w:rPr>
        <w:t>% and 60</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07</w:t>
      </w:r>
      <w:r w:rsidR="00CA01B3">
        <w:rPr>
          <w:rFonts w:ascii="Times New Roman" w:hAnsi="Times New Roman"/>
          <w:color w:val="000000"/>
          <w:sz w:val="24"/>
          <w:szCs w:val="24"/>
          <w:lang w:val="en-US"/>
        </w:rPr>
        <w:t>%; 6</w:t>
      </w:r>
      <w:r w:rsidR="000C57D7">
        <w:rPr>
          <w:rFonts w:ascii="Times New Roman" w:hAnsi="Times New Roman"/>
          <w:color w:val="000000"/>
          <w:sz w:val="24"/>
          <w:szCs w:val="24"/>
          <w:lang w:val="en-US"/>
        </w:rPr>
        <w:t>1</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5</w:t>
      </w:r>
      <w:r w:rsidR="00CA01B3">
        <w:rPr>
          <w:rFonts w:ascii="Times New Roman" w:hAnsi="Times New Roman"/>
          <w:color w:val="000000"/>
          <w:sz w:val="24"/>
          <w:szCs w:val="24"/>
          <w:lang w:val="en-US"/>
        </w:rPr>
        <w:t xml:space="preserve">5% and </w:t>
      </w:r>
      <w:r w:rsidR="000C57D7">
        <w:rPr>
          <w:rFonts w:ascii="Times New Roman" w:hAnsi="Times New Roman"/>
          <w:color w:val="000000"/>
          <w:sz w:val="24"/>
          <w:szCs w:val="24"/>
          <w:lang w:val="en-US"/>
        </w:rPr>
        <w:t>60</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00</w:t>
      </w:r>
      <w:r w:rsidR="00CA01B3">
        <w:rPr>
          <w:rFonts w:ascii="Times New Roman" w:hAnsi="Times New Roman"/>
          <w:color w:val="000000"/>
          <w:sz w:val="24"/>
          <w:szCs w:val="24"/>
          <w:lang w:val="en-US"/>
        </w:rPr>
        <w:t>%</w:t>
      </w:r>
      <w:r w:rsidR="000C57D7">
        <w:rPr>
          <w:rFonts w:ascii="Times New Roman" w:hAnsi="Times New Roman"/>
          <w:color w:val="000000"/>
          <w:sz w:val="24"/>
          <w:szCs w:val="24"/>
          <w:lang w:val="en-US"/>
        </w:rPr>
        <w:t>, 60</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85% and 58</w:t>
      </w:r>
      <w:r w:rsidR="00C65BE4">
        <w:rPr>
          <w:rFonts w:ascii="Times New Roman" w:hAnsi="Times New Roman"/>
          <w:color w:val="000000"/>
          <w:sz w:val="24"/>
          <w:szCs w:val="24"/>
          <w:lang w:val="en-US"/>
        </w:rPr>
        <w:t>.</w:t>
      </w:r>
      <w:r w:rsidR="000C57D7">
        <w:rPr>
          <w:rFonts w:ascii="Times New Roman" w:hAnsi="Times New Roman"/>
          <w:color w:val="000000"/>
          <w:sz w:val="24"/>
          <w:szCs w:val="24"/>
          <w:lang w:val="en-US"/>
        </w:rPr>
        <w:t>66%</w:t>
      </w:r>
      <w:r w:rsidR="004D1958">
        <w:rPr>
          <w:rFonts w:ascii="Times New Roman" w:hAnsi="Times New Roman"/>
          <w:color w:val="000000"/>
          <w:sz w:val="24"/>
          <w:szCs w:val="24"/>
          <w:lang w:val="en-US"/>
        </w:rPr>
        <w:t xml:space="preserve"> respectively)</w:t>
      </w:r>
      <w:r w:rsidR="00401FDE">
        <w:rPr>
          <w:rFonts w:ascii="Times New Roman" w:hAnsi="Times New Roman"/>
          <w:color w:val="000000"/>
          <w:sz w:val="24"/>
          <w:szCs w:val="24"/>
          <w:lang w:val="en-US"/>
        </w:rPr>
        <w:t>.</w:t>
      </w:r>
      <w:r w:rsidR="00B63BC5">
        <w:rPr>
          <w:rFonts w:ascii="Times New Roman" w:hAnsi="Times New Roman"/>
          <w:color w:val="000000"/>
          <w:sz w:val="24"/>
          <w:szCs w:val="24"/>
          <w:lang w:val="en-US"/>
        </w:rPr>
        <w:t xml:space="preserve"> </w:t>
      </w:r>
      <w:r w:rsidR="00FF3482">
        <w:rPr>
          <w:rFonts w:ascii="Times New Roman" w:hAnsi="Times New Roman"/>
          <w:color w:val="000000"/>
          <w:sz w:val="24"/>
          <w:szCs w:val="24"/>
          <w:lang w:val="en-US"/>
        </w:rPr>
        <w:t xml:space="preserve">Table </w:t>
      </w:r>
      <w:r w:rsidR="00E42DF0">
        <w:rPr>
          <w:rFonts w:ascii="Times New Roman" w:hAnsi="Times New Roman"/>
          <w:color w:val="000000"/>
          <w:sz w:val="24"/>
          <w:szCs w:val="24"/>
          <w:lang w:val="en-US"/>
        </w:rPr>
        <w:t xml:space="preserve">11 </w:t>
      </w:r>
      <w:r w:rsidR="00FF3482">
        <w:rPr>
          <w:rFonts w:ascii="Times New Roman" w:hAnsi="Times New Roman"/>
          <w:color w:val="000000"/>
          <w:sz w:val="24"/>
          <w:szCs w:val="24"/>
          <w:lang w:val="en-US"/>
        </w:rPr>
        <w:t xml:space="preserve">presents how </w:t>
      </w:r>
      <w:r w:rsidR="00B63BC5">
        <w:rPr>
          <w:rFonts w:ascii="Times New Roman" w:hAnsi="Times New Roman"/>
          <w:color w:val="000000"/>
          <w:sz w:val="24"/>
          <w:szCs w:val="24"/>
          <w:lang w:val="en-US"/>
        </w:rPr>
        <w:t>the model’s explanatory power</w:t>
      </w:r>
      <w:r w:rsidR="00FF3482">
        <w:rPr>
          <w:rFonts w:ascii="Times New Roman" w:hAnsi="Times New Roman"/>
          <w:color w:val="000000"/>
          <w:sz w:val="24"/>
          <w:szCs w:val="24"/>
          <w:lang w:val="en-US"/>
        </w:rPr>
        <w:t xml:space="preserve"> is sensitive </w:t>
      </w:r>
      <w:r w:rsidR="00B63BC5">
        <w:rPr>
          <w:rFonts w:ascii="Times New Roman" w:hAnsi="Times New Roman"/>
          <w:color w:val="000000"/>
          <w:sz w:val="24"/>
          <w:szCs w:val="24"/>
          <w:lang w:val="en-US"/>
        </w:rPr>
        <w:t xml:space="preserve">to </w:t>
      </w:r>
      <w:r w:rsidR="00FF3482">
        <w:rPr>
          <w:rFonts w:ascii="Times New Roman" w:hAnsi="Times New Roman"/>
          <w:color w:val="000000"/>
          <w:sz w:val="24"/>
          <w:szCs w:val="24"/>
          <w:lang w:val="en-US"/>
        </w:rPr>
        <w:t>deleting</w:t>
      </w:r>
      <w:r w:rsidR="00B63BC5">
        <w:rPr>
          <w:rFonts w:ascii="Times New Roman" w:hAnsi="Times New Roman"/>
          <w:color w:val="000000"/>
          <w:sz w:val="24"/>
          <w:szCs w:val="24"/>
          <w:lang w:val="en-US"/>
        </w:rPr>
        <w:t xml:space="preserve"> the significant variables individually</w:t>
      </w:r>
      <w:r w:rsidR="00FF3482">
        <w:rPr>
          <w:rFonts w:ascii="Times New Roman" w:hAnsi="Times New Roman"/>
          <w:color w:val="000000"/>
          <w:sz w:val="24"/>
          <w:szCs w:val="24"/>
          <w:lang w:val="en-US"/>
        </w:rPr>
        <w:t xml:space="preserve">. As </w:t>
      </w:r>
      <w:r w:rsidR="00F35678">
        <w:rPr>
          <w:rFonts w:ascii="Times New Roman" w:hAnsi="Times New Roman"/>
          <w:color w:val="000000"/>
          <w:sz w:val="24"/>
          <w:szCs w:val="24"/>
          <w:lang w:val="en-US"/>
        </w:rPr>
        <w:t>in the previous model, charging infrastructure, namely fast</w:t>
      </w:r>
      <w:r w:rsidR="00287DC8">
        <w:rPr>
          <w:rFonts w:ascii="Times New Roman" w:hAnsi="Times New Roman"/>
          <w:color w:val="000000"/>
          <w:sz w:val="24"/>
          <w:szCs w:val="24"/>
          <w:lang w:val="en-US"/>
        </w:rPr>
        <w:t>-</w:t>
      </w:r>
      <w:r w:rsidR="00F35678">
        <w:rPr>
          <w:rFonts w:ascii="Times New Roman" w:hAnsi="Times New Roman"/>
          <w:color w:val="000000"/>
          <w:sz w:val="24"/>
          <w:szCs w:val="24"/>
          <w:lang w:val="en-US"/>
        </w:rPr>
        <w:t xml:space="preserve">charging stations is the strongest predictor of BEV sales. Driving range is as influential as before, whereas the effect of </w:t>
      </w:r>
      <w:r w:rsidR="00F201CD">
        <w:rPr>
          <w:rFonts w:ascii="Times New Roman" w:hAnsi="Times New Roman"/>
          <w:color w:val="000000"/>
          <w:sz w:val="24"/>
          <w:szCs w:val="24"/>
          <w:lang w:val="en-US"/>
        </w:rPr>
        <w:t xml:space="preserve">HOV/Bus </w:t>
      </w:r>
      <w:r w:rsidR="00F35678">
        <w:rPr>
          <w:rFonts w:ascii="Times New Roman" w:hAnsi="Times New Roman"/>
          <w:color w:val="000000"/>
          <w:sz w:val="24"/>
          <w:szCs w:val="24"/>
          <w:lang w:val="en-US"/>
        </w:rPr>
        <w:t>lane access is now much reduced. Instead, other factors become significant and contribute to the model’s ability to explain BEV sales</w:t>
      </w:r>
      <w:r w:rsidR="00237051">
        <w:rPr>
          <w:rFonts w:ascii="Times New Roman" w:hAnsi="Times New Roman"/>
          <w:color w:val="000000"/>
          <w:sz w:val="24"/>
          <w:szCs w:val="24"/>
          <w:lang w:val="en-US"/>
        </w:rPr>
        <w:t>, such as urban density, reduction (company car tax), BEV models available and VAT Amount</w:t>
      </w:r>
      <w:r w:rsidR="00F35678">
        <w:rPr>
          <w:rFonts w:ascii="Times New Roman" w:hAnsi="Times New Roman"/>
          <w:color w:val="000000"/>
          <w:sz w:val="24"/>
          <w:szCs w:val="24"/>
          <w:lang w:val="en-US"/>
        </w:rPr>
        <w:t xml:space="preserve">. </w:t>
      </w:r>
    </w:p>
    <w:p w:rsidR="00FF3482" w:rsidRDefault="00FF3482" w:rsidP="00A96B87">
      <w:pPr>
        <w:spacing w:after="120" w:line="360" w:lineRule="auto"/>
        <w:jc w:val="both"/>
        <w:rPr>
          <w:rFonts w:ascii="Times New Roman" w:hAnsi="Times New Roman"/>
          <w:color w:val="000000"/>
          <w:sz w:val="24"/>
          <w:szCs w:val="24"/>
          <w:lang w:val="en-US"/>
        </w:rPr>
      </w:pPr>
      <w:r w:rsidRPr="00E3141F">
        <w:rPr>
          <w:rFonts w:ascii="Times New Roman" w:hAnsi="Times New Roman"/>
          <w:color w:val="000000"/>
          <w:sz w:val="24"/>
          <w:szCs w:val="24"/>
          <w:lang w:val="en-US"/>
        </w:rPr>
        <w:t>From Tabl</w:t>
      </w:r>
      <w:r>
        <w:rPr>
          <w:rFonts w:ascii="Times New Roman" w:hAnsi="Times New Roman"/>
          <w:color w:val="000000"/>
          <w:sz w:val="24"/>
          <w:szCs w:val="24"/>
          <w:lang w:val="en-US"/>
        </w:rPr>
        <w:t xml:space="preserve">e </w:t>
      </w:r>
      <w:r w:rsidR="00E42DF0">
        <w:rPr>
          <w:rFonts w:ascii="Times New Roman" w:hAnsi="Times New Roman"/>
          <w:color w:val="000000"/>
          <w:sz w:val="24"/>
          <w:szCs w:val="24"/>
          <w:lang w:val="en-US"/>
        </w:rPr>
        <w:t>10</w:t>
      </w:r>
      <w:r w:rsidRPr="00E3141F">
        <w:rPr>
          <w:rFonts w:ascii="Times New Roman" w:hAnsi="Times New Roman"/>
          <w:color w:val="000000"/>
          <w:sz w:val="24"/>
          <w:szCs w:val="24"/>
          <w:lang w:val="en-US"/>
        </w:rPr>
        <w:t xml:space="preserve">, we </w:t>
      </w:r>
      <w:r>
        <w:rPr>
          <w:rFonts w:ascii="Times New Roman" w:hAnsi="Times New Roman"/>
          <w:color w:val="000000"/>
          <w:sz w:val="24"/>
          <w:szCs w:val="24"/>
          <w:lang w:val="en-US"/>
        </w:rPr>
        <w:t>re-es</w:t>
      </w:r>
      <w:r w:rsidRPr="00E3141F">
        <w:rPr>
          <w:rFonts w:ascii="Times New Roman" w:hAnsi="Times New Roman"/>
          <w:color w:val="000000"/>
          <w:sz w:val="24"/>
          <w:szCs w:val="24"/>
          <w:lang w:val="en-US"/>
        </w:rPr>
        <w:t xml:space="preserve">timate the influence of charging infrastructure and </w:t>
      </w:r>
      <w:r w:rsidR="00237051">
        <w:rPr>
          <w:rFonts w:ascii="Times New Roman" w:hAnsi="Times New Roman"/>
          <w:color w:val="000000"/>
          <w:sz w:val="24"/>
          <w:szCs w:val="24"/>
          <w:lang w:val="en-US"/>
        </w:rPr>
        <w:t>other factors</w:t>
      </w:r>
      <w:r w:rsidRPr="00E3141F">
        <w:rPr>
          <w:rFonts w:ascii="Times New Roman" w:hAnsi="Times New Roman"/>
          <w:color w:val="000000"/>
          <w:sz w:val="24"/>
          <w:szCs w:val="24"/>
          <w:lang w:val="en-US"/>
        </w:rPr>
        <w:t xml:space="preserve"> on BEV sales. </w:t>
      </w:r>
      <w:r>
        <w:rPr>
          <w:rFonts w:ascii="Times New Roman" w:hAnsi="Times New Roman"/>
          <w:color w:val="000000"/>
          <w:sz w:val="24"/>
          <w:szCs w:val="24"/>
          <w:lang w:val="en-US"/>
        </w:rPr>
        <w:t>E</w:t>
      </w:r>
      <w:r w:rsidRPr="00E3141F">
        <w:rPr>
          <w:rFonts w:ascii="Times New Roman" w:hAnsi="Times New Roman"/>
          <w:color w:val="000000"/>
          <w:sz w:val="24"/>
          <w:szCs w:val="24"/>
          <w:lang w:val="en-US"/>
        </w:rPr>
        <w:t>ach 1% increase in driving range</w:t>
      </w:r>
      <w:r>
        <w:rPr>
          <w:rFonts w:ascii="Times New Roman" w:hAnsi="Times New Roman"/>
          <w:color w:val="000000"/>
          <w:sz w:val="24"/>
          <w:szCs w:val="24"/>
          <w:lang w:val="en-US"/>
        </w:rPr>
        <w:t>, ceteris paribus,</w:t>
      </w:r>
      <w:r w:rsidRPr="00E3141F">
        <w:rPr>
          <w:rFonts w:ascii="Times New Roman" w:hAnsi="Times New Roman"/>
          <w:color w:val="000000"/>
          <w:sz w:val="24"/>
          <w:szCs w:val="24"/>
          <w:lang w:val="en-US"/>
        </w:rPr>
        <w:t xml:space="preserve"> would cause sales to increase by 1</w:t>
      </w:r>
      <w:r w:rsidR="00C65BE4">
        <w:rPr>
          <w:rFonts w:ascii="Times New Roman" w:hAnsi="Times New Roman"/>
          <w:color w:val="000000"/>
          <w:sz w:val="24"/>
          <w:szCs w:val="24"/>
          <w:lang w:val="en-US"/>
        </w:rPr>
        <w:t>.</w:t>
      </w:r>
      <w:r w:rsidRPr="00E3141F">
        <w:rPr>
          <w:rFonts w:ascii="Times New Roman" w:hAnsi="Times New Roman"/>
          <w:color w:val="000000"/>
          <w:sz w:val="24"/>
          <w:szCs w:val="24"/>
          <w:lang w:val="en-US"/>
        </w:rPr>
        <w:t>337 %</w:t>
      </w:r>
      <w:r>
        <w:rPr>
          <w:rFonts w:ascii="Times New Roman" w:hAnsi="Times New Roman"/>
          <w:color w:val="000000"/>
          <w:sz w:val="24"/>
          <w:szCs w:val="24"/>
          <w:lang w:val="en-US"/>
        </w:rPr>
        <w:t xml:space="preserve">, i.e. </w:t>
      </w:r>
      <w:r w:rsidRPr="00E3141F">
        <w:rPr>
          <w:rFonts w:ascii="Times New Roman" w:hAnsi="Times New Roman"/>
          <w:color w:val="000000"/>
          <w:sz w:val="24"/>
          <w:szCs w:val="24"/>
          <w:lang w:val="en-US"/>
        </w:rPr>
        <w:t>0</w:t>
      </w:r>
      <w:r w:rsidR="00C65BE4">
        <w:rPr>
          <w:rFonts w:ascii="Times New Roman" w:hAnsi="Times New Roman"/>
          <w:color w:val="000000"/>
          <w:sz w:val="24"/>
          <w:szCs w:val="24"/>
          <w:lang w:val="en-US"/>
        </w:rPr>
        <w:t>.</w:t>
      </w:r>
      <w:r w:rsidRPr="00E3141F">
        <w:rPr>
          <w:rFonts w:ascii="Times New Roman" w:hAnsi="Times New Roman"/>
          <w:color w:val="000000"/>
          <w:sz w:val="24"/>
          <w:szCs w:val="24"/>
          <w:lang w:val="en-US"/>
        </w:rPr>
        <w:t>3</w:t>
      </w:r>
      <w:r>
        <w:rPr>
          <w:rFonts w:ascii="Times New Roman" w:hAnsi="Times New Roman"/>
          <w:color w:val="000000"/>
          <w:sz w:val="24"/>
          <w:szCs w:val="24"/>
          <w:lang w:val="en-US"/>
        </w:rPr>
        <w:t>24</w:t>
      </w:r>
      <w:r w:rsidRPr="00E3141F">
        <w:rPr>
          <w:rFonts w:ascii="Times New Roman" w:hAnsi="Times New Roman"/>
          <w:color w:val="000000"/>
          <w:sz w:val="24"/>
          <w:szCs w:val="24"/>
          <w:lang w:val="en-US"/>
        </w:rPr>
        <w:t xml:space="preserve">% more than in the previous specification, whereas the estimate for </w:t>
      </w:r>
      <w:r w:rsidR="00F201CD">
        <w:rPr>
          <w:rFonts w:ascii="Times New Roman" w:hAnsi="Times New Roman"/>
          <w:color w:val="000000"/>
          <w:sz w:val="24"/>
          <w:szCs w:val="24"/>
          <w:lang w:val="en-US"/>
        </w:rPr>
        <w:t xml:space="preserve">HOV/Bus </w:t>
      </w:r>
      <w:r w:rsidRPr="00E3141F">
        <w:rPr>
          <w:rFonts w:ascii="Times New Roman" w:hAnsi="Times New Roman"/>
          <w:color w:val="000000"/>
          <w:sz w:val="24"/>
          <w:szCs w:val="24"/>
          <w:lang w:val="en-US"/>
        </w:rPr>
        <w:t xml:space="preserve">lane access </w:t>
      </w:r>
      <w:r w:rsidR="00237051">
        <w:rPr>
          <w:rFonts w:ascii="Times New Roman" w:hAnsi="Times New Roman"/>
          <w:color w:val="000000"/>
          <w:sz w:val="24"/>
          <w:szCs w:val="24"/>
          <w:lang w:val="en-US"/>
        </w:rPr>
        <w:t xml:space="preserve">not unexpectedly </w:t>
      </w:r>
      <w:r w:rsidRPr="00E3141F">
        <w:rPr>
          <w:rFonts w:ascii="Times New Roman" w:hAnsi="Times New Roman"/>
          <w:color w:val="000000"/>
          <w:sz w:val="24"/>
          <w:szCs w:val="24"/>
          <w:lang w:val="en-US"/>
        </w:rPr>
        <w:t>decreased</w:t>
      </w:r>
      <w:r>
        <w:rPr>
          <w:rFonts w:ascii="Times New Roman" w:hAnsi="Times New Roman"/>
          <w:color w:val="000000"/>
          <w:sz w:val="24"/>
          <w:szCs w:val="24"/>
          <w:lang w:val="en-US"/>
        </w:rPr>
        <w:t xml:space="preserve">. In this model, providing a </w:t>
      </w:r>
      <w:r w:rsidR="00F201CD">
        <w:rPr>
          <w:rFonts w:ascii="Times New Roman" w:hAnsi="Times New Roman"/>
          <w:color w:val="000000"/>
          <w:sz w:val="24"/>
          <w:szCs w:val="24"/>
          <w:lang w:val="en-US"/>
        </w:rPr>
        <w:t xml:space="preserve">HOV/Bus </w:t>
      </w:r>
      <w:r>
        <w:rPr>
          <w:rFonts w:ascii="Times New Roman" w:hAnsi="Times New Roman"/>
          <w:color w:val="000000"/>
          <w:sz w:val="24"/>
          <w:szCs w:val="24"/>
          <w:lang w:val="en-US"/>
        </w:rPr>
        <w:t xml:space="preserve">lane access would mean </w:t>
      </w:r>
      <w:r w:rsidR="00B859C9">
        <w:rPr>
          <w:rFonts w:ascii="Times New Roman" w:hAnsi="Times New Roman"/>
          <w:color w:val="000000"/>
          <w:sz w:val="24"/>
          <w:szCs w:val="24"/>
          <w:lang w:val="en-US"/>
        </w:rPr>
        <w:t xml:space="preserve">a </w:t>
      </w:r>
      <w:r>
        <w:rPr>
          <w:rFonts w:ascii="Times New Roman" w:hAnsi="Times New Roman"/>
          <w:color w:val="000000"/>
          <w:sz w:val="24"/>
          <w:szCs w:val="24"/>
          <w:lang w:val="en-US"/>
        </w:rPr>
        <w:t>111% increase in sales instead of 272% which seems to be more plausible</w:t>
      </w:r>
      <w:r w:rsidRPr="00E3141F">
        <w:rPr>
          <w:rFonts w:ascii="Times New Roman" w:hAnsi="Times New Roman"/>
          <w:color w:val="000000"/>
          <w:sz w:val="24"/>
          <w:szCs w:val="24"/>
          <w:lang w:val="en-US"/>
        </w:rPr>
        <w:t>. Fast</w:t>
      </w:r>
      <w:r w:rsidR="00287DC8">
        <w:rPr>
          <w:rFonts w:ascii="Times New Roman" w:hAnsi="Times New Roman"/>
          <w:color w:val="000000"/>
          <w:sz w:val="24"/>
          <w:szCs w:val="24"/>
          <w:lang w:val="en-US"/>
        </w:rPr>
        <w:t>-</w:t>
      </w:r>
      <w:r w:rsidRPr="00E3141F">
        <w:rPr>
          <w:rFonts w:ascii="Times New Roman" w:hAnsi="Times New Roman"/>
          <w:color w:val="000000"/>
          <w:sz w:val="24"/>
          <w:szCs w:val="24"/>
          <w:lang w:val="en-US"/>
        </w:rPr>
        <w:t>charging stations have a little more impact on sales than charging stations, with 0</w:t>
      </w:r>
      <w:r w:rsidR="00C65BE4">
        <w:rPr>
          <w:rFonts w:ascii="Times New Roman" w:hAnsi="Times New Roman"/>
          <w:color w:val="000000"/>
          <w:sz w:val="24"/>
          <w:szCs w:val="24"/>
          <w:lang w:val="en-US"/>
        </w:rPr>
        <w:t>.</w:t>
      </w:r>
      <w:r w:rsidRPr="00E3141F">
        <w:rPr>
          <w:rFonts w:ascii="Times New Roman" w:hAnsi="Times New Roman"/>
          <w:color w:val="000000"/>
          <w:sz w:val="24"/>
          <w:szCs w:val="24"/>
          <w:lang w:val="en-US"/>
        </w:rPr>
        <w:t>5939% and 0</w:t>
      </w:r>
      <w:r w:rsidR="00C65BE4">
        <w:rPr>
          <w:rFonts w:ascii="Times New Roman" w:hAnsi="Times New Roman"/>
          <w:color w:val="000000"/>
          <w:sz w:val="24"/>
          <w:szCs w:val="24"/>
          <w:lang w:val="en-US"/>
        </w:rPr>
        <w:t>.</w:t>
      </w:r>
      <w:r w:rsidRPr="00E3141F">
        <w:rPr>
          <w:rFonts w:ascii="Times New Roman" w:hAnsi="Times New Roman"/>
          <w:color w:val="000000"/>
          <w:sz w:val="24"/>
          <w:szCs w:val="24"/>
          <w:lang w:val="en-US"/>
        </w:rPr>
        <w:t>5</w:t>
      </w:r>
      <w:r>
        <w:rPr>
          <w:rFonts w:ascii="Times New Roman" w:hAnsi="Times New Roman"/>
          <w:color w:val="000000"/>
          <w:sz w:val="24"/>
          <w:szCs w:val="24"/>
          <w:lang w:val="en-US"/>
        </w:rPr>
        <w:t>631</w:t>
      </w:r>
      <w:r w:rsidRPr="00E3141F">
        <w:rPr>
          <w:rFonts w:ascii="Times New Roman" w:hAnsi="Times New Roman"/>
          <w:color w:val="000000"/>
          <w:sz w:val="24"/>
          <w:szCs w:val="24"/>
          <w:lang w:val="en-US"/>
        </w:rPr>
        <w:t>% respectively</w:t>
      </w:r>
      <w:r w:rsidR="00716A01">
        <w:rPr>
          <w:rFonts w:ascii="Times New Roman" w:hAnsi="Times New Roman"/>
          <w:color w:val="000000"/>
          <w:sz w:val="24"/>
          <w:szCs w:val="24"/>
          <w:lang w:val="en-US"/>
        </w:rPr>
        <w:t xml:space="preserve">. </w:t>
      </w:r>
      <w:r w:rsidRPr="00E3141F">
        <w:rPr>
          <w:rFonts w:ascii="Times New Roman" w:hAnsi="Times New Roman"/>
          <w:color w:val="000000"/>
          <w:sz w:val="24"/>
          <w:szCs w:val="24"/>
          <w:lang w:val="en-US"/>
        </w:rPr>
        <w:t>The rest of the variables would cause the following changes</w:t>
      </w:r>
      <w:r>
        <w:rPr>
          <w:rFonts w:ascii="Times New Roman" w:hAnsi="Times New Roman"/>
          <w:color w:val="000000"/>
          <w:sz w:val="24"/>
          <w:szCs w:val="24"/>
          <w:lang w:val="en-US"/>
        </w:rPr>
        <w:t>,</w:t>
      </w:r>
      <w:r w:rsidRPr="00E3141F">
        <w:rPr>
          <w:rFonts w:ascii="Times New Roman" w:hAnsi="Times New Roman"/>
          <w:color w:val="000000"/>
          <w:sz w:val="24"/>
          <w:szCs w:val="24"/>
          <w:lang w:val="en-US"/>
        </w:rPr>
        <w:t xml:space="preserve"> </w:t>
      </w:r>
      <w:r>
        <w:rPr>
          <w:rFonts w:ascii="Times New Roman" w:hAnsi="Times New Roman"/>
          <w:color w:val="000000"/>
          <w:sz w:val="24"/>
          <w:szCs w:val="24"/>
          <w:lang w:val="en-US"/>
        </w:rPr>
        <w:t>ceteris paribus</w:t>
      </w:r>
      <w:r w:rsidRPr="00E3141F">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00DD67F1">
        <w:rPr>
          <w:rFonts w:ascii="Times New Roman" w:hAnsi="Times New Roman"/>
          <w:color w:val="000000"/>
          <w:sz w:val="24"/>
          <w:szCs w:val="24"/>
          <w:lang w:val="en-US"/>
        </w:rPr>
        <w:t xml:space="preserve">a </w:t>
      </w:r>
      <w:r>
        <w:rPr>
          <w:rFonts w:ascii="Times New Roman" w:hAnsi="Times New Roman"/>
          <w:color w:val="000000"/>
          <w:sz w:val="24"/>
          <w:szCs w:val="24"/>
          <w:lang w:val="en-US"/>
        </w:rPr>
        <w:t xml:space="preserve">1% reduction in the company car tax – </w:t>
      </w:r>
      <w:r w:rsidR="00DD67F1">
        <w:rPr>
          <w:rFonts w:ascii="Times New Roman" w:hAnsi="Times New Roman"/>
          <w:color w:val="000000"/>
          <w:sz w:val="24"/>
          <w:szCs w:val="24"/>
          <w:lang w:val="en-US"/>
        </w:rPr>
        <w:t xml:space="preserve">a </w:t>
      </w:r>
      <w:r>
        <w:rPr>
          <w:rFonts w:ascii="Times New Roman" w:hAnsi="Times New Roman"/>
          <w:color w:val="000000"/>
          <w:sz w:val="24"/>
          <w:szCs w:val="24"/>
          <w:lang w:val="en-US"/>
        </w:rPr>
        <w:t>0</w:t>
      </w:r>
      <w:r w:rsidR="00C65BE4">
        <w:rPr>
          <w:rFonts w:ascii="Times New Roman" w:hAnsi="Times New Roman"/>
          <w:color w:val="000000"/>
          <w:sz w:val="24"/>
          <w:szCs w:val="24"/>
          <w:lang w:val="en-US"/>
        </w:rPr>
        <w:t>.</w:t>
      </w:r>
      <w:r>
        <w:rPr>
          <w:rFonts w:ascii="Times New Roman" w:hAnsi="Times New Roman"/>
          <w:color w:val="000000"/>
          <w:sz w:val="24"/>
          <w:szCs w:val="24"/>
          <w:lang w:val="en-US"/>
        </w:rPr>
        <w:t xml:space="preserve">758% increase in sales; introduction of a new BEV model to the market – </w:t>
      </w:r>
      <w:r w:rsidR="00DD67F1">
        <w:rPr>
          <w:rFonts w:ascii="Times New Roman" w:hAnsi="Times New Roman"/>
          <w:color w:val="000000"/>
          <w:sz w:val="24"/>
          <w:szCs w:val="24"/>
          <w:lang w:val="en-US"/>
        </w:rPr>
        <w:t xml:space="preserve">a </w:t>
      </w:r>
      <w:r>
        <w:rPr>
          <w:rFonts w:ascii="Times New Roman" w:hAnsi="Times New Roman"/>
          <w:color w:val="000000"/>
          <w:sz w:val="24"/>
          <w:szCs w:val="24"/>
          <w:lang w:val="en-US"/>
        </w:rPr>
        <w:t>5</w:t>
      </w:r>
      <w:r w:rsidR="00C65BE4">
        <w:rPr>
          <w:rFonts w:ascii="Times New Roman" w:hAnsi="Times New Roman"/>
          <w:color w:val="000000"/>
          <w:sz w:val="24"/>
          <w:szCs w:val="24"/>
          <w:lang w:val="en-US"/>
        </w:rPr>
        <w:t>.</w:t>
      </w:r>
      <w:r>
        <w:rPr>
          <w:rFonts w:ascii="Times New Roman" w:hAnsi="Times New Roman"/>
          <w:color w:val="000000"/>
          <w:sz w:val="24"/>
          <w:szCs w:val="24"/>
          <w:lang w:val="en-US"/>
        </w:rPr>
        <w:t>8% increase in sales</w:t>
      </w:r>
      <w:r w:rsidR="00237051">
        <w:rPr>
          <w:rFonts w:ascii="Times New Roman" w:hAnsi="Times New Roman"/>
          <w:color w:val="000000"/>
          <w:sz w:val="24"/>
          <w:szCs w:val="24"/>
          <w:lang w:val="en-US"/>
        </w:rPr>
        <w:t xml:space="preserve">; </w:t>
      </w:r>
      <w:r w:rsidR="00DD67F1">
        <w:rPr>
          <w:rFonts w:ascii="Times New Roman" w:hAnsi="Times New Roman"/>
          <w:color w:val="000000"/>
          <w:sz w:val="24"/>
          <w:szCs w:val="24"/>
          <w:lang w:val="en-US"/>
        </w:rPr>
        <w:t xml:space="preserve">a </w:t>
      </w:r>
      <w:r w:rsidR="00237051" w:rsidRPr="00E3141F">
        <w:rPr>
          <w:rFonts w:ascii="Times New Roman" w:hAnsi="Times New Roman"/>
          <w:color w:val="000000"/>
          <w:sz w:val="24"/>
          <w:szCs w:val="24"/>
          <w:lang w:val="en-US"/>
        </w:rPr>
        <w:t xml:space="preserve">100$ increase in VAT amount due is associated with </w:t>
      </w:r>
      <w:r w:rsidR="00DD67F1">
        <w:rPr>
          <w:rFonts w:ascii="Times New Roman" w:hAnsi="Times New Roman"/>
          <w:color w:val="000000"/>
          <w:sz w:val="24"/>
          <w:szCs w:val="24"/>
          <w:lang w:val="en-US"/>
        </w:rPr>
        <w:t xml:space="preserve">a </w:t>
      </w:r>
      <w:r w:rsidR="00237051" w:rsidRPr="00E3141F">
        <w:rPr>
          <w:rFonts w:ascii="Times New Roman" w:hAnsi="Times New Roman"/>
          <w:color w:val="000000"/>
          <w:sz w:val="24"/>
          <w:szCs w:val="24"/>
          <w:lang w:val="en-US"/>
        </w:rPr>
        <w:t>0</w:t>
      </w:r>
      <w:r w:rsidR="00C65BE4">
        <w:rPr>
          <w:rFonts w:ascii="Times New Roman" w:hAnsi="Times New Roman"/>
          <w:color w:val="000000"/>
          <w:sz w:val="24"/>
          <w:szCs w:val="24"/>
          <w:lang w:val="en-US"/>
        </w:rPr>
        <w:t>.</w:t>
      </w:r>
      <w:r w:rsidR="00237051" w:rsidRPr="00E3141F">
        <w:rPr>
          <w:rFonts w:ascii="Times New Roman" w:hAnsi="Times New Roman"/>
          <w:color w:val="000000"/>
          <w:sz w:val="24"/>
          <w:szCs w:val="24"/>
          <w:lang w:val="en-US"/>
        </w:rPr>
        <w:t>55 % decrease in sales</w:t>
      </w:r>
      <w:r w:rsidR="00716A01">
        <w:rPr>
          <w:rFonts w:ascii="Times New Roman" w:hAnsi="Times New Roman"/>
          <w:color w:val="000000"/>
          <w:sz w:val="24"/>
          <w:szCs w:val="24"/>
          <w:lang w:val="en-US"/>
        </w:rPr>
        <w:t>.</w:t>
      </w:r>
      <w:r w:rsidR="00237051">
        <w:rPr>
          <w:rFonts w:ascii="Times New Roman" w:hAnsi="Times New Roman"/>
          <w:color w:val="000000"/>
          <w:sz w:val="24"/>
          <w:szCs w:val="24"/>
          <w:lang w:val="en-US"/>
        </w:rPr>
        <w:t xml:space="preserve"> </w:t>
      </w:r>
    </w:p>
    <w:p w:rsidR="00E3141F" w:rsidRPr="00E3141F" w:rsidRDefault="00237051" w:rsidP="00CE182C">
      <w:pPr>
        <w:spacing w:after="120"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Overall, t</w:t>
      </w:r>
      <w:r w:rsidR="00D9629E">
        <w:rPr>
          <w:rFonts w:ascii="Times New Roman" w:hAnsi="Times New Roman"/>
          <w:color w:val="000000"/>
          <w:sz w:val="24"/>
          <w:szCs w:val="24"/>
          <w:lang w:val="en-US"/>
        </w:rPr>
        <w:t>he introduction</w:t>
      </w:r>
      <w:r w:rsidR="00086BF2">
        <w:rPr>
          <w:rFonts w:ascii="Times New Roman" w:hAnsi="Times New Roman"/>
          <w:color w:val="000000"/>
          <w:sz w:val="24"/>
          <w:szCs w:val="24"/>
          <w:lang w:val="en-US"/>
        </w:rPr>
        <w:t xml:space="preserve"> of the fast</w:t>
      </w:r>
      <w:r w:rsidR="00D9629E">
        <w:rPr>
          <w:rFonts w:ascii="Times New Roman" w:hAnsi="Times New Roman"/>
          <w:color w:val="000000"/>
          <w:sz w:val="24"/>
          <w:szCs w:val="24"/>
          <w:lang w:val="en-US"/>
        </w:rPr>
        <w:t>-</w:t>
      </w:r>
      <w:r w:rsidR="00086BF2">
        <w:rPr>
          <w:rFonts w:ascii="Times New Roman" w:hAnsi="Times New Roman"/>
          <w:color w:val="000000"/>
          <w:sz w:val="24"/>
          <w:szCs w:val="24"/>
          <w:lang w:val="en-US"/>
        </w:rPr>
        <w:t xml:space="preserve">charging </w:t>
      </w:r>
      <w:r w:rsidR="00D9629E">
        <w:rPr>
          <w:rFonts w:ascii="Times New Roman" w:hAnsi="Times New Roman"/>
          <w:color w:val="000000"/>
          <w:sz w:val="24"/>
          <w:szCs w:val="24"/>
          <w:lang w:val="en-US"/>
        </w:rPr>
        <w:t xml:space="preserve">stations </w:t>
      </w:r>
      <w:r w:rsidR="00086BF2">
        <w:rPr>
          <w:rFonts w:ascii="Times New Roman" w:hAnsi="Times New Roman"/>
          <w:color w:val="000000"/>
          <w:sz w:val="24"/>
          <w:szCs w:val="24"/>
          <w:lang w:val="en-US"/>
        </w:rPr>
        <w:t>layout</w:t>
      </w:r>
      <w:r w:rsidR="00D9629E">
        <w:rPr>
          <w:rFonts w:ascii="Times New Roman" w:hAnsi="Times New Roman"/>
          <w:color w:val="000000"/>
          <w:sz w:val="24"/>
          <w:szCs w:val="24"/>
          <w:lang w:val="en-US"/>
        </w:rPr>
        <w:t xml:space="preserve"> tremendously affected results</w:t>
      </w:r>
      <w:r w:rsidR="00086BF2">
        <w:rPr>
          <w:rFonts w:ascii="Times New Roman" w:hAnsi="Times New Roman"/>
          <w:color w:val="000000"/>
          <w:sz w:val="24"/>
          <w:szCs w:val="24"/>
          <w:lang w:val="en-US"/>
        </w:rPr>
        <w:t xml:space="preserve">, </w:t>
      </w:r>
      <w:r w:rsidR="00D9629E">
        <w:rPr>
          <w:rFonts w:ascii="Times New Roman" w:hAnsi="Times New Roman"/>
          <w:color w:val="000000"/>
          <w:sz w:val="24"/>
          <w:szCs w:val="24"/>
          <w:lang w:val="en-US"/>
        </w:rPr>
        <w:t xml:space="preserve">so that </w:t>
      </w:r>
      <w:r w:rsidR="00086BF2">
        <w:rPr>
          <w:rFonts w:ascii="Times New Roman" w:hAnsi="Times New Roman"/>
          <w:color w:val="000000"/>
          <w:sz w:val="24"/>
          <w:szCs w:val="24"/>
          <w:lang w:val="en-US"/>
        </w:rPr>
        <w:t xml:space="preserve">the null </w:t>
      </w:r>
      <w:r w:rsidR="00086BF2" w:rsidRPr="00086BF2">
        <w:rPr>
          <w:rFonts w:ascii="Times New Roman" w:hAnsi="Times New Roman"/>
          <w:color w:val="000000"/>
          <w:sz w:val="24"/>
          <w:szCs w:val="24"/>
          <w:lang w:val="en-US"/>
        </w:rPr>
        <w:t xml:space="preserve">hypothesis </w:t>
      </w:r>
      <w:r w:rsidR="00D9629E">
        <w:rPr>
          <w:rFonts w:ascii="Times New Roman" w:hAnsi="Times New Roman"/>
          <w:color w:val="000000"/>
          <w:sz w:val="24"/>
          <w:szCs w:val="24"/>
          <w:lang w:val="en-US"/>
        </w:rPr>
        <w:t xml:space="preserve">could not be rejected </w:t>
      </w:r>
      <w:r w:rsidR="00086BF2">
        <w:rPr>
          <w:rFonts w:ascii="Times New Roman" w:hAnsi="Times New Roman"/>
          <w:color w:val="000000"/>
          <w:sz w:val="24"/>
          <w:szCs w:val="24"/>
          <w:lang w:val="en-US"/>
        </w:rPr>
        <w:t xml:space="preserve">anymore, neither </w:t>
      </w:r>
      <w:r w:rsidR="00086BF2" w:rsidRPr="00086BF2">
        <w:rPr>
          <w:rFonts w:ascii="Times New Roman" w:hAnsi="Times New Roman"/>
          <w:color w:val="000000"/>
          <w:sz w:val="24"/>
          <w:szCs w:val="24"/>
          <w:lang w:val="en-US"/>
        </w:rPr>
        <w:t xml:space="preserve">at </w:t>
      </w:r>
      <w:r w:rsidR="000C57D7">
        <w:rPr>
          <w:rFonts w:ascii="Times New Roman" w:hAnsi="Times New Roman"/>
          <w:color w:val="000000"/>
          <w:sz w:val="24"/>
          <w:szCs w:val="24"/>
          <w:lang w:val="en-US"/>
        </w:rPr>
        <w:t>1</w:t>
      </w:r>
      <w:r w:rsidR="00086BF2" w:rsidRPr="00086BF2">
        <w:rPr>
          <w:rFonts w:ascii="Times New Roman" w:hAnsi="Times New Roman"/>
          <w:color w:val="000000"/>
          <w:sz w:val="24"/>
          <w:szCs w:val="24"/>
          <w:lang w:val="en-US"/>
        </w:rPr>
        <w:t xml:space="preserve"> </w:t>
      </w:r>
      <w:r w:rsidR="00BA1B19">
        <w:rPr>
          <w:rFonts w:ascii="Times New Roman" w:hAnsi="Times New Roman"/>
          <w:color w:val="000000"/>
          <w:sz w:val="24"/>
          <w:szCs w:val="24"/>
          <w:lang w:val="en-US"/>
        </w:rPr>
        <w:t xml:space="preserve">nor </w:t>
      </w:r>
      <w:r w:rsidR="00B02056">
        <w:rPr>
          <w:rFonts w:ascii="Times New Roman" w:hAnsi="Times New Roman"/>
          <w:color w:val="000000"/>
          <w:sz w:val="24"/>
          <w:szCs w:val="24"/>
          <w:lang w:val="en-US"/>
        </w:rPr>
        <w:t xml:space="preserve">at </w:t>
      </w:r>
      <w:r w:rsidR="000C57D7">
        <w:rPr>
          <w:rFonts w:ascii="Times New Roman" w:hAnsi="Times New Roman"/>
          <w:color w:val="000000"/>
          <w:sz w:val="24"/>
          <w:szCs w:val="24"/>
          <w:lang w:val="en-US"/>
        </w:rPr>
        <w:t xml:space="preserve">5 or </w:t>
      </w:r>
      <w:r w:rsidR="00B11FD5">
        <w:rPr>
          <w:rFonts w:ascii="Times New Roman" w:hAnsi="Times New Roman"/>
          <w:color w:val="000000"/>
          <w:sz w:val="24"/>
          <w:szCs w:val="24"/>
          <w:lang w:val="en-US"/>
        </w:rPr>
        <w:t>10%</w:t>
      </w:r>
      <w:r w:rsidR="00086BF2" w:rsidRPr="00086BF2">
        <w:rPr>
          <w:rFonts w:ascii="Times New Roman" w:hAnsi="Times New Roman"/>
          <w:color w:val="000000"/>
          <w:sz w:val="24"/>
          <w:szCs w:val="24"/>
          <w:lang w:val="en-US"/>
        </w:rPr>
        <w:t xml:space="preserve"> significance level: </w:t>
      </w:r>
      <w:r w:rsidR="00D9629E">
        <w:rPr>
          <w:rFonts w:ascii="Times New Roman" w:hAnsi="Times New Roman"/>
          <w:color w:val="000000"/>
          <w:sz w:val="24"/>
          <w:szCs w:val="24"/>
          <w:lang w:val="en-US"/>
        </w:rPr>
        <w:t>In other words, t</w:t>
      </w:r>
      <w:r w:rsidR="00086BF2" w:rsidRPr="00086BF2">
        <w:rPr>
          <w:rFonts w:ascii="Times New Roman" w:hAnsi="Times New Roman"/>
          <w:color w:val="000000"/>
          <w:sz w:val="24"/>
          <w:szCs w:val="24"/>
          <w:lang w:val="en-US"/>
        </w:rPr>
        <w:t xml:space="preserve">here is </w:t>
      </w:r>
      <w:r w:rsidR="00BA1B19">
        <w:rPr>
          <w:rFonts w:ascii="Times New Roman" w:hAnsi="Times New Roman"/>
          <w:color w:val="000000"/>
          <w:sz w:val="24"/>
          <w:szCs w:val="24"/>
          <w:lang w:val="en-US"/>
        </w:rPr>
        <w:t xml:space="preserve">no </w:t>
      </w:r>
      <w:r w:rsidR="00086BF2" w:rsidRPr="00086BF2">
        <w:rPr>
          <w:rFonts w:ascii="Times New Roman" w:hAnsi="Times New Roman"/>
          <w:color w:val="000000"/>
          <w:sz w:val="24"/>
          <w:szCs w:val="24"/>
          <w:lang w:val="en-US"/>
        </w:rPr>
        <w:t xml:space="preserve">evidence to support the claim of a positive relationship between </w:t>
      </w:r>
      <w:r w:rsidR="00086BF2">
        <w:rPr>
          <w:rFonts w:ascii="Times New Roman" w:hAnsi="Times New Roman"/>
          <w:color w:val="000000"/>
          <w:sz w:val="24"/>
          <w:szCs w:val="24"/>
          <w:lang w:val="en-US"/>
        </w:rPr>
        <w:t>government grant</w:t>
      </w:r>
      <w:r w:rsidR="00086BF2" w:rsidRPr="00086BF2">
        <w:rPr>
          <w:rFonts w:ascii="Times New Roman" w:hAnsi="Times New Roman"/>
          <w:color w:val="000000"/>
          <w:sz w:val="24"/>
          <w:szCs w:val="24"/>
          <w:lang w:val="en-US"/>
        </w:rPr>
        <w:t xml:space="preserve"> and </w:t>
      </w:r>
      <w:r w:rsidR="00086BF2">
        <w:rPr>
          <w:rFonts w:ascii="Times New Roman" w:hAnsi="Times New Roman"/>
          <w:color w:val="000000"/>
          <w:sz w:val="24"/>
          <w:szCs w:val="24"/>
          <w:lang w:val="en-US"/>
        </w:rPr>
        <w:t>BEV registrations</w:t>
      </w:r>
      <w:r w:rsidR="00BA1B19">
        <w:rPr>
          <w:rFonts w:ascii="Times New Roman" w:hAnsi="Times New Roman"/>
          <w:color w:val="000000"/>
          <w:sz w:val="24"/>
          <w:szCs w:val="24"/>
          <w:lang w:val="en-US"/>
        </w:rPr>
        <w:t>, given that the influence of fast</w:t>
      </w:r>
      <w:r w:rsidR="00287DC8">
        <w:rPr>
          <w:rFonts w:ascii="Times New Roman" w:hAnsi="Times New Roman"/>
          <w:color w:val="000000"/>
          <w:sz w:val="24"/>
          <w:szCs w:val="24"/>
          <w:lang w:val="en-US"/>
        </w:rPr>
        <w:t>-</w:t>
      </w:r>
      <w:r w:rsidR="00BA1B19">
        <w:rPr>
          <w:rFonts w:ascii="Times New Roman" w:hAnsi="Times New Roman"/>
          <w:color w:val="000000"/>
          <w:sz w:val="24"/>
          <w:szCs w:val="24"/>
          <w:lang w:val="en-US"/>
        </w:rPr>
        <w:t xml:space="preserve">charging infrastructure is </w:t>
      </w:r>
      <w:r w:rsidR="00D9629E">
        <w:rPr>
          <w:rFonts w:ascii="Times New Roman" w:hAnsi="Times New Roman"/>
          <w:color w:val="000000"/>
          <w:sz w:val="24"/>
          <w:szCs w:val="24"/>
          <w:lang w:val="en-US"/>
        </w:rPr>
        <w:t>considered</w:t>
      </w:r>
      <w:r w:rsidR="00086BF2" w:rsidRPr="00086BF2">
        <w:rPr>
          <w:rFonts w:ascii="Times New Roman" w:hAnsi="Times New Roman"/>
          <w:color w:val="000000"/>
          <w:sz w:val="24"/>
          <w:szCs w:val="24"/>
          <w:lang w:val="en-US"/>
        </w:rPr>
        <w:t xml:space="preserve">. </w:t>
      </w:r>
      <w:r w:rsidR="00E3141F" w:rsidRPr="00E3141F">
        <w:rPr>
          <w:rFonts w:ascii="Times New Roman" w:hAnsi="Times New Roman"/>
          <w:color w:val="000000"/>
          <w:sz w:val="24"/>
          <w:szCs w:val="24"/>
          <w:lang w:val="en-US"/>
        </w:rPr>
        <w:t xml:space="preserve">This sensitivity test </w:t>
      </w:r>
      <w:r w:rsidR="005405CE">
        <w:rPr>
          <w:rFonts w:ascii="Times New Roman" w:hAnsi="Times New Roman"/>
          <w:color w:val="000000"/>
          <w:sz w:val="24"/>
          <w:szCs w:val="24"/>
          <w:lang w:val="en-US"/>
        </w:rPr>
        <w:t xml:space="preserve">confirmed the conclusion </w:t>
      </w:r>
      <w:r w:rsidR="00E3141F" w:rsidRPr="00E3141F">
        <w:rPr>
          <w:rFonts w:ascii="Times New Roman" w:hAnsi="Times New Roman"/>
          <w:color w:val="000000"/>
          <w:sz w:val="24"/>
          <w:szCs w:val="24"/>
          <w:lang w:val="en-US"/>
        </w:rPr>
        <w:t xml:space="preserve">that charging </w:t>
      </w:r>
      <w:r w:rsidR="00806A57">
        <w:rPr>
          <w:rFonts w:ascii="Times New Roman" w:hAnsi="Times New Roman"/>
          <w:color w:val="000000"/>
          <w:sz w:val="24"/>
          <w:szCs w:val="24"/>
          <w:lang w:val="en-US"/>
        </w:rPr>
        <w:t>infrastructure</w:t>
      </w:r>
      <w:r w:rsidR="00E3141F" w:rsidRPr="00E3141F">
        <w:rPr>
          <w:rFonts w:ascii="Times New Roman" w:hAnsi="Times New Roman"/>
          <w:color w:val="000000"/>
          <w:sz w:val="24"/>
          <w:szCs w:val="24"/>
          <w:lang w:val="en-US"/>
        </w:rPr>
        <w:t xml:space="preserve"> has</w:t>
      </w:r>
      <w:r w:rsidR="00B859C9">
        <w:rPr>
          <w:rFonts w:ascii="Times New Roman" w:hAnsi="Times New Roman"/>
          <w:color w:val="000000"/>
          <w:sz w:val="24"/>
          <w:szCs w:val="24"/>
          <w:lang w:val="en-US"/>
        </w:rPr>
        <w:t xml:space="preserve"> a</w:t>
      </w:r>
      <w:r w:rsidR="00E3141F" w:rsidRPr="00E3141F">
        <w:rPr>
          <w:rFonts w:ascii="Times New Roman" w:hAnsi="Times New Roman"/>
          <w:color w:val="000000"/>
          <w:sz w:val="24"/>
          <w:szCs w:val="24"/>
          <w:lang w:val="en-US"/>
        </w:rPr>
        <w:t xml:space="preserve"> </w:t>
      </w:r>
      <w:r w:rsidR="00806A57">
        <w:rPr>
          <w:rFonts w:ascii="Times New Roman" w:hAnsi="Times New Roman"/>
          <w:color w:val="000000"/>
          <w:sz w:val="24"/>
          <w:szCs w:val="24"/>
          <w:lang w:val="en-US"/>
        </w:rPr>
        <w:t>significantly</w:t>
      </w:r>
      <w:r w:rsidR="00E3141F" w:rsidRPr="00E3141F">
        <w:rPr>
          <w:rFonts w:ascii="Times New Roman" w:hAnsi="Times New Roman"/>
          <w:color w:val="000000"/>
          <w:sz w:val="24"/>
          <w:szCs w:val="24"/>
          <w:lang w:val="en-US"/>
        </w:rPr>
        <w:t xml:space="preserve"> stronger </w:t>
      </w:r>
      <w:r w:rsidR="00464E6D">
        <w:rPr>
          <w:rFonts w:ascii="Times New Roman" w:hAnsi="Times New Roman"/>
          <w:color w:val="000000"/>
          <w:sz w:val="24"/>
          <w:szCs w:val="24"/>
          <w:lang w:val="en-US"/>
        </w:rPr>
        <w:t>effect</w:t>
      </w:r>
      <w:r w:rsidR="00E3141F" w:rsidRPr="00E3141F">
        <w:rPr>
          <w:rFonts w:ascii="Times New Roman" w:hAnsi="Times New Roman"/>
          <w:color w:val="000000"/>
          <w:sz w:val="24"/>
          <w:szCs w:val="24"/>
          <w:lang w:val="en-US"/>
        </w:rPr>
        <w:t xml:space="preserve"> on BEV sales than government grant. </w:t>
      </w:r>
      <w:r w:rsidR="003B265F">
        <w:rPr>
          <w:rFonts w:ascii="Times New Roman" w:hAnsi="Times New Roman"/>
          <w:color w:val="000000"/>
          <w:sz w:val="24"/>
          <w:szCs w:val="24"/>
          <w:lang w:val="en-US"/>
        </w:rPr>
        <w:t xml:space="preserve">Furthermore, the availability of </w:t>
      </w:r>
      <w:r w:rsidR="00287DC8">
        <w:rPr>
          <w:rFonts w:ascii="Times New Roman" w:hAnsi="Times New Roman"/>
          <w:color w:val="000000"/>
          <w:sz w:val="24"/>
          <w:szCs w:val="24"/>
          <w:lang w:val="en-US"/>
        </w:rPr>
        <w:t>fast-charging</w:t>
      </w:r>
      <w:r w:rsidR="003B265F">
        <w:rPr>
          <w:rFonts w:ascii="Times New Roman" w:hAnsi="Times New Roman"/>
          <w:color w:val="000000"/>
          <w:sz w:val="24"/>
          <w:szCs w:val="24"/>
          <w:lang w:val="en-US"/>
        </w:rPr>
        <w:t xml:space="preserve"> stations is crucial in </w:t>
      </w:r>
      <w:r w:rsidR="00B63BC5">
        <w:rPr>
          <w:rFonts w:ascii="Times New Roman" w:hAnsi="Times New Roman"/>
          <w:color w:val="000000"/>
          <w:sz w:val="24"/>
          <w:szCs w:val="24"/>
          <w:lang w:val="en-US"/>
        </w:rPr>
        <w:t>predicting</w:t>
      </w:r>
      <w:r w:rsidR="003B265F">
        <w:rPr>
          <w:rFonts w:ascii="Times New Roman" w:hAnsi="Times New Roman"/>
          <w:color w:val="000000"/>
          <w:sz w:val="24"/>
          <w:szCs w:val="24"/>
          <w:lang w:val="en-US"/>
        </w:rPr>
        <w:t xml:space="preserve"> BEV </w:t>
      </w:r>
      <w:r w:rsidR="003B265F">
        <w:rPr>
          <w:rFonts w:ascii="Times New Roman" w:hAnsi="Times New Roman"/>
          <w:color w:val="000000"/>
          <w:sz w:val="24"/>
          <w:szCs w:val="24"/>
          <w:lang w:val="en-US"/>
        </w:rPr>
        <w:lastRenderedPageBreak/>
        <w:t xml:space="preserve">adoption. </w:t>
      </w:r>
      <w:r w:rsidR="00E3141F" w:rsidRPr="00E3141F">
        <w:rPr>
          <w:rFonts w:ascii="Times New Roman" w:hAnsi="Times New Roman"/>
          <w:color w:val="000000"/>
          <w:sz w:val="24"/>
          <w:szCs w:val="24"/>
          <w:lang w:val="en-US"/>
        </w:rPr>
        <w:t xml:space="preserve">This result is in line with the results obtained by </w:t>
      </w:r>
      <w:r w:rsidR="00E3141F">
        <w:rPr>
          <w:rFonts w:ascii="Times New Roman" w:hAnsi="Times New Roman"/>
          <w:color w:val="000000"/>
          <w:sz w:val="24"/>
          <w:szCs w:val="24"/>
          <w:lang w:val="en-US"/>
        </w:rPr>
        <w:fldChar w:fldCharType="begin" w:fldLock="1"/>
      </w:r>
      <w:r w:rsidR="00EB2503">
        <w:rPr>
          <w:rFonts w:ascii="Times New Roman" w:hAnsi="Times New Roman"/>
          <w:color w:val="000000"/>
          <w:sz w:val="24"/>
          <w:szCs w:val="24"/>
          <w:lang w:val="en-US"/>
        </w:rPr>
        <w:instrText>ADDIN CSL_CITATION {"citationItems":[{"id":"ITEM-1","itemData":{"DOI":"10.1016/j.enpol.2014.01.043","ISSN":"0301-4215","abstract":"Electric vehicles represent an innovation with the potential to lower greenhouse gas emissions and help mitigate the causes of climate change. However, externalities including the appropriability of knowledge and pollution abatement result in societal/economic benefits that are not incorporated in electric vehicle prices. In order to address resulting market failures, governments have employed a number of policies. We seek to determine the relationship of one such policy instrument (consumer financial incentives) to electric vehicle adoption. Based on existing literature, we identified several additional socio-economic factors that are expected to be influential in determining electric vehicle adoption rates. Using multiple linear regression analysis, we examined the relationship between those variables and 30 national electric vehicle market shares for the year 2012. The model found financial incentives, charging infrastructure, and local presence of production facilities to be significant and positively correlated to a country's electric vehicle market share. Results suggest that of those factors, charging infrastructure was most strongly related to electric vehicle adoption. However, descriptive analysis suggests that neither financial incentives nor charging infrastructure ensure high electric vehicle adoption rates.","author":[{"dropping-particle":"","family":"Sierzchula","given":"William","non-dropping-particle":"","parse-names":false,"suffix":""},{"dropping-particle":"","family":"Bakker","given":"Sjoerd","non-dropping-particle":"","parse-names":false,"suffix":""},{"dropping-particle":"","family":"Maat","given":"Kees","non-dropping-particle":"","parse-names":false,"suffix":""},{"dropping-particle":"Van","family":"Wee","given":"Bert","non-dropping-particle":"","parse-names":false,"suffix":""}],"container-title":"Energy Policy","id":"ITEM-1","issued":{"date-parts":[["2014"]]},"page":"183-194","publisher":"Elsevier","title":"The influence of financial incentives and other socio-economic factors on electric vehicle adoption","type":"article-journal","volume":"68"},"uris":["http://www.mendeley.com/documents/?uuid=f1a1a9f7-9f18-4164-9ee7-21721c9a3735"]}],"mendeley":{"formattedCitation":"(Sierzchula et al., 2014)","manualFormatting":"Sierzchula et al., 2014","plainTextFormattedCitation":"(Sierzchula et al., 2014)","previouslyFormattedCitation":"(Sierzchula et al., 2014)"},"properties":{"noteIndex":0},"schema":"https://github.com/citation-style-language/schema/raw/master/csl-citation.json"}</w:instrText>
      </w:r>
      <w:r w:rsidR="00E3141F">
        <w:rPr>
          <w:rFonts w:ascii="Times New Roman" w:hAnsi="Times New Roman"/>
          <w:color w:val="000000"/>
          <w:sz w:val="24"/>
          <w:szCs w:val="24"/>
          <w:lang w:val="en-US"/>
        </w:rPr>
        <w:fldChar w:fldCharType="separate"/>
      </w:r>
      <w:r w:rsidR="00E3141F" w:rsidRPr="00E3141F">
        <w:rPr>
          <w:rFonts w:ascii="Times New Roman" w:hAnsi="Times New Roman"/>
          <w:noProof/>
          <w:color w:val="000000"/>
          <w:sz w:val="24"/>
          <w:szCs w:val="24"/>
          <w:lang w:val="en-US"/>
        </w:rPr>
        <w:t>Sierzchula et al., 2014</w:t>
      </w:r>
      <w:r w:rsidR="00E3141F">
        <w:rPr>
          <w:rFonts w:ascii="Times New Roman" w:hAnsi="Times New Roman"/>
          <w:color w:val="000000"/>
          <w:sz w:val="24"/>
          <w:szCs w:val="24"/>
          <w:lang w:val="en-US"/>
        </w:rPr>
        <w:fldChar w:fldCharType="end"/>
      </w:r>
      <w:r w:rsidR="00134EA9">
        <w:rPr>
          <w:rFonts w:ascii="Times New Roman" w:hAnsi="Times New Roman"/>
          <w:color w:val="000000"/>
          <w:sz w:val="24"/>
          <w:szCs w:val="24"/>
          <w:lang w:val="en-US"/>
        </w:rPr>
        <w:t xml:space="preserve">. In this study, charging infrastructure was found out to be a </w:t>
      </w:r>
      <w:r w:rsidR="00464E6D">
        <w:rPr>
          <w:rFonts w:ascii="Times New Roman" w:hAnsi="Times New Roman"/>
          <w:color w:val="000000"/>
          <w:sz w:val="24"/>
          <w:szCs w:val="24"/>
          <w:lang w:val="en-US"/>
        </w:rPr>
        <w:t>bette</w:t>
      </w:r>
      <w:r w:rsidR="00134EA9">
        <w:rPr>
          <w:rFonts w:ascii="Times New Roman" w:hAnsi="Times New Roman"/>
          <w:color w:val="000000"/>
          <w:sz w:val="24"/>
          <w:szCs w:val="24"/>
          <w:lang w:val="en-US"/>
        </w:rPr>
        <w:t>r predictor of EV adoption rates than financial incentives.</w:t>
      </w:r>
      <w:r w:rsidR="00134EA9" w:rsidRPr="00134EA9">
        <w:rPr>
          <w:rFonts w:ascii="Times New Roman" w:hAnsi="Times New Roman"/>
          <w:color w:val="000000"/>
          <w:sz w:val="24"/>
          <w:szCs w:val="24"/>
          <w:lang w:val="en-US"/>
        </w:rPr>
        <w:t xml:space="preserve"> </w:t>
      </w:r>
      <w:r w:rsidR="00134EA9">
        <w:rPr>
          <w:rFonts w:ascii="Times New Roman" w:hAnsi="Times New Roman"/>
          <w:color w:val="000000"/>
          <w:sz w:val="24"/>
          <w:szCs w:val="24"/>
          <w:lang w:val="en-US"/>
        </w:rPr>
        <w:t>Our model goes further and shows that the type of charging infrastructure roll-out plays an important role.</w:t>
      </w:r>
      <w:r w:rsidR="00F924CD">
        <w:rPr>
          <w:rFonts w:ascii="Times New Roman" w:hAnsi="Times New Roman"/>
          <w:color w:val="000000"/>
          <w:sz w:val="24"/>
          <w:szCs w:val="24"/>
          <w:lang w:val="en-US"/>
        </w:rPr>
        <w:t xml:space="preserve"> </w:t>
      </w:r>
    </w:p>
    <w:p w:rsidR="0092349C" w:rsidRDefault="00362A3B" w:rsidP="00CE182C">
      <w:pPr>
        <w:spacing w:after="120"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Within the scope of this paper, t</w:t>
      </w:r>
      <w:r w:rsidR="0092349C" w:rsidRPr="00E3141F">
        <w:rPr>
          <w:rFonts w:ascii="Times New Roman" w:hAnsi="Times New Roman"/>
          <w:color w:val="000000"/>
          <w:sz w:val="24"/>
          <w:szCs w:val="24"/>
          <w:lang w:val="en-US"/>
        </w:rPr>
        <w:t>he</w:t>
      </w:r>
      <w:r w:rsidR="00E82F44">
        <w:rPr>
          <w:rFonts w:ascii="Times New Roman" w:hAnsi="Times New Roman"/>
          <w:color w:val="000000"/>
          <w:sz w:val="24"/>
          <w:szCs w:val="24"/>
          <w:lang w:val="en-US"/>
        </w:rPr>
        <w:t xml:space="preserve">se </w:t>
      </w:r>
      <w:r w:rsidR="0092349C" w:rsidRPr="00E3141F">
        <w:rPr>
          <w:rFonts w:ascii="Times New Roman" w:hAnsi="Times New Roman"/>
          <w:color w:val="000000"/>
          <w:sz w:val="24"/>
          <w:szCs w:val="24"/>
          <w:lang w:val="en-US"/>
        </w:rPr>
        <w:t xml:space="preserve">empirical results </w:t>
      </w:r>
      <w:r w:rsidR="00BA1B19">
        <w:rPr>
          <w:rFonts w:ascii="Times New Roman" w:hAnsi="Times New Roman"/>
          <w:color w:val="000000"/>
          <w:sz w:val="24"/>
          <w:szCs w:val="24"/>
          <w:lang w:val="en-US"/>
        </w:rPr>
        <w:t xml:space="preserve">shed light </w:t>
      </w:r>
      <w:r w:rsidR="00DD67F1">
        <w:rPr>
          <w:rFonts w:ascii="Times New Roman" w:hAnsi="Times New Roman"/>
          <w:color w:val="000000"/>
          <w:sz w:val="24"/>
          <w:szCs w:val="24"/>
          <w:lang w:val="en-US"/>
        </w:rPr>
        <w:t>on</w:t>
      </w:r>
      <w:r w:rsidR="00BA1B19">
        <w:rPr>
          <w:rFonts w:ascii="Times New Roman" w:hAnsi="Times New Roman"/>
          <w:color w:val="000000"/>
          <w:sz w:val="24"/>
          <w:szCs w:val="24"/>
          <w:lang w:val="en-US"/>
        </w:rPr>
        <w:t xml:space="preserve"> the research questions examined. </w:t>
      </w:r>
      <w:r w:rsidR="00EB7E53">
        <w:rPr>
          <w:rFonts w:ascii="Times New Roman" w:hAnsi="Times New Roman"/>
          <w:color w:val="000000"/>
          <w:sz w:val="24"/>
          <w:szCs w:val="24"/>
          <w:lang w:val="en-US"/>
        </w:rPr>
        <w:t>Countries’ BEV market shares in the sample did not reveal statistically significant differences, even though the overall BEV market share in Norway (as a single value) was dramatically higher, in comparison to other counties. A</w:t>
      </w:r>
      <w:r w:rsidR="006616D9">
        <w:rPr>
          <w:rFonts w:ascii="Times New Roman" w:hAnsi="Times New Roman"/>
          <w:color w:val="000000"/>
          <w:sz w:val="24"/>
          <w:szCs w:val="24"/>
          <w:lang w:val="en-US"/>
        </w:rPr>
        <w:t>s</w:t>
      </w:r>
      <w:r w:rsidR="00EB7E53">
        <w:rPr>
          <w:rFonts w:ascii="Times New Roman" w:hAnsi="Times New Roman"/>
          <w:color w:val="000000"/>
          <w:sz w:val="24"/>
          <w:szCs w:val="24"/>
          <w:lang w:val="en-US"/>
        </w:rPr>
        <w:t xml:space="preserve"> to research questions 2 and 3, we found out that </w:t>
      </w:r>
      <w:r w:rsidR="00B33FA2">
        <w:rPr>
          <w:rFonts w:ascii="Times New Roman" w:hAnsi="Times New Roman"/>
          <w:color w:val="000000"/>
          <w:sz w:val="24"/>
          <w:szCs w:val="24"/>
          <w:lang w:val="en-US"/>
        </w:rPr>
        <w:t xml:space="preserve">across the countries </w:t>
      </w:r>
      <w:r w:rsidR="00287DC8">
        <w:rPr>
          <w:rFonts w:ascii="Times New Roman" w:hAnsi="Times New Roman"/>
          <w:color w:val="000000"/>
          <w:sz w:val="24"/>
          <w:szCs w:val="24"/>
          <w:lang w:val="en-US"/>
        </w:rPr>
        <w:t>fast-charging</w:t>
      </w:r>
      <w:r w:rsidR="00EB7E53">
        <w:rPr>
          <w:rFonts w:ascii="Times New Roman" w:hAnsi="Times New Roman"/>
          <w:color w:val="000000"/>
          <w:sz w:val="24"/>
          <w:szCs w:val="24"/>
          <w:lang w:val="en-US"/>
        </w:rPr>
        <w:t xml:space="preserve"> stations, </w:t>
      </w:r>
      <w:r w:rsidR="00016EA7">
        <w:rPr>
          <w:rFonts w:ascii="Times New Roman" w:hAnsi="Times New Roman"/>
          <w:color w:val="000000"/>
          <w:sz w:val="24"/>
          <w:szCs w:val="24"/>
          <w:lang w:val="en-US"/>
        </w:rPr>
        <w:t xml:space="preserve">driving range, urban density, reduction in company car tax, </w:t>
      </w:r>
      <w:r w:rsidR="00F201CD">
        <w:rPr>
          <w:rFonts w:ascii="Times New Roman" w:hAnsi="Times New Roman"/>
          <w:color w:val="000000"/>
          <w:sz w:val="24"/>
          <w:szCs w:val="24"/>
          <w:lang w:val="en-US"/>
        </w:rPr>
        <w:t xml:space="preserve">HOV/Bus </w:t>
      </w:r>
      <w:r w:rsidR="00EB7E53">
        <w:rPr>
          <w:rFonts w:ascii="Times New Roman" w:hAnsi="Times New Roman"/>
          <w:color w:val="000000"/>
          <w:sz w:val="24"/>
          <w:szCs w:val="24"/>
          <w:lang w:val="en-US"/>
        </w:rPr>
        <w:t xml:space="preserve">lane access, </w:t>
      </w:r>
      <w:r w:rsidR="00016EA7">
        <w:rPr>
          <w:rFonts w:ascii="Times New Roman" w:hAnsi="Times New Roman"/>
          <w:color w:val="000000"/>
          <w:sz w:val="24"/>
          <w:szCs w:val="24"/>
          <w:lang w:val="en-US"/>
        </w:rPr>
        <w:t xml:space="preserve">and </w:t>
      </w:r>
      <w:r w:rsidR="00EB7E53">
        <w:rPr>
          <w:rFonts w:ascii="Times New Roman" w:hAnsi="Times New Roman"/>
          <w:color w:val="000000"/>
          <w:sz w:val="24"/>
          <w:szCs w:val="24"/>
          <w:lang w:val="en-US"/>
        </w:rPr>
        <w:t xml:space="preserve">BEV model availability positively influence adoption rates, whereas VAT amount was identified as a negative factor. </w:t>
      </w:r>
      <w:r w:rsidR="00B33FA2">
        <w:rPr>
          <w:rFonts w:ascii="Times New Roman" w:hAnsi="Times New Roman"/>
          <w:color w:val="000000"/>
          <w:sz w:val="24"/>
          <w:szCs w:val="24"/>
          <w:lang w:val="en-US"/>
        </w:rPr>
        <w:t>In other words, both BEV-</w:t>
      </w:r>
      <w:r w:rsidR="00CC5437">
        <w:rPr>
          <w:rFonts w:ascii="Times New Roman" w:hAnsi="Times New Roman"/>
          <w:color w:val="000000"/>
          <w:sz w:val="24"/>
          <w:szCs w:val="24"/>
          <w:lang w:val="en-US"/>
        </w:rPr>
        <w:t>level</w:t>
      </w:r>
      <w:r w:rsidR="00B33FA2">
        <w:rPr>
          <w:rFonts w:ascii="Times New Roman" w:hAnsi="Times New Roman"/>
          <w:color w:val="000000"/>
          <w:sz w:val="24"/>
          <w:szCs w:val="24"/>
          <w:lang w:val="en-US"/>
        </w:rPr>
        <w:t xml:space="preserve"> and country-</w:t>
      </w:r>
      <w:r w:rsidR="00CC5437">
        <w:rPr>
          <w:rFonts w:ascii="Times New Roman" w:hAnsi="Times New Roman"/>
          <w:color w:val="000000"/>
          <w:sz w:val="24"/>
          <w:szCs w:val="24"/>
          <w:lang w:val="en-US"/>
        </w:rPr>
        <w:t>level</w:t>
      </w:r>
      <w:r w:rsidR="00B33FA2">
        <w:rPr>
          <w:rFonts w:ascii="Times New Roman" w:hAnsi="Times New Roman"/>
          <w:color w:val="000000"/>
          <w:sz w:val="24"/>
          <w:szCs w:val="24"/>
          <w:lang w:val="en-US"/>
        </w:rPr>
        <w:t xml:space="preserve"> factors affect the BEV market penetration, with </w:t>
      </w:r>
      <w:r w:rsidR="00287DC8">
        <w:rPr>
          <w:rFonts w:ascii="Times New Roman" w:hAnsi="Times New Roman"/>
          <w:color w:val="000000"/>
          <w:sz w:val="24"/>
          <w:szCs w:val="24"/>
          <w:lang w:val="en-US"/>
        </w:rPr>
        <w:t>fast-charging</w:t>
      </w:r>
      <w:r w:rsidR="00B33FA2">
        <w:rPr>
          <w:rFonts w:ascii="Times New Roman" w:hAnsi="Times New Roman"/>
          <w:color w:val="000000"/>
          <w:sz w:val="24"/>
          <w:szCs w:val="24"/>
          <w:lang w:val="en-US"/>
        </w:rPr>
        <w:t xml:space="preserve"> infrastructure having the highest explanatory power. Unexpectedly, g</w:t>
      </w:r>
      <w:r w:rsidR="0018021F">
        <w:rPr>
          <w:rFonts w:ascii="Times New Roman" w:hAnsi="Times New Roman"/>
          <w:color w:val="000000"/>
          <w:sz w:val="24"/>
          <w:szCs w:val="24"/>
          <w:lang w:val="en-US"/>
        </w:rPr>
        <w:t xml:space="preserve">overnment grant </w:t>
      </w:r>
      <w:r w:rsidR="00AA4811">
        <w:rPr>
          <w:rFonts w:ascii="Times New Roman" w:hAnsi="Times New Roman"/>
          <w:color w:val="000000"/>
          <w:sz w:val="24"/>
          <w:szCs w:val="24"/>
          <w:lang w:val="en-US"/>
        </w:rPr>
        <w:t xml:space="preserve">was not found to </w:t>
      </w:r>
      <w:r w:rsidR="0018021F">
        <w:rPr>
          <w:rFonts w:ascii="Times New Roman" w:hAnsi="Times New Roman"/>
          <w:color w:val="000000"/>
          <w:sz w:val="24"/>
          <w:szCs w:val="24"/>
          <w:lang w:val="en-US"/>
        </w:rPr>
        <w:t xml:space="preserve">contribute to the increasing adoption rates </w:t>
      </w:r>
      <w:r w:rsidR="00AA4811">
        <w:rPr>
          <w:rFonts w:ascii="Times New Roman" w:hAnsi="Times New Roman"/>
          <w:color w:val="000000"/>
          <w:sz w:val="24"/>
          <w:szCs w:val="24"/>
          <w:lang w:val="en-US"/>
        </w:rPr>
        <w:t xml:space="preserve">when </w:t>
      </w:r>
      <w:r w:rsidR="0018021F">
        <w:rPr>
          <w:rFonts w:ascii="Times New Roman" w:hAnsi="Times New Roman"/>
          <w:color w:val="000000"/>
          <w:sz w:val="24"/>
          <w:szCs w:val="24"/>
          <w:lang w:val="en-US"/>
        </w:rPr>
        <w:t xml:space="preserve">the effect of </w:t>
      </w:r>
      <w:r w:rsidR="00287DC8">
        <w:rPr>
          <w:rFonts w:ascii="Times New Roman" w:hAnsi="Times New Roman"/>
          <w:color w:val="000000"/>
          <w:sz w:val="24"/>
          <w:szCs w:val="24"/>
          <w:lang w:val="en-US"/>
        </w:rPr>
        <w:t>fast-charging</w:t>
      </w:r>
      <w:r w:rsidR="00E46199">
        <w:rPr>
          <w:rFonts w:ascii="Times New Roman" w:hAnsi="Times New Roman"/>
          <w:color w:val="000000"/>
          <w:sz w:val="24"/>
          <w:szCs w:val="24"/>
          <w:lang w:val="en-US"/>
        </w:rPr>
        <w:t xml:space="preserve"> stations</w:t>
      </w:r>
      <w:r w:rsidR="00AA4811">
        <w:rPr>
          <w:rFonts w:ascii="Times New Roman" w:hAnsi="Times New Roman"/>
          <w:color w:val="000000"/>
          <w:sz w:val="24"/>
          <w:szCs w:val="24"/>
          <w:lang w:val="en-US"/>
        </w:rPr>
        <w:t xml:space="preserve"> was considered</w:t>
      </w:r>
      <w:r w:rsidR="0018021F">
        <w:rPr>
          <w:rFonts w:ascii="Times New Roman" w:hAnsi="Times New Roman"/>
          <w:color w:val="000000"/>
          <w:sz w:val="24"/>
          <w:szCs w:val="24"/>
          <w:lang w:val="en-US"/>
        </w:rPr>
        <w:t xml:space="preserve">. </w:t>
      </w:r>
      <w:r w:rsidR="00AA4811">
        <w:rPr>
          <w:rFonts w:ascii="Times New Roman" w:hAnsi="Times New Roman"/>
          <w:color w:val="000000"/>
          <w:sz w:val="24"/>
          <w:szCs w:val="24"/>
          <w:lang w:val="en-US"/>
        </w:rPr>
        <w:t>Instead, other public incentives came into play such as reduction in company car tax and VAT amount, with</w:t>
      </w:r>
      <w:r w:rsidR="00AA4811" w:rsidRPr="00AA4811">
        <w:rPr>
          <w:rFonts w:ascii="Times New Roman" w:hAnsi="Times New Roman"/>
          <w:color w:val="000000"/>
          <w:sz w:val="24"/>
          <w:szCs w:val="24"/>
          <w:lang w:val="en-US"/>
        </w:rPr>
        <w:t xml:space="preserve"> </w:t>
      </w:r>
      <w:r w:rsidR="00F201CD">
        <w:rPr>
          <w:rFonts w:ascii="Times New Roman" w:hAnsi="Times New Roman"/>
          <w:color w:val="000000"/>
          <w:sz w:val="24"/>
          <w:szCs w:val="24"/>
          <w:lang w:val="en-US"/>
        </w:rPr>
        <w:t xml:space="preserve">HOV/Bus </w:t>
      </w:r>
      <w:r w:rsidR="00AA4811">
        <w:rPr>
          <w:rFonts w:ascii="Times New Roman" w:hAnsi="Times New Roman"/>
          <w:color w:val="000000"/>
          <w:sz w:val="24"/>
          <w:szCs w:val="24"/>
          <w:lang w:val="en-US"/>
        </w:rPr>
        <w:t xml:space="preserve">lane access staying significant. </w:t>
      </w:r>
      <w:r w:rsidR="00E46199">
        <w:rPr>
          <w:rFonts w:ascii="Times New Roman" w:hAnsi="Times New Roman"/>
          <w:color w:val="000000"/>
          <w:sz w:val="24"/>
          <w:szCs w:val="24"/>
          <w:lang w:val="en-US"/>
        </w:rPr>
        <w:t>The o</w:t>
      </w:r>
      <w:r w:rsidR="0018021F">
        <w:rPr>
          <w:rFonts w:ascii="Times New Roman" w:hAnsi="Times New Roman"/>
          <w:color w:val="000000"/>
          <w:sz w:val="24"/>
          <w:szCs w:val="24"/>
          <w:lang w:val="en-US"/>
        </w:rPr>
        <w:t xml:space="preserve">btained results </w:t>
      </w:r>
      <w:r w:rsidR="00AB1EA0">
        <w:rPr>
          <w:rFonts w:ascii="Times New Roman" w:hAnsi="Times New Roman"/>
          <w:color w:val="000000"/>
          <w:sz w:val="24"/>
          <w:szCs w:val="24"/>
          <w:lang w:val="en-US"/>
        </w:rPr>
        <w:t xml:space="preserve">show the importance of examining multidimensional factors </w:t>
      </w:r>
      <w:r w:rsidR="00232B47">
        <w:rPr>
          <w:rFonts w:ascii="Times New Roman" w:hAnsi="Times New Roman"/>
          <w:color w:val="000000"/>
          <w:sz w:val="24"/>
          <w:szCs w:val="24"/>
          <w:lang w:val="en-US"/>
        </w:rPr>
        <w:t xml:space="preserve">on an international sample </w:t>
      </w:r>
      <w:r w:rsidR="00AB1EA0">
        <w:rPr>
          <w:rFonts w:ascii="Times New Roman" w:hAnsi="Times New Roman"/>
          <w:color w:val="000000"/>
          <w:sz w:val="24"/>
          <w:szCs w:val="24"/>
          <w:lang w:val="en-US"/>
        </w:rPr>
        <w:t>when studying</w:t>
      </w:r>
      <w:r w:rsidR="00232B47">
        <w:rPr>
          <w:rFonts w:ascii="Times New Roman" w:hAnsi="Times New Roman"/>
          <w:color w:val="000000"/>
          <w:sz w:val="24"/>
          <w:szCs w:val="24"/>
          <w:lang w:val="en-US"/>
        </w:rPr>
        <w:t xml:space="preserve"> the influence of public policy on the BEV market adoption. Indeed, </w:t>
      </w:r>
      <w:r w:rsidR="002308A1">
        <w:rPr>
          <w:rFonts w:ascii="Times New Roman" w:hAnsi="Times New Roman"/>
          <w:color w:val="000000"/>
          <w:sz w:val="24"/>
          <w:szCs w:val="24"/>
          <w:lang w:val="en-US"/>
        </w:rPr>
        <w:t xml:space="preserve">paying attention to the variability in policy incentives and charging infrastructure roll-out allowed </w:t>
      </w:r>
      <w:r w:rsidR="002308A1" w:rsidRPr="00F924CD">
        <w:rPr>
          <w:rFonts w:ascii="Times New Roman" w:hAnsi="Times New Roman"/>
          <w:color w:val="000000"/>
          <w:sz w:val="24"/>
          <w:szCs w:val="24"/>
          <w:lang w:val="en-US"/>
        </w:rPr>
        <w:t xml:space="preserve">us to </w:t>
      </w:r>
      <w:r w:rsidR="00BF6C73">
        <w:rPr>
          <w:rFonts w:ascii="Times New Roman" w:hAnsi="Times New Roman"/>
          <w:color w:val="000000"/>
          <w:sz w:val="24"/>
          <w:szCs w:val="24"/>
          <w:lang w:val="en-US"/>
        </w:rPr>
        <w:t>look further into the matter</w:t>
      </w:r>
      <w:r w:rsidR="00A80F8D">
        <w:rPr>
          <w:rFonts w:ascii="Times New Roman" w:hAnsi="Times New Roman"/>
          <w:color w:val="000000"/>
          <w:sz w:val="24"/>
          <w:szCs w:val="24"/>
          <w:lang w:val="en-US"/>
        </w:rPr>
        <w:t xml:space="preserve">. Our findings </w:t>
      </w:r>
      <w:r w:rsidR="0092349C" w:rsidRPr="00E3141F">
        <w:rPr>
          <w:rFonts w:ascii="Times New Roman" w:hAnsi="Times New Roman"/>
          <w:color w:val="000000"/>
          <w:sz w:val="24"/>
          <w:szCs w:val="24"/>
          <w:lang w:val="en-US"/>
        </w:rPr>
        <w:t xml:space="preserve">are confirmed by the stated preference studies which identified </w:t>
      </w:r>
      <w:r w:rsidR="00287DC8">
        <w:rPr>
          <w:rFonts w:ascii="Times New Roman" w:hAnsi="Times New Roman"/>
          <w:color w:val="000000"/>
          <w:sz w:val="24"/>
          <w:szCs w:val="24"/>
          <w:lang w:val="en-US"/>
        </w:rPr>
        <w:t>fast-charging</w:t>
      </w:r>
      <w:r w:rsidR="0092349C" w:rsidRPr="00E3141F">
        <w:rPr>
          <w:rFonts w:ascii="Times New Roman" w:hAnsi="Times New Roman"/>
          <w:color w:val="000000"/>
          <w:sz w:val="24"/>
          <w:szCs w:val="24"/>
          <w:lang w:val="en-US"/>
        </w:rPr>
        <w:t xml:space="preserve"> stations and driving range as by far the most </w:t>
      </w:r>
      <w:r w:rsidR="00E46199">
        <w:rPr>
          <w:rFonts w:ascii="Times New Roman" w:hAnsi="Times New Roman"/>
          <w:color w:val="000000"/>
          <w:sz w:val="24"/>
          <w:szCs w:val="24"/>
          <w:lang w:val="en-US"/>
        </w:rPr>
        <w:t>important</w:t>
      </w:r>
      <w:r w:rsidR="0092349C" w:rsidRPr="00E3141F">
        <w:rPr>
          <w:rFonts w:ascii="Times New Roman" w:hAnsi="Times New Roman"/>
          <w:color w:val="000000"/>
          <w:sz w:val="24"/>
          <w:szCs w:val="24"/>
          <w:lang w:val="en-US"/>
        </w:rPr>
        <w:t xml:space="preserve"> factors influencing </w:t>
      </w:r>
      <w:r>
        <w:rPr>
          <w:rFonts w:ascii="Times New Roman" w:hAnsi="Times New Roman"/>
          <w:color w:val="000000"/>
          <w:sz w:val="24"/>
          <w:szCs w:val="24"/>
          <w:lang w:val="en-US"/>
        </w:rPr>
        <w:t xml:space="preserve">EV </w:t>
      </w:r>
      <w:r w:rsidR="0092349C" w:rsidRPr="00E3141F">
        <w:rPr>
          <w:rFonts w:ascii="Times New Roman" w:hAnsi="Times New Roman"/>
          <w:color w:val="000000"/>
          <w:sz w:val="24"/>
          <w:szCs w:val="24"/>
          <w:lang w:val="en-US"/>
        </w:rPr>
        <w:t xml:space="preserve">purchase decision, along with the </w:t>
      </w:r>
      <w:r w:rsidR="00CE4A3F">
        <w:rPr>
          <w:rFonts w:ascii="Times New Roman" w:hAnsi="Times New Roman"/>
          <w:color w:val="000000"/>
          <w:sz w:val="24"/>
          <w:szCs w:val="24"/>
          <w:lang w:val="en-US"/>
        </w:rPr>
        <w:t>model’s</w:t>
      </w:r>
      <w:r w:rsidR="0018021F">
        <w:rPr>
          <w:rFonts w:ascii="Times New Roman" w:hAnsi="Times New Roman"/>
          <w:color w:val="000000"/>
          <w:sz w:val="24"/>
          <w:szCs w:val="24"/>
          <w:lang w:val="en-US"/>
        </w:rPr>
        <w:t xml:space="preserve"> availability</w:t>
      </w:r>
      <w:r w:rsidR="0092349C" w:rsidRPr="00E3141F">
        <w:rPr>
          <w:rFonts w:ascii="Times New Roman" w:hAnsi="Times New Roman"/>
          <w:color w:val="000000"/>
          <w:sz w:val="24"/>
          <w:szCs w:val="24"/>
          <w:lang w:val="en-US"/>
        </w:rPr>
        <w:t xml:space="preserve"> that w</w:t>
      </w:r>
      <w:r w:rsidR="00401FDE">
        <w:rPr>
          <w:rFonts w:ascii="Times New Roman" w:hAnsi="Times New Roman"/>
          <w:color w:val="000000"/>
          <w:sz w:val="24"/>
          <w:szCs w:val="24"/>
          <w:lang w:val="en-US"/>
        </w:rPr>
        <w:t>as</w:t>
      </w:r>
      <w:r w:rsidR="0092349C" w:rsidRPr="00E3141F">
        <w:rPr>
          <w:rFonts w:ascii="Times New Roman" w:hAnsi="Times New Roman"/>
          <w:color w:val="000000"/>
          <w:sz w:val="24"/>
          <w:szCs w:val="24"/>
          <w:lang w:val="en-US"/>
        </w:rPr>
        <w:t xml:space="preserve"> also mentioned.</w:t>
      </w:r>
      <w:r w:rsidR="00401FDE">
        <w:rPr>
          <w:rFonts w:ascii="Times New Roman" w:hAnsi="Times New Roman"/>
          <w:color w:val="000000"/>
          <w:sz w:val="24"/>
          <w:szCs w:val="24"/>
          <w:lang w:val="en-US"/>
        </w:rPr>
        <w:t xml:space="preserve"> </w:t>
      </w:r>
      <w:r w:rsidR="00E46199">
        <w:rPr>
          <w:rFonts w:ascii="Times New Roman" w:hAnsi="Times New Roman"/>
          <w:color w:val="000000"/>
          <w:sz w:val="24"/>
          <w:szCs w:val="24"/>
          <w:lang w:val="en-US"/>
        </w:rPr>
        <w:t>Public</w:t>
      </w:r>
      <w:r w:rsidR="00401FDE">
        <w:rPr>
          <w:rFonts w:ascii="Times New Roman" w:hAnsi="Times New Roman"/>
          <w:color w:val="000000"/>
          <w:sz w:val="24"/>
          <w:szCs w:val="24"/>
          <w:lang w:val="en-US"/>
        </w:rPr>
        <w:t xml:space="preserve"> incentives </w:t>
      </w:r>
      <w:r>
        <w:rPr>
          <w:rFonts w:ascii="Times New Roman" w:hAnsi="Times New Roman"/>
          <w:color w:val="000000"/>
          <w:sz w:val="24"/>
          <w:szCs w:val="24"/>
          <w:lang w:val="en-US"/>
        </w:rPr>
        <w:t xml:space="preserve">including both financial incentives and such special privileges as </w:t>
      </w:r>
      <w:r w:rsidR="00F201CD">
        <w:rPr>
          <w:rFonts w:ascii="Times New Roman" w:hAnsi="Times New Roman"/>
          <w:color w:val="000000"/>
          <w:sz w:val="24"/>
          <w:szCs w:val="24"/>
          <w:lang w:val="en-US"/>
        </w:rPr>
        <w:t xml:space="preserve">HOV/Bus </w:t>
      </w:r>
      <w:r>
        <w:rPr>
          <w:rFonts w:ascii="Times New Roman" w:hAnsi="Times New Roman"/>
          <w:color w:val="000000"/>
          <w:sz w:val="24"/>
          <w:szCs w:val="24"/>
          <w:lang w:val="en-US"/>
        </w:rPr>
        <w:t xml:space="preserve">lane access </w:t>
      </w:r>
      <w:r w:rsidR="00401FDE">
        <w:rPr>
          <w:rFonts w:ascii="Times New Roman" w:hAnsi="Times New Roman"/>
          <w:color w:val="000000"/>
          <w:sz w:val="24"/>
          <w:szCs w:val="24"/>
          <w:lang w:val="en-US"/>
        </w:rPr>
        <w:t xml:space="preserve">were also </w:t>
      </w:r>
      <w:r>
        <w:rPr>
          <w:rFonts w:ascii="Times New Roman" w:hAnsi="Times New Roman"/>
          <w:color w:val="000000"/>
          <w:sz w:val="24"/>
          <w:szCs w:val="24"/>
          <w:lang w:val="en-US"/>
        </w:rPr>
        <w:t>viewed</w:t>
      </w:r>
      <w:r w:rsidR="00401FDE">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by respondents </w:t>
      </w:r>
      <w:r w:rsidR="00401FDE">
        <w:rPr>
          <w:rFonts w:ascii="Times New Roman" w:hAnsi="Times New Roman"/>
          <w:color w:val="000000"/>
          <w:sz w:val="24"/>
          <w:szCs w:val="24"/>
          <w:lang w:val="en-US"/>
        </w:rPr>
        <w:t xml:space="preserve">as advantages of BEVs over ICEs. </w:t>
      </w:r>
    </w:p>
    <w:p w:rsidR="006616D9" w:rsidRPr="006616D9" w:rsidRDefault="006616D9" w:rsidP="006616D9">
      <w:pPr>
        <w:pStyle w:val="2"/>
        <w:jc w:val="both"/>
        <w:rPr>
          <w:lang w:val="en-US"/>
        </w:rPr>
      </w:pPr>
      <w:bookmarkStart w:id="27" w:name="_Toc535248662"/>
      <w:r>
        <w:rPr>
          <w:lang w:val="en-US"/>
        </w:rPr>
        <w:t xml:space="preserve">Descriptive analysis of </w:t>
      </w:r>
      <w:r w:rsidR="00CE747A">
        <w:rPr>
          <w:lang w:val="en-US"/>
        </w:rPr>
        <w:t xml:space="preserve">the </w:t>
      </w:r>
      <w:r>
        <w:rPr>
          <w:lang w:val="en-US"/>
        </w:rPr>
        <w:t>significant variables</w:t>
      </w:r>
      <w:bookmarkEnd w:id="27"/>
    </w:p>
    <w:p w:rsidR="007E44D3" w:rsidRDefault="00E3141F" w:rsidP="00CE182C">
      <w:pPr>
        <w:spacing w:after="120" w:line="360" w:lineRule="auto"/>
        <w:jc w:val="both"/>
        <w:rPr>
          <w:rFonts w:ascii="Times New Roman" w:hAnsi="Times New Roman"/>
          <w:color w:val="000000"/>
          <w:sz w:val="24"/>
          <w:szCs w:val="24"/>
          <w:lang w:val="en-US"/>
        </w:rPr>
      </w:pPr>
      <w:r w:rsidRPr="00E3141F">
        <w:rPr>
          <w:rFonts w:ascii="Times New Roman" w:hAnsi="Times New Roman"/>
          <w:color w:val="000000"/>
          <w:sz w:val="24"/>
          <w:szCs w:val="24"/>
          <w:lang w:val="en-US"/>
        </w:rPr>
        <w:t>However, the descriptive analysis of the significant factors shows that we cannot infer the same relationships for all the countries</w:t>
      </w:r>
      <w:r w:rsidR="00C51352">
        <w:rPr>
          <w:rFonts w:ascii="Times New Roman" w:hAnsi="Times New Roman"/>
          <w:color w:val="000000"/>
          <w:sz w:val="24"/>
          <w:szCs w:val="24"/>
          <w:lang w:val="en-US"/>
        </w:rPr>
        <w:t xml:space="preserve"> and confirm that the underlying dynamics behind the statistically </w:t>
      </w:r>
      <w:r w:rsidR="00DD67F1">
        <w:rPr>
          <w:rFonts w:ascii="Times New Roman" w:hAnsi="Times New Roman"/>
          <w:color w:val="000000"/>
          <w:sz w:val="24"/>
          <w:szCs w:val="24"/>
          <w:lang w:val="en-US"/>
        </w:rPr>
        <w:t xml:space="preserve">identical </w:t>
      </w:r>
      <w:r w:rsidR="00C51352">
        <w:rPr>
          <w:rFonts w:ascii="Times New Roman" w:hAnsi="Times New Roman"/>
          <w:color w:val="000000"/>
          <w:sz w:val="24"/>
          <w:szCs w:val="24"/>
          <w:lang w:val="en-US"/>
        </w:rPr>
        <w:t xml:space="preserve">BEV market shares are </w:t>
      </w:r>
      <w:r w:rsidR="00E353E9">
        <w:rPr>
          <w:rFonts w:ascii="Times New Roman" w:hAnsi="Times New Roman"/>
          <w:color w:val="000000"/>
          <w:sz w:val="24"/>
          <w:szCs w:val="24"/>
          <w:lang w:val="en-US"/>
        </w:rPr>
        <w:t>not</w:t>
      </w:r>
      <w:r w:rsidR="00C51352">
        <w:rPr>
          <w:rFonts w:ascii="Times New Roman" w:hAnsi="Times New Roman"/>
          <w:color w:val="000000"/>
          <w:sz w:val="24"/>
          <w:szCs w:val="24"/>
          <w:lang w:val="en-US"/>
        </w:rPr>
        <w:t xml:space="preserve"> the same</w:t>
      </w:r>
      <w:r>
        <w:rPr>
          <w:rFonts w:ascii="Times New Roman" w:hAnsi="Times New Roman"/>
          <w:color w:val="000000"/>
          <w:sz w:val="24"/>
          <w:szCs w:val="24"/>
          <w:lang w:val="en-US"/>
        </w:rPr>
        <w:t xml:space="preserve">. </w:t>
      </w:r>
      <w:r w:rsidR="00DD67F1">
        <w:rPr>
          <w:rFonts w:ascii="Times New Roman" w:hAnsi="Times New Roman"/>
          <w:color w:val="000000"/>
          <w:sz w:val="24"/>
          <w:szCs w:val="24"/>
          <w:lang w:val="en-US"/>
        </w:rPr>
        <w:t>A h</w:t>
      </w:r>
      <w:r w:rsidRPr="00E3141F">
        <w:rPr>
          <w:rFonts w:ascii="Times New Roman" w:hAnsi="Times New Roman"/>
          <w:color w:val="000000"/>
          <w:sz w:val="24"/>
          <w:szCs w:val="24"/>
          <w:lang w:val="en-US"/>
        </w:rPr>
        <w:t xml:space="preserve">igh level of variation in the cross-country sample suggests that there are other country-specific influencing factors that were not included in the model. </w:t>
      </w:r>
      <w:r w:rsidR="00F8765E">
        <w:rPr>
          <w:rFonts w:ascii="Times New Roman" w:hAnsi="Times New Roman"/>
          <w:color w:val="000000"/>
          <w:sz w:val="24"/>
          <w:szCs w:val="24"/>
          <w:lang w:val="en-US"/>
        </w:rPr>
        <w:t>For instance</w:t>
      </w:r>
      <w:r w:rsidRPr="00E3141F">
        <w:rPr>
          <w:rFonts w:ascii="Times New Roman" w:hAnsi="Times New Roman"/>
          <w:color w:val="000000"/>
          <w:sz w:val="24"/>
          <w:szCs w:val="24"/>
          <w:lang w:val="en-US"/>
        </w:rPr>
        <w:t xml:space="preserve">, </w:t>
      </w:r>
      <w:r w:rsidR="00F8765E">
        <w:rPr>
          <w:rFonts w:ascii="Times New Roman" w:hAnsi="Times New Roman"/>
          <w:color w:val="000000"/>
          <w:sz w:val="24"/>
          <w:szCs w:val="24"/>
          <w:lang w:val="en-US"/>
        </w:rPr>
        <w:t>both Norway</w:t>
      </w:r>
      <w:r w:rsidR="006821E9">
        <w:rPr>
          <w:rFonts w:ascii="Times New Roman" w:hAnsi="Times New Roman"/>
          <w:color w:val="000000"/>
          <w:sz w:val="24"/>
          <w:szCs w:val="24"/>
          <w:lang w:val="en-US"/>
        </w:rPr>
        <w:t xml:space="preserve"> and </w:t>
      </w:r>
      <w:r w:rsidR="00E44219">
        <w:rPr>
          <w:rFonts w:ascii="Times New Roman" w:hAnsi="Times New Roman"/>
          <w:color w:val="000000"/>
          <w:sz w:val="24"/>
          <w:szCs w:val="24"/>
          <w:lang w:val="en-US"/>
        </w:rPr>
        <w:t>Netherlands</w:t>
      </w:r>
      <w:r w:rsidR="00670707">
        <w:rPr>
          <w:rFonts w:ascii="Times New Roman" w:hAnsi="Times New Roman"/>
          <w:color w:val="000000"/>
          <w:sz w:val="24"/>
          <w:szCs w:val="24"/>
          <w:lang w:val="en-US"/>
        </w:rPr>
        <w:t xml:space="preserve"> </w:t>
      </w:r>
      <w:r w:rsidR="00F8765E">
        <w:rPr>
          <w:rFonts w:ascii="Times New Roman" w:hAnsi="Times New Roman"/>
          <w:color w:val="000000"/>
          <w:sz w:val="24"/>
          <w:szCs w:val="24"/>
          <w:lang w:val="en-US"/>
        </w:rPr>
        <w:t>have the highest number of charging stations per million residents, but only Norway demonstrated the highest BEV uptake</w:t>
      </w:r>
      <w:r w:rsidR="006175DB">
        <w:rPr>
          <w:rFonts w:ascii="Times New Roman" w:hAnsi="Times New Roman"/>
          <w:color w:val="000000"/>
          <w:sz w:val="24"/>
          <w:szCs w:val="24"/>
          <w:lang w:val="en-US"/>
        </w:rPr>
        <w:t xml:space="preserve"> </w:t>
      </w:r>
      <w:r w:rsidR="003B24A3">
        <w:rPr>
          <w:rFonts w:ascii="Times New Roman" w:hAnsi="Times New Roman"/>
          <w:color w:val="000000"/>
          <w:sz w:val="24"/>
          <w:szCs w:val="24"/>
          <w:lang w:val="en-US"/>
        </w:rPr>
        <w:t xml:space="preserve">(see Fig. </w:t>
      </w:r>
      <w:r w:rsidR="006C403F">
        <w:rPr>
          <w:rFonts w:ascii="Times New Roman" w:hAnsi="Times New Roman"/>
          <w:color w:val="000000"/>
          <w:sz w:val="24"/>
          <w:szCs w:val="24"/>
          <w:lang w:val="en-US"/>
        </w:rPr>
        <w:t>2)</w:t>
      </w:r>
      <w:r>
        <w:rPr>
          <w:rFonts w:ascii="Times New Roman" w:hAnsi="Times New Roman"/>
          <w:color w:val="000000"/>
          <w:sz w:val="24"/>
          <w:szCs w:val="24"/>
          <w:lang w:val="en-US"/>
        </w:rPr>
        <w:t>.</w:t>
      </w:r>
      <w:r w:rsidR="005A76E0">
        <w:rPr>
          <w:rFonts w:ascii="Times New Roman" w:hAnsi="Times New Roman"/>
          <w:color w:val="000000"/>
          <w:sz w:val="24"/>
          <w:szCs w:val="24"/>
          <w:lang w:val="en-US"/>
        </w:rPr>
        <w:t xml:space="preserve"> </w:t>
      </w:r>
      <w:r w:rsidR="006175DB">
        <w:rPr>
          <w:rFonts w:ascii="Times New Roman" w:hAnsi="Times New Roman"/>
          <w:color w:val="000000"/>
          <w:sz w:val="24"/>
          <w:szCs w:val="24"/>
          <w:lang w:val="en-US"/>
        </w:rPr>
        <w:t xml:space="preserve">However, this seeming discrepancy </w:t>
      </w:r>
      <w:r w:rsidR="00432194">
        <w:rPr>
          <w:rFonts w:ascii="Times New Roman" w:hAnsi="Times New Roman"/>
          <w:color w:val="000000"/>
          <w:sz w:val="24"/>
          <w:szCs w:val="24"/>
          <w:lang w:val="en-US"/>
        </w:rPr>
        <w:t xml:space="preserve">disappears, once the next graph </w:t>
      </w:r>
      <w:r w:rsidR="00432194">
        <w:rPr>
          <w:rFonts w:ascii="Times New Roman" w:hAnsi="Times New Roman"/>
          <w:color w:val="000000"/>
          <w:sz w:val="24"/>
          <w:szCs w:val="24"/>
          <w:lang w:val="en-US"/>
        </w:rPr>
        <w:lastRenderedPageBreak/>
        <w:t xml:space="preserve">is examined. Norway presents not only the highest density (proportion) of charging stations, but also </w:t>
      </w:r>
      <w:r w:rsidR="00620828">
        <w:rPr>
          <w:rFonts w:ascii="Times New Roman" w:hAnsi="Times New Roman"/>
          <w:color w:val="000000"/>
          <w:sz w:val="24"/>
          <w:szCs w:val="24"/>
          <w:lang w:val="en-US"/>
        </w:rPr>
        <w:t xml:space="preserve">of </w:t>
      </w:r>
      <w:r w:rsidR="00287DC8">
        <w:rPr>
          <w:rFonts w:ascii="Times New Roman" w:hAnsi="Times New Roman"/>
          <w:color w:val="000000"/>
          <w:sz w:val="24"/>
          <w:szCs w:val="24"/>
          <w:lang w:val="en-US"/>
        </w:rPr>
        <w:t>fast-charging</w:t>
      </w:r>
      <w:r w:rsidR="00432194">
        <w:rPr>
          <w:rFonts w:ascii="Times New Roman" w:hAnsi="Times New Roman"/>
          <w:color w:val="000000"/>
          <w:sz w:val="24"/>
          <w:szCs w:val="24"/>
          <w:lang w:val="en-US"/>
        </w:rPr>
        <w:t xml:space="preserve"> stations, whereas the Netherlands shows by far the lowest ratio</w:t>
      </w:r>
      <w:r w:rsidR="00A96B87">
        <w:rPr>
          <w:rFonts w:ascii="Times New Roman" w:hAnsi="Times New Roman"/>
          <w:color w:val="000000"/>
          <w:sz w:val="24"/>
          <w:szCs w:val="24"/>
          <w:lang w:val="en-US"/>
        </w:rPr>
        <w:t xml:space="preserve"> (see Fig. 3)</w:t>
      </w:r>
      <w:r w:rsidR="00432194">
        <w:rPr>
          <w:rFonts w:ascii="Times New Roman" w:hAnsi="Times New Roman"/>
          <w:color w:val="000000"/>
          <w:sz w:val="24"/>
          <w:szCs w:val="24"/>
          <w:lang w:val="en-US"/>
        </w:rPr>
        <w:t xml:space="preserve">. </w:t>
      </w:r>
      <w:r w:rsidR="00D83172">
        <w:rPr>
          <w:rFonts w:ascii="Times New Roman" w:hAnsi="Times New Roman"/>
          <w:color w:val="000000"/>
          <w:sz w:val="24"/>
          <w:szCs w:val="24"/>
          <w:lang w:val="en-US"/>
        </w:rPr>
        <w:t xml:space="preserve">In other countries, the revealed relationship </w:t>
      </w:r>
      <w:r w:rsidR="00620828">
        <w:rPr>
          <w:rFonts w:ascii="Times New Roman" w:hAnsi="Times New Roman"/>
          <w:color w:val="000000"/>
          <w:sz w:val="24"/>
          <w:szCs w:val="24"/>
          <w:lang w:val="en-US"/>
        </w:rPr>
        <w:t xml:space="preserve">also </w:t>
      </w:r>
      <w:r w:rsidR="00D83172">
        <w:rPr>
          <w:rFonts w:ascii="Times New Roman" w:hAnsi="Times New Roman"/>
          <w:color w:val="000000"/>
          <w:sz w:val="24"/>
          <w:szCs w:val="24"/>
          <w:lang w:val="en-US"/>
        </w:rPr>
        <w:t xml:space="preserve">holds. </w:t>
      </w:r>
      <w:r w:rsidR="007E44D3">
        <w:rPr>
          <w:rFonts w:ascii="Times New Roman" w:hAnsi="Times New Roman"/>
          <w:color w:val="000000"/>
          <w:sz w:val="24"/>
          <w:szCs w:val="24"/>
          <w:lang w:val="en-US"/>
        </w:rPr>
        <w:t>Namely</w:t>
      </w:r>
      <w:r w:rsidR="00D83172">
        <w:rPr>
          <w:rFonts w:ascii="Times New Roman" w:hAnsi="Times New Roman"/>
          <w:color w:val="000000"/>
          <w:sz w:val="24"/>
          <w:szCs w:val="24"/>
          <w:lang w:val="en-US"/>
        </w:rPr>
        <w:t xml:space="preserve">, the comparably low ratio of </w:t>
      </w:r>
      <w:r w:rsidR="00287DC8">
        <w:rPr>
          <w:rFonts w:ascii="Times New Roman" w:hAnsi="Times New Roman"/>
          <w:color w:val="000000"/>
          <w:sz w:val="24"/>
          <w:szCs w:val="24"/>
          <w:lang w:val="en-US"/>
        </w:rPr>
        <w:t>fast-charging</w:t>
      </w:r>
      <w:r w:rsidR="00D83172">
        <w:rPr>
          <w:rFonts w:ascii="Times New Roman" w:hAnsi="Times New Roman"/>
          <w:color w:val="000000"/>
          <w:sz w:val="24"/>
          <w:szCs w:val="24"/>
          <w:lang w:val="en-US"/>
        </w:rPr>
        <w:t xml:space="preserve"> stations may be related to the low market shares. </w:t>
      </w:r>
      <w:r w:rsidR="00614B88">
        <w:rPr>
          <w:rFonts w:ascii="Times New Roman" w:hAnsi="Times New Roman"/>
          <w:color w:val="000000"/>
          <w:sz w:val="24"/>
          <w:szCs w:val="24"/>
          <w:lang w:val="en-US"/>
        </w:rPr>
        <w:t xml:space="preserve">However, higher ratio is not </w:t>
      </w:r>
      <w:r w:rsidR="00992C4C">
        <w:rPr>
          <w:rFonts w:ascii="Times New Roman" w:hAnsi="Times New Roman"/>
          <w:color w:val="000000"/>
          <w:sz w:val="24"/>
          <w:szCs w:val="24"/>
          <w:lang w:val="en-US"/>
        </w:rPr>
        <w:t>automatically</w:t>
      </w:r>
      <w:r w:rsidR="00614B88">
        <w:rPr>
          <w:rFonts w:ascii="Times New Roman" w:hAnsi="Times New Roman"/>
          <w:color w:val="000000"/>
          <w:sz w:val="24"/>
          <w:szCs w:val="24"/>
          <w:lang w:val="en-US"/>
        </w:rPr>
        <w:t xml:space="preserve"> associated with higher BEV market shares, as confirmed by the cases of Japan, Sweden, Denmark and especially Iceland. </w:t>
      </w:r>
    </w:p>
    <w:p w:rsidR="00655295" w:rsidRDefault="007E44D3" w:rsidP="00587276">
      <w:pPr>
        <w:jc w:val="center"/>
        <w:rPr>
          <w:rFonts w:ascii="Times New Roman" w:hAnsi="Times New Roman"/>
          <w:b/>
          <w:noProof/>
          <w:lang w:val="en-US"/>
        </w:rPr>
      </w:pPr>
      <w:r>
        <w:rPr>
          <w:noProof/>
        </w:rPr>
        <w:drawing>
          <wp:anchor distT="0" distB="0" distL="114300" distR="114300" simplePos="0" relativeHeight="251685888" behindDoc="0" locked="0" layoutInCell="1" allowOverlap="1" wp14:anchorId="26797D57">
            <wp:simplePos x="0" y="0"/>
            <wp:positionH relativeFrom="column">
              <wp:posOffset>310515</wp:posOffset>
            </wp:positionH>
            <wp:positionV relativeFrom="paragraph">
              <wp:posOffset>635</wp:posOffset>
            </wp:positionV>
            <wp:extent cx="4939030" cy="2962275"/>
            <wp:effectExtent l="0" t="0" r="13970" b="9525"/>
            <wp:wrapTopAndBottom/>
            <wp:docPr id="27" name="Диаграмма 27">
              <a:extLst xmlns:a="http://schemas.openxmlformats.org/drawingml/2006/main">
                <a:ext uri="{FF2B5EF4-FFF2-40B4-BE49-F238E27FC236}">
                  <a16:creationId xmlns:a16="http://schemas.microsoft.com/office/drawing/2014/main" id="{6A06E36A-7B10-4D42-938E-82FC108650B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A96B87">
        <w:rPr>
          <w:rFonts w:ascii="Times New Roman" w:hAnsi="Times New Roman"/>
          <w:b/>
          <w:lang w:val="en-US"/>
        </w:rPr>
        <w:t>Fig. 2. Public c</w:t>
      </w:r>
      <w:r w:rsidR="00A96B87" w:rsidRPr="006C403F">
        <w:rPr>
          <w:rFonts w:ascii="Times New Roman" w:hAnsi="Times New Roman"/>
          <w:b/>
          <w:lang w:val="en-US"/>
        </w:rPr>
        <w:t>harging infrastructure and respective BEV market share by country</w:t>
      </w:r>
      <w:r w:rsidR="00655295">
        <w:rPr>
          <w:rFonts w:ascii="Times New Roman" w:hAnsi="Times New Roman"/>
          <w:b/>
          <w:lang w:val="en-US"/>
        </w:rPr>
        <w:t xml:space="preserve"> (</w:t>
      </w:r>
      <w:r w:rsidR="00A03FE8">
        <w:rPr>
          <w:rFonts w:ascii="Times New Roman" w:hAnsi="Times New Roman"/>
          <w:b/>
          <w:lang w:val="en-US"/>
        </w:rPr>
        <w:t>see Appendix 8.1, Table 1</w:t>
      </w:r>
      <w:r w:rsidR="00655295">
        <w:rPr>
          <w:rFonts w:ascii="Times New Roman" w:hAnsi="Times New Roman"/>
          <w:b/>
          <w:lang w:val="en-US"/>
        </w:rPr>
        <w:t xml:space="preserve">; </w:t>
      </w:r>
      <w:r w:rsidR="00655295" w:rsidRPr="00655295">
        <w:rPr>
          <w:rFonts w:ascii="Times New Roman" w:hAnsi="Times New Roman"/>
          <w:b/>
          <w:noProof/>
          <w:lang w:val="en-US"/>
        </w:rPr>
        <w:t>Pontes, 2016</w:t>
      </w:r>
      <w:r w:rsidR="00655295">
        <w:rPr>
          <w:lang w:val="en-US"/>
        </w:rPr>
        <w:t>;</w:t>
      </w:r>
      <w:r w:rsidR="00A03FE8">
        <w:rPr>
          <w:lang w:val="en-US"/>
        </w:rPr>
        <w:t xml:space="preserve"> </w:t>
      </w:r>
      <w:r w:rsidR="00655295" w:rsidRPr="00655295">
        <w:rPr>
          <w:rFonts w:ascii="Times New Roman" w:hAnsi="Times New Roman"/>
          <w:b/>
          <w:noProof/>
          <w:lang w:val="en-US"/>
        </w:rPr>
        <w:t>ACEA, 2018b; Countryeconomy.com, 2016; Statista, 2017</w:t>
      </w:r>
      <w:r w:rsidR="00655295">
        <w:rPr>
          <w:rFonts w:ascii="Times New Roman" w:hAnsi="Times New Roman"/>
          <w:b/>
          <w:noProof/>
          <w:lang w:val="en-US"/>
        </w:rPr>
        <w:t>)</w:t>
      </w:r>
    </w:p>
    <w:p w:rsidR="00287DC8" w:rsidRPr="00655295" w:rsidRDefault="00287DC8" w:rsidP="00587276">
      <w:pPr>
        <w:jc w:val="center"/>
        <w:rPr>
          <w:lang w:val="en-US"/>
        </w:rPr>
      </w:pPr>
    </w:p>
    <w:p w:rsidR="00A03FE8" w:rsidRDefault="007E44D3" w:rsidP="00287DC8">
      <w:pPr>
        <w:spacing w:after="120"/>
        <w:jc w:val="center"/>
        <w:rPr>
          <w:rFonts w:ascii="Times New Roman" w:hAnsi="Times New Roman"/>
          <w:b/>
          <w:lang w:val="en-US"/>
        </w:rPr>
      </w:pPr>
      <w:r>
        <w:rPr>
          <w:noProof/>
        </w:rPr>
        <w:drawing>
          <wp:anchor distT="0" distB="0" distL="114300" distR="114300" simplePos="0" relativeHeight="251687936" behindDoc="0" locked="0" layoutInCell="1" allowOverlap="1" wp14:anchorId="1ADCCE11">
            <wp:simplePos x="0" y="0"/>
            <wp:positionH relativeFrom="column">
              <wp:posOffset>158115</wp:posOffset>
            </wp:positionH>
            <wp:positionV relativeFrom="paragraph">
              <wp:posOffset>1905</wp:posOffset>
            </wp:positionV>
            <wp:extent cx="4939030" cy="2962275"/>
            <wp:effectExtent l="0" t="0" r="13970" b="9525"/>
            <wp:wrapTopAndBottom/>
            <wp:docPr id="38" name="Диаграмма 38">
              <a:extLst xmlns:a="http://schemas.openxmlformats.org/drawingml/2006/main">
                <a:ext uri="{FF2B5EF4-FFF2-40B4-BE49-F238E27FC236}">
                  <a16:creationId xmlns:a16="http://schemas.microsoft.com/office/drawing/2014/main" id="{9375A57B-A0F5-4C7D-B829-4420E72D69F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Pr>
          <w:rFonts w:ascii="Times New Roman" w:hAnsi="Times New Roman"/>
          <w:b/>
          <w:lang w:val="en-US"/>
        </w:rPr>
        <w:t xml:space="preserve">Fig. </w:t>
      </w:r>
      <w:r w:rsidR="00A96B87">
        <w:rPr>
          <w:rFonts w:ascii="Times New Roman" w:hAnsi="Times New Roman"/>
          <w:b/>
          <w:lang w:val="en-US"/>
        </w:rPr>
        <w:t>3</w:t>
      </w:r>
      <w:r>
        <w:rPr>
          <w:rFonts w:ascii="Times New Roman" w:hAnsi="Times New Roman"/>
          <w:b/>
          <w:lang w:val="en-US"/>
        </w:rPr>
        <w:t xml:space="preserve">. </w:t>
      </w:r>
      <w:r w:rsidR="00A96B87">
        <w:rPr>
          <w:rFonts w:ascii="Times New Roman" w:hAnsi="Times New Roman"/>
          <w:b/>
          <w:lang w:val="en-US"/>
        </w:rPr>
        <w:t>Public fast</w:t>
      </w:r>
      <w:r w:rsidR="00287DC8">
        <w:rPr>
          <w:rFonts w:ascii="Times New Roman" w:hAnsi="Times New Roman"/>
          <w:b/>
          <w:lang w:val="en-US"/>
        </w:rPr>
        <w:t>-</w:t>
      </w:r>
      <w:r w:rsidR="00A96B87">
        <w:rPr>
          <w:rFonts w:ascii="Times New Roman" w:hAnsi="Times New Roman"/>
          <w:b/>
          <w:lang w:val="en-US"/>
        </w:rPr>
        <w:t>c</w:t>
      </w:r>
      <w:r w:rsidRPr="006C403F">
        <w:rPr>
          <w:rFonts w:ascii="Times New Roman" w:hAnsi="Times New Roman"/>
          <w:b/>
          <w:lang w:val="en-US"/>
        </w:rPr>
        <w:t>harging infrastructure and respective BEV market share by country</w:t>
      </w:r>
      <w:r w:rsidR="00A03FE8">
        <w:rPr>
          <w:rFonts w:ascii="Times New Roman" w:hAnsi="Times New Roman"/>
          <w:b/>
          <w:lang w:val="en-US"/>
        </w:rPr>
        <w:t xml:space="preserve"> </w:t>
      </w:r>
      <w:r w:rsidR="00A03FE8" w:rsidRPr="00A03FE8">
        <w:rPr>
          <w:rFonts w:ascii="Times New Roman" w:hAnsi="Times New Roman"/>
          <w:b/>
          <w:lang w:val="en-US"/>
        </w:rPr>
        <w:t>(</w:t>
      </w:r>
      <w:r w:rsidR="00A03FE8">
        <w:rPr>
          <w:rFonts w:ascii="Times New Roman" w:hAnsi="Times New Roman"/>
          <w:b/>
          <w:lang w:val="en-US"/>
        </w:rPr>
        <w:t>see Appendix 8.1, Table 1</w:t>
      </w:r>
      <w:r w:rsidR="00A03FE8" w:rsidRPr="00A03FE8">
        <w:rPr>
          <w:rFonts w:ascii="Times New Roman" w:hAnsi="Times New Roman"/>
          <w:b/>
          <w:lang w:val="en-US"/>
        </w:rPr>
        <w:t>; Countryeconomy.com, 2016; Statista, 2017)</w:t>
      </w:r>
    </w:p>
    <w:p w:rsidR="00E60DF9" w:rsidRDefault="00E3141F" w:rsidP="00CE182C">
      <w:pPr>
        <w:spacing w:after="120" w:line="360" w:lineRule="auto"/>
        <w:jc w:val="both"/>
        <w:rPr>
          <w:rFonts w:ascii="Times New Roman" w:hAnsi="Times New Roman"/>
          <w:color w:val="000000"/>
          <w:sz w:val="24"/>
          <w:szCs w:val="24"/>
          <w:lang w:val="en-US"/>
        </w:rPr>
      </w:pPr>
      <w:r w:rsidRPr="00E3141F">
        <w:rPr>
          <w:rFonts w:ascii="Times New Roman" w:hAnsi="Times New Roman"/>
          <w:color w:val="000000"/>
          <w:sz w:val="24"/>
          <w:szCs w:val="24"/>
          <w:lang w:val="en-US"/>
        </w:rPr>
        <w:lastRenderedPageBreak/>
        <w:t xml:space="preserve">The same mixed effects are observed when comparing </w:t>
      </w:r>
      <w:r w:rsidR="00AA4F2B">
        <w:rPr>
          <w:rFonts w:ascii="Times New Roman" w:hAnsi="Times New Roman"/>
          <w:color w:val="000000"/>
          <w:sz w:val="24"/>
          <w:szCs w:val="24"/>
          <w:lang w:val="en-US"/>
        </w:rPr>
        <w:t>availability of other policy measurers</w:t>
      </w:r>
      <w:r w:rsidRPr="00E3141F">
        <w:rPr>
          <w:rFonts w:ascii="Times New Roman" w:hAnsi="Times New Roman"/>
          <w:color w:val="000000"/>
          <w:sz w:val="24"/>
          <w:szCs w:val="24"/>
          <w:lang w:val="en-US"/>
        </w:rPr>
        <w:t xml:space="preserve"> and BEV sales. </w:t>
      </w:r>
      <w:r w:rsidR="00AA4F2B">
        <w:rPr>
          <w:rFonts w:ascii="Times New Roman" w:hAnsi="Times New Roman"/>
          <w:color w:val="000000"/>
          <w:sz w:val="24"/>
          <w:szCs w:val="24"/>
          <w:lang w:val="en-US"/>
        </w:rPr>
        <w:t>Switzerland does not offer any</w:t>
      </w:r>
      <w:r w:rsidR="0039208C">
        <w:rPr>
          <w:rFonts w:ascii="Times New Roman" w:hAnsi="Times New Roman"/>
          <w:color w:val="000000"/>
          <w:sz w:val="24"/>
          <w:szCs w:val="24"/>
          <w:lang w:val="en-US"/>
        </w:rPr>
        <w:t xml:space="preserve"> public incentives but</w:t>
      </w:r>
      <w:r w:rsidR="00AA4F2B">
        <w:rPr>
          <w:rFonts w:ascii="Times New Roman" w:hAnsi="Times New Roman"/>
          <w:color w:val="000000"/>
          <w:sz w:val="24"/>
          <w:szCs w:val="24"/>
          <w:lang w:val="en-US"/>
        </w:rPr>
        <w:t xml:space="preserve"> has</w:t>
      </w:r>
      <w:r w:rsidRPr="00E3141F">
        <w:rPr>
          <w:rFonts w:ascii="Times New Roman" w:hAnsi="Times New Roman"/>
          <w:color w:val="000000"/>
          <w:sz w:val="24"/>
          <w:szCs w:val="24"/>
          <w:lang w:val="en-US"/>
        </w:rPr>
        <w:t xml:space="preserve"> the BEV sales almost as high as in </w:t>
      </w:r>
      <w:r w:rsidR="00AA4F2B">
        <w:rPr>
          <w:rFonts w:ascii="Times New Roman" w:hAnsi="Times New Roman"/>
          <w:color w:val="000000"/>
          <w:sz w:val="24"/>
          <w:szCs w:val="24"/>
          <w:lang w:val="en-US"/>
        </w:rPr>
        <w:t>Austria</w:t>
      </w:r>
      <w:r w:rsidR="00860E34">
        <w:rPr>
          <w:rFonts w:ascii="Times New Roman" w:hAnsi="Times New Roman"/>
          <w:color w:val="000000"/>
          <w:sz w:val="24"/>
          <w:szCs w:val="24"/>
          <w:lang w:val="en-US"/>
        </w:rPr>
        <w:t xml:space="preserve"> </w:t>
      </w:r>
      <w:r w:rsidR="00DD67F1">
        <w:rPr>
          <w:rFonts w:ascii="Times New Roman" w:hAnsi="Times New Roman"/>
          <w:color w:val="000000"/>
          <w:sz w:val="24"/>
          <w:szCs w:val="24"/>
          <w:lang w:val="en-US"/>
        </w:rPr>
        <w:t xml:space="preserve">which </w:t>
      </w:r>
      <w:r w:rsidR="00860E34">
        <w:rPr>
          <w:rFonts w:ascii="Times New Roman" w:hAnsi="Times New Roman"/>
          <w:color w:val="000000"/>
          <w:sz w:val="24"/>
          <w:szCs w:val="24"/>
          <w:lang w:val="en-US"/>
        </w:rPr>
        <w:t>offer</w:t>
      </w:r>
      <w:r w:rsidR="00DD67F1">
        <w:rPr>
          <w:rFonts w:ascii="Times New Roman" w:hAnsi="Times New Roman"/>
          <w:color w:val="000000"/>
          <w:sz w:val="24"/>
          <w:szCs w:val="24"/>
          <w:lang w:val="en-US"/>
        </w:rPr>
        <w:t>s</w:t>
      </w:r>
      <w:r w:rsidR="00AA4F2B">
        <w:rPr>
          <w:rFonts w:ascii="Times New Roman" w:hAnsi="Times New Roman"/>
          <w:color w:val="000000"/>
          <w:sz w:val="24"/>
          <w:szCs w:val="24"/>
          <w:lang w:val="en-US"/>
        </w:rPr>
        <w:t xml:space="preserve"> a generous incentives package</w:t>
      </w:r>
      <w:r w:rsidR="00860E34">
        <w:rPr>
          <w:rFonts w:ascii="Times New Roman" w:hAnsi="Times New Roman"/>
          <w:color w:val="000000"/>
          <w:sz w:val="24"/>
          <w:szCs w:val="24"/>
          <w:lang w:val="en-US"/>
        </w:rPr>
        <w:t xml:space="preserve"> (see Fig. </w:t>
      </w:r>
      <w:r w:rsidR="00A96B87">
        <w:rPr>
          <w:rFonts w:ascii="Times New Roman" w:hAnsi="Times New Roman"/>
          <w:color w:val="000000"/>
          <w:sz w:val="24"/>
          <w:szCs w:val="24"/>
          <w:lang w:val="en-US"/>
        </w:rPr>
        <w:t>4</w:t>
      </w:r>
      <w:r w:rsidR="00442226">
        <w:rPr>
          <w:rFonts w:ascii="Times New Roman" w:hAnsi="Times New Roman"/>
          <w:color w:val="000000"/>
          <w:sz w:val="24"/>
          <w:szCs w:val="24"/>
          <w:lang w:val="en-US"/>
        </w:rPr>
        <w:t xml:space="preserve"> and </w:t>
      </w:r>
      <w:r w:rsidR="00A96B87">
        <w:rPr>
          <w:rFonts w:ascii="Times New Roman" w:hAnsi="Times New Roman"/>
          <w:color w:val="000000"/>
          <w:sz w:val="24"/>
          <w:szCs w:val="24"/>
          <w:lang w:val="en-US"/>
        </w:rPr>
        <w:t>5</w:t>
      </w:r>
      <w:r w:rsidR="00860E34">
        <w:rPr>
          <w:rFonts w:ascii="Times New Roman" w:hAnsi="Times New Roman"/>
          <w:color w:val="000000"/>
          <w:sz w:val="24"/>
          <w:szCs w:val="24"/>
          <w:lang w:val="en-US"/>
        </w:rPr>
        <w:t>)</w:t>
      </w:r>
      <w:r w:rsidR="00AA4F2B">
        <w:rPr>
          <w:rFonts w:ascii="Times New Roman" w:hAnsi="Times New Roman"/>
          <w:color w:val="000000"/>
          <w:sz w:val="24"/>
          <w:szCs w:val="24"/>
          <w:lang w:val="en-US"/>
        </w:rPr>
        <w:t xml:space="preserve">. </w:t>
      </w:r>
      <w:r w:rsidR="00D752DB">
        <w:rPr>
          <w:rFonts w:ascii="Times New Roman" w:hAnsi="Times New Roman"/>
          <w:color w:val="000000"/>
          <w:sz w:val="24"/>
          <w:szCs w:val="24"/>
          <w:lang w:val="en-US"/>
        </w:rPr>
        <w:t xml:space="preserve">Another example is the U.K: and France: BEV market uptake there is approximately the same, whereas France offers clearly larger incentives package than the UK. </w:t>
      </w:r>
      <w:r w:rsidR="00F8765E">
        <w:rPr>
          <w:rFonts w:ascii="Times New Roman" w:hAnsi="Times New Roman"/>
          <w:color w:val="000000"/>
          <w:sz w:val="24"/>
          <w:szCs w:val="24"/>
          <w:lang w:val="en-US"/>
        </w:rPr>
        <w:t>Note that we normalize (fast) charging stations for population and BEV sales for market sizes to make countries comparable and analyze the relationship between these variables.</w:t>
      </w:r>
    </w:p>
    <w:p w:rsidR="00C269F5" w:rsidRDefault="00EA33E7" w:rsidP="00587276">
      <w:pPr>
        <w:spacing w:after="120"/>
        <w:jc w:val="center"/>
        <w:rPr>
          <w:rFonts w:ascii="Times New Roman" w:hAnsi="Times New Roman"/>
          <w:b/>
          <w:lang w:val="en-US"/>
        </w:rPr>
      </w:pPr>
      <w:r>
        <w:rPr>
          <w:noProof/>
        </w:rPr>
        <w:drawing>
          <wp:anchor distT="0" distB="0" distL="114300" distR="114300" simplePos="0" relativeHeight="251686912" behindDoc="0" locked="0" layoutInCell="1" allowOverlap="1" wp14:anchorId="78582434">
            <wp:simplePos x="0" y="0"/>
            <wp:positionH relativeFrom="column">
              <wp:posOffset>310515</wp:posOffset>
            </wp:positionH>
            <wp:positionV relativeFrom="paragraph">
              <wp:posOffset>-3810</wp:posOffset>
            </wp:positionV>
            <wp:extent cx="4939200" cy="2962800"/>
            <wp:effectExtent l="0" t="0" r="13970" b="9525"/>
            <wp:wrapTopAndBottom/>
            <wp:docPr id="16" name="Диаграмма 16">
              <a:extLst xmlns:a="http://schemas.openxmlformats.org/drawingml/2006/main">
                <a:ext uri="{FF2B5EF4-FFF2-40B4-BE49-F238E27FC236}">
                  <a16:creationId xmlns:a16="http://schemas.microsoft.com/office/drawing/2014/main" id="{57AC63A9-1B79-4F68-BA92-127BF772DCF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Pr>
          <w:rFonts w:ascii="Times New Roman" w:hAnsi="Times New Roman"/>
          <w:b/>
          <w:lang w:val="en-US"/>
        </w:rPr>
        <w:t xml:space="preserve">Fig. </w:t>
      </w:r>
      <w:r w:rsidR="00A96B87">
        <w:rPr>
          <w:rFonts w:ascii="Times New Roman" w:hAnsi="Times New Roman"/>
          <w:b/>
          <w:lang w:val="en-US"/>
        </w:rPr>
        <w:t>4</w:t>
      </w:r>
      <w:r>
        <w:rPr>
          <w:rFonts w:ascii="Times New Roman" w:hAnsi="Times New Roman"/>
          <w:b/>
          <w:lang w:val="en-US"/>
        </w:rPr>
        <w:t>. Government grant</w:t>
      </w:r>
      <w:r w:rsidRPr="006C403F">
        <w:rPr>
          <w:rFonts w:ascii="Times New Roman" w:hAnsi="Times New Roman"/>
          <w:b/>
          <w:lang w:val="en-US"/>
        </w:rPr>
        <w:t xml:space="preserve"> and respective BEV market share by country</w:t>
      </w:r>
      <w:r w:rsidR="00A03FE8">
        <w:rPr>
          <w:rFonts w:ascii="Times New Roman" w:hAnsi="Times New Roman"/>
          <w:b/>
          <w:lang w:val="en-US"/>
        </w:rPr>
        <w:t xml:space="preserve"> (see Appendix 8.1, Table 1; </w:t>
      </w:r>
      <w:r w:rsidR="00A03FE8" w:rsidRPr="00655295">
        <w:rPr>
          <w:rFonts w:ascii="Times New Roman" w:hAnsi="Times New Roman"/>
          <w:b/>
          <w:noProof/>
          <w:lang w:val="en-US"/>
        </w:rPr>
        <w:t>Pontes, 2016</w:t>
      </w:r>
      <w:r w:rsidR="00A03FE8">
        <w:rPr>
          <w:lang w:val="en-US"/>
        </w:rPr>
        <w:t xml:space="preserve">; </w:t>
      </w:r>
      <w:r w:rsidR="00A03FE8" w:rsidRPr="00655295">
        <w:rPr>
          <w:rFonts w:ascii="Times New Roman" w:hAnsi="Times New Roman"/>
          <w:b/>
          <w:noProof/>
          <w:lang w:val="en-US"/>
        </w:rPr>
        <w:t>ACEA, 2018b; Countryeconomy.com, 2016; Statista, 2017</w:t>
      </w:r>
      <w:r w:rsidR="00A03FE8">
        <w:rPr>
          <w:rFonts w:ascii="Times New Roman" w:hAnsi="Times New Roman"/>
          <w:b/>
          <w:noProof/>
          <w:lang w:val="en-US"/>
        </w:rPr>
        <w:t>)</w:t>
      </w:r>
    </w:p>
    <w:p w:rsidR="00404132" w:rsidRDefault="00C269F5" w:rsidP="00404132">
      <w:pPr>
        <w:spacing w:after="120"/>
        <w:jc w:val="center"/>
        <w:rPr>
          <w:rFonts w:ascii="Times New Roman" w:hAnsi="Times New Roman"/>
          <w:b/>
          <w:lang w:val="en-US"/>
        </w:rPr>
      </w:pPr>
      <w:r w:rsidRPr="00C269F5">
        <w:rPr>
          <w:noProof/>
          <w:lang w:val="en-US"/>
        </w:rPr>
        <w:t xml:space="preserve"> </w:t>
      </w:r>
      <w:r>
        <w:rPr>
          <w:noProof/>
        </w:rPr>
        <w:drawing>
          <wp:inline distT="0" distB="0" distL="0" distR="0" wp14:anchorId="671C93D8" wp14:editId="4E60B8A2">
            <wp:extent cx="5068800" cy="2124000"/>
            <wp:effectExtent l="0" t="0" r="17780" b="10160"/>
            <wp:docPr id="20" name="Диаграмма 20">
              <a:extLst xmlns:a="http://schemas.openxmlformats.org/drawingml/2006/main">
                <a:ext uri="{FF2B5EF4-FFF2-40B4-BE49-F238E27FC236}">
                  <a16:creationId xmlns:a16="http://schemas.microsoft.com/office/drawing/2014/main" id="{C99544FD-D128-4B56-8D87-0B0848E28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04132">
        <w:rPr>
          <w:rFonts w:ascii="Times New Roman" w:hAnsi="Times New Roman"/>
          <w:b/>
          <w:lang w:val="en-US"/>
        </w:rPr>
        <w:tab/>
        <w:t xml:space="preserve">Fig. </w:t>
      </w:r>
      <w:r w:rsidR="00A96B87">
        <w:rPr>
          <w:rFonts w:ascii="Times New Roman" w:hAnsi="Times New Roman"/>
          <w:b/>
          <w:lang w:val="en-US"/>
        </w:rPr>
        <w:t>5</w:t>
      </w:r>
      <w:r w:rsidR="00404132">
        <w:rPr>
          <w:rFonts w:ascii="Times New Roman" w:hAnsi="Times New Roman"/>
          <w:b/>
          <w:lang w:val="en-US"/>
        </w:rPr>
        <w:t xml:space="preserve">. Breakdown of tax incentives </w:t>
      </w:r>
      <w:r w:rsidR="00404132" w:rsidRPr="006C403F">
        <w:rPr>
          <w:rFonts w:ascii="Times New Roman" w:hAnsi="Times New Roman"/>
          <w:b/>
          <w:lang w:val="en-US"/>
        </w:rPr>
        <w:t>by country</w:t>
      </w:r>
      <w:r w:rsidR="00A03FE8">
        <w:rPr>
          <w:rFonts w:ascii="Times New Roman" w:hAnsi="Times New Roman"/>
          <w:b/>
          <w:lang w:val="en-US"/>
        </w:rPr>
        <w:t xml:space="preserve"> (see Appendix 8.1, Table 1)</w:t>
      </w:r>
    </w:p>
    <w:p w:rsidR="00E3141F" w:rsidRPr="00E3141F" w:rsidRDefault="00DD67F1" w:rsidP="00CE182C">
      <w:pPr>
        <w:spacing w:after="120"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M</w:t>
      </w:r>
      <w:r w:rsidR="004D73DD" w:rsidRPr="00E3141F">
        <w:rPr>
          <w:rFonts w:ascii="Times New Roman" w:hAnsi="Times New Roman"/>
          <w:color w:val="000000"/>
          <w:sz w:val="24"/>
          <w:szCs w:val="24"/>
          <w:lang w:val="en-US"/>
        </w:rPr>
        <w:t>ode</w:t>
      </w:r>
      <w:r w:rsidR="004D73DD">
        <w:rPr>
          <w:rFonts w:ascii="Times New Roman" w:hAnsi="Times New Roman"/>
          <w:color w:val="000000"/>
          <w:sz w:val="24"/>
          <w:szCs w:val="24"/>
          <w:lang w:val="en-US"/>
        </w:rPr>
        <w:t>l</w:t>
      </w:r>
      <w:r w:rsidR="00E3141F" w:rsidRPr="00E3141F">
        <w:rPr>
          <w:rFonts w:ascii="Times New Roman" w:hAnsi="Times New Roman"/>
          <w:color w:val="000000"/>
          <w:sz w:val="24"/>
          <w:szCs w:val="24"/>
          <w:lang w:val="en-US"/>
        </w:rPr>
        <w:t xml:space="preserve"> availability was also confirmed to be a significant factor, with Chinese and European markets having </w:t>
      </w:r>
      <w:r>
        <w:rPr>
          <w:rFonts w:ascii="Times New Roman" w:hAnsi="Times New Roman"/>
          <w:color w:val="000000"/>
          <w:sz w:val="24"/>
          <w:szCs w:val="24"/>
          <w:lang w:val="en-US"/>
        </w:rPr>
        <w:t xml:space="preserve">a </w:t>
      </w:r>
      <w:r w:rsidR="00E3141F" w:rsidRPr="00E3141F">
        <w:rPr>
          <w:rFonts w:ascii="Times New Roman" w:hAnsi="Times New Roman"/>
          <w:color w:val="000000"/>
          <w:sz w:val="24"/>
          <w:szCs w:val="24"/>
          <w:lang w:val="en-US"/>
        </w:rPr>
        <w:t xml:space="preserve">higher model assortment than Japanese, South Korean or American markets. This can be explained by the distribution of car production facilities. Markets are mostly dominated by the models produced by the local manufacturers, with Chinese and </w:t>
      </w:r>
      <w:r w:rsidR="00E3141F" w:rsidRPr="00E3141F">
        <w:rPr>
          <w:rFonts w:ascii="Times New Roman" w:hAnsi="Times New Roman"/>
          <w:color w:val="000000"/>
          <w:sz w:val="24"/>
          <w:szCs w:val="24"/>
          <w:lang w:val="en-US"/>
        </w:rPr>
        <w:lastRenderedPageBreak/>
        <w:t xml:space="preserve">European producers outperforming American or Japanese/South Korean ones. Important to note that some models were only available in a certain market, such as </w:t>
      </w:r>
      <w:r>
        <w:rPr>
          <w:rFonts w:ascii="Times New Roman" w:hAnsi="Times New Roman"/>
          <w:color w:val="000000"/>
          <w:sz w:val="24"/>
          <w:szCs w:val="24"/>
          <w:lang w:val="en-US"/>
        </w:rPr>
        <w:t xml:space="preserve">the </w:t>
      </w:r>
      <w:r w:rsidR="00E3141F" w:rsidRPr="00E3141F">
        <w:rPr>
          <w:rFonts w:ascii="Times New Roman" w:hAnsi="Times New Roman"/>
          <w:color w:val="000000"/>
          <w:sz w:val="24"/>
          <w:szCs w:val="24"/>
          <w:lang w:val="en-US"/>
        </w:rPr>
        <w:t xml:space="preserve">Fiat 300e for the US-American market, </w:t>
      </w:r>
      <w:r>
        <w:rPr>
          <w:rFonts w:ascii="Times New Roman" w:hAnsi="Times New Roman"/>
          <w:color w:val="000000"/>
          <w:sz w:val="24"/>
          <w:szCs w:val="24"/>
          <w:lang w:val="en-US"/>
        </w:rPr>
        <w:t xml:space="preserve">the </w:t>
      </w:r>
      <w:r w:rsidR="00E3141F" w:rsidRPr="00E3141F">
        <w:rPr>
          <w:rFonts w:ascii="Times New Roman" w:hAnsi="Times New Roman"/>
          <w:color w:val="000000"/>
          <w:sz w:val="24"/>
          <w:szCs w:val="24"/>
          <w:lang w:val="en-US"/>
        </w:rPr>
        <w:t xml:space="preserve">Kia Ray EV for the South Korean one or </w:t>
      </w:r>
      <w:r>
        <w:rPr>
          <w:rFonts w:ascii="Times New Roman" w:hAnsi="Times New Roman"/>
          <w:color w:val="000000"/>
          <w:sz w:val="24"/>
          <w:szCs w:val="24"/>
          <w:lang w:val="en-US"/>
        </w:rPr>
        <w:t xml:space="preserve">the </w:t>
      </w:r>
      <w:r w:rsidR="00E3141F" w:rsidRPr="00E3141F">
        <w:rPr>
          <w:rFonts w:ascii="Times New Roman" w:hAnsi="Times New Roman"/>
          <w:color w:val="000000"/>
          <w:sz w:val="24"/>
          <w:szCs w:val="24"/>
          <w:lang w:val="en-US"/>
        </w:rPr>
        <w:t xml:space="preserve">Mitsubishi Minicab </w:t>
      </w:r>
      <w:proofErr w:type="spellStart"/>
      <w:r w:rsidR="00E3141F" w:rsidRPr="00E3141F">
        <w:rPr>
          <w:rFonts w:ascii="Times New Roman" w:hAnsi="Times New Roman"/>
          <w:color w:val="000000"/>
          <w:sz w:val="24"/>
          <w:szCs w:val="24"/>
          <w:lang w:val="en-US"/>
        </w:rPr>
        <w:t>MiEV</w:t>
      </w:r>
      <w:proofErr w:type="spellEnd"/>
      <w:r w:rsidR="00E3141F" w:rsidRPr="00E3141F">
        <w:rPr>
          <w:rFonts w:ascii="Times New Roman" w:hAnsi="Times New Roman"/>
          <w:color w:val="000000"/>
          <w:sz w:val="24"/>
          <w:szCs w:val="24"/>
          <w:lang w:val="en-US"/>
        </w:rPr>
        <w:t xml:space="preserve"> in Japan. </w:t>
      </w:r>
      <w:r>
        <w:rPr>
          <w:rFonts w:ascii="Times New Roman" w:hAnsi="Times New Roman"/>
          <w:color w:val="000000"/>
          <w:sz w:val="24"/>
          <w:szCs w:val="24"/>
          <w:lang w:val="en-US"/>
        </w:rPr>
        <w:t>The r</w:t>
      </w:r>
      <w:r w:rsidR="00E3141F" w:rsidRPr="00E3141F">
        <w:rPr>
          <w:rFonts w:ascii="Times New Roman" w:hAnsi="Times New Roman"/>
          <w:color w:val="000000"/>
          <w:sz w:val="24"/>
          <w:szCs w:val="24"/>
          <w:lang w:val="en-US"/>
        </w:rPr>
        <w:t>eallocation of production facilities to China by foreign car manufacturers also contributed to the higher uptake of the Chinese BEV market, amplified by the concentration of the global EV battery production in China. Thus, this factor also reinforced the observation about the heterogeneity of the EV markets. Some markets</w:t>
      </w:r>
      <w:r w:rsidR="00A1760F">
        <w:rPr>
          <w:rFonts w:ascii="Times New Roman" w:hAnsi="Times New Roman"/>
          <w:color w:val="000000"/>
          <w:sz w:val="24"/>
          <w:szCs w:val="24"/>
          <w:lang w:val="en-US"/>
        </w:rPr>
        <w:t xml:space="preserve"> (like South Korean or Japanese)</w:t>
      </w:r>
      <w:r w:rsidR="00E3141F" w:rsidRPr="00E3141F">
        <w:rPr>
          <w:rFonts w:ascii="Times New Roman" w:hAnsi="Times New Roman"/>
          <w:color w:val="000000"/>
          <w:sz w:val="24"/>
          <w:szCs w:val="24"/>
          <w:lang w:val="en-US"/>
        </w:rPr>
        <w:t xml:space="preserve"> with relatively high consumer incentives appear not to have much </w:t>
      </w:r>
      <w:r w:rsidR="00D22B0C">
        <w:rPr>
          <w:rFonts w:ascii="Times New Roman" w:hAnsi="Times New Roman"/>
          <w:color w:val="000000"/>
          <w:sz w:val="24"/>
          <w:szCs w:val="24"/>
          <w:lang w:val="en-US"/>
        </w:rPr>
        <w:t>EV</w:t>
      </w:r>
      <w:r w:rsidR="00E3141F" w:rsidRPr="00E3141F">
        <w:rPr>
          <w:rFonts w:ascii="Times New Roman" w:hAnsi="Times New Roman"/>
          <w:color w:val="000000"/>
          <w:sz w:val="24"/>
          <w:szCs w:val="24"/>
          <w:lang w:val="en-US"/>
        </w:rPr>
        <w:t xml:space="preserve"> uptake, with one plausible explanation being that these markets are not among the early focus areas for </w:t>
      </w:r>
      <w:r>
        <w:rPr>
          <w:rFonts w:ascii="Times New Roman" w:hAnsi="Times New Roman"/>
          <w:color w:val="000000"/>
          <w:sz w:val="24"/>
          <w:szCs w:val="24"/>
          <w:lang w:val="en-US"/>
        </w:rPr>
        <w:t>carmaker</w:t>
      </w:r>
      <w:r w:rsidR="00E3141F" w:rsidRPr="00E3141F">
        <w:rPr>
          <w:rFonts w:ascii="Times New Roman" w:hAnsi="Times New Roman"/>
          <w:color w:val="000000"/>
          <w:sz w:val="24"/>
          <w:szCs w:val="24"/>
          <w:lang w:val="en-US"/>
        </w:rPr>
        <w:t xml:space="preserve"> launches of new models</w:t>
      </w:r>
      <w:r>
        <w:rPr>
          <w:rFonts w:ascii="Times New Roman" w:hAnsi="Times New Roman"/>
          <w:color w:val="000000"/>
          <w:sz w:val="24"/>
          <w:szCs w:val="24"/>
          <w:lang w:val="en-US"/>
        </w:rPr>
        <w:t>,</w:t>
      </w:r>
      <w:r w:rsidR="00E3141F" w:rsidRPr="00E3141F">
        <w:rPr>
          <w:rFonts w:ascii="Times New Roman" w:hAnsi="Times New Roman"/>
          <w:color w:val="000000"/>
          <w:sz w:val="24"/>
          <w:szCs w:val="24"/>
          <w:lang w:val="en-US"/>
        </w:rPr>
        <w:t xml:space="preserve"> </w:t>
      </w:r>
      <w:r w:rsidR="0092349C">
        <w:rPr>
          <w:rFonts w:ascii="Times New Roman" w:hAnsi="Times New Roman"/>
          <w:color w:val="000000"/>
          <w:sz w:val="24"/>
          <w:szCs w:val="24"/>
          <w:lang w:val="en-US"/>
        </w:rPr>
        <w:t xml:space="preserve">or </w:t>
      </w:r>
      <w:r>
        <w:rPr>
          <w:rFonts w:ascii="Times New Roman" w:hAnsi="Times New Roman"/>
          <w:color w:val="000000"/>
          <w:sz w:val="24"/>
          <w:szCs w:val="24"/>
          <w:lang w:val="en-US"/>
        </w:rPr>
        <w:t xml:space="preserve">that </w:t>
      </w:r>
      <w:r w:rsidR="0092349C">
        <w:rPr>
          <w:rFonts w:ascii="Times New Roman" w:hAnsi="Times New Roman"/>
          <w:color w:val="000000"/>
          <w:sz w:val="24"/>
          <w:szCs w:val="24"/>
          <w:lang w:val="en-US"/>
        </w:rPr>
        <w:t xml:space="preserve">local </w:t>
      </w:r>
      <w:r>
        <w:rPr>
          <w:rFonts w:ascii="Times New Roman" w:hAnsi="Times New Roman"/>
          <w:color w:val="000000"/>
          <w:sz w:val="24"/>
          <w:szCs w:val="24"/>
          <w:lang w:val="en-US"/>
        </w:rPr>
        <w:t>car</w:t>
      </w:r>
      <w:r w:rsidR="0092349C">
        <w:rPr>
          <w:rFonts w:ascii="Times New Roman" w:hAnsi="Times New Roman"/>
          <w:color w:val="000000"/>
          <w:sz w:val="24"/>
          <w:szCs w:val="24"/>
          <w:lang w:val="en-US"/>
        </w:rPr>
        <w:t xml:space="preserve">makers do not introduce many BEV models to the market </w:t>
      </w:r>
      <w:r w:rsidR="00D10E6E">
        <w:rPr>
          <w:rFonts w:ascii="Times New Roman" w:hAnsi="Times New Roman"/>
          <w:color w:val="000000"/>
          <w:sz w:val="24"/>
          <w:szCs w:val="24"/>
          <w:lang w:val="en-US"/>
        </w:rPr>
        <w:fldChar w:fldCharType="begin" w:fldLock="1"/>
      </w:r>
      <w:r w:rsidR="00D10E6E">
        <w:rPr>
          <w:rFonts w:ascii="Times New Roman" w:hAnsi="Times New Roman"/>
          <w:color w:val="000000"/>
          <w:sz w:val="24"/>
          <w:szCs w:val="24"/>
          <w:lang w:val="en-US"/>
        </w:rPr>
        <w:instrText>ADDIN CSL_CITATION {"citationItems":[{"id":"ITEM-1","itemData":{"PMID":"1578370","author":[{"dropping-particle":"","family":"Lutsey","given":"Nic","non-dropping-particle":"","parse-names":false,"suffix":""}],"container-title":"The International Council on Clean Transportation","id":"ITEM-1","issued":{"date-parts":[["2015"]]},"number-of-pages":"1-40","publisher-place":"Washington","title":"Transition to a global zero-emission vehicle fleet: a collaborative agenda for governments","type":"report"},"uris":["http://www.mendeley.com/documents/?uuid=eebcc937-cec7-38d0-9a1d-7bac0c94d8e0"]}],"mendeley":{"formattedCitation":"(Lutsey, 2015)","plainTextFormattedCitation":"(Lutsey, 2015)","previouslyFormattedCitation":"(Lutsey, 2015)"},"properties":{"noteIndex":0},"schema":"https://github.com/citation-style-language/schema/raw/master/csl-citation.json"}</w:instrText>
      </w:r>
      <w:r w:rsidR="00D10E6E">
        <w:rPr>
          <w:rFonts w:ascii="Times New Roman" w:hAnsi="Times New Roman"/>
          <w:color w:val="000000"/>
          <w:sz w:val="24"/>
          <w:szCs w:val="24"/>
          <w:lang w:val="en-US"/>
        </w:rPr>
        <w:fldChar w:fldCharType="separate"/>
      </w:r>
      <w:r w:rsidR="00D10E6E" w:rsidRPr="00D10E6E">
        <w:rPr>
          <w:rFonts w:ascii="Times New Roman" w:hAnsi="Times New Roman"/>
          <w:noProof/>
          <w:color w:val="000000"/>
          <w:sz w:val="24"/>
          <w:szCs w:val="24"/>
          <w:lang w:val="en-US"/>
        </w:rPr>
        <w:t>(Lutsey, 2015)</w:t>
      </w:r>
      <w:r w:rsidR="00D10E6E">
        <w:rPr>
          <w:rFonts w:ascii="Times New Roman" w:hAnsi="Times New Roman"/>
          <w:color w:val="000000"/>
          <w:sz w:val="24"/>
          <w:szCs w:val="24"/>
          <w:lang w:val="en-US"/>
        </w:rPr>
        <w:fldChar w:fldCharType="end"/>
      </w:r>
      <w:r w:rsidR="00D10E6E">
        <w:rPr>
          <w:rFonts w:ascii="Times New Roman" w:hAnsi="Times New Roman"/>
          <w:color w:val="000000"/>
          <w:sz w:val="24"/>
          <w:szCs w:val="24"/>
          <w:lang w:val="en-US"/>
        </w:rPr>
        <w:t>.</w:t>
      </w:r>
    </w:p>
    <w:p w:rsidR="001C1D0A" w:rsidRDefault="0092349C" w:rsidP="001C1D0A">
      <w:pPr>
        <w:spacing w:after="120" w:line="360" w:lineRule="auto"/>
        <w:jc w:val="both"/>
        <w:rPr>
          <w:rFonts w:ascii="Times New Roman" w:hAnsi="Times New Roman"/>
          <w:sz w:val="24"/>
          <w:szCs w:val="24"/>
          <w:lang w:val="en-US"/>
        </w:rPr>
      </w:pPr>
      <w:r w:rsidRPr="00541234">
        <w:rPr>
          <w:rFonts w:ascii="Times New Roman" w:hAnsi="Times New Roman"/>
          <w:color w:val="000000"/>
          <w:sz w:val="24"/>
          <w:szCs w:val="24"/>
          <w:lang w:val="en-US"/>
        </w:rPr>
        <w:t xml:space="preserve">Besides the general differences between the analyzed countries, some countries deserve special attention. For instance, </w:t>
      </w:r>
      <w:r w:rsidR="00E3141F" w:rsidRPr="00541234">
        <w:rPr>
          <w:rFonts w:ascii="Times New Roman" w:hAnsi="Times New Roman"/>
          <w:color w:val="000000"/>
          <w:sz w:val="24"/>
          <w:szCs w:val="24"/>
          <w:lang w:val="en-US"/>
        </w:rPr>
        <w:t>Norway</w:t>
      </w:r>
      <w:r w:rsidR="00D14EF3" w:rsidRPr="00541234">
        <w:rPr>
          <w:rFonts w:ascii="Times New Roman" w:hAnsi="Times New Roman"/>
          <w:color w:val="000000"/>
          <w:sz w:val="24"/>
          <w:szCs w:val="24"/>
          <w:lang w:val="en-US"/>
        </w:rPr>
        <w:t xml:space="preserve"> as </w:t>
      </w:r>
      <w:r w:rsidR="00D14EF3" w:rsidRPr="00541234">
        <w:rPr>
          <w:rFonts w:ascii="Times New Roman" w:hAnsi="Times New Roman"/>
          <w:sz w:val="24"/>
          <w:szCs w:val="24"/>
          <w:lang w:val="en-US"/>
        </w:rPr>
        <w:t xml:space="preserve">the best </w:t>
      </w:r>
      <w:r w:rsidRPr="00541234">
        <w:rPr>
          <w:rFonts w:ascii="Times New Roman" w:hAnsi="Times New Roman"/>
          <w:sz w:val="24"/>
          <w:szCs w:val="24"/>
          <w:lang w:val="en-US"/>
        </w:rPr>
        <w:t>case</w:t>
      </w:r>
      <w:r w:rsidR="00D14EF3" w:rsidRPr="00541234">
        <w:rPr>
          <w:rFonts w:ascii="Times New Roman" w:hAnsi="Times New Roman"/>
          <w:sz w:val="24"/>
          <w:szCs w:val="24"/>
          <w:lang w:val="en-US"/>
        </w:rPr>
        <w:t xml:space="preserve"> of how the focus </w:t>
      </w:r>
      <w:r w:rsidR="0039208C">
        <w:rPr>
          <w:rFonts w:ascii="Times New Roman" w:hAnsi="Times New Roman"/>
          <w:sz w:val="24"/>
          <w:szCs w:val="24"/>
          <w:lang w:val="en-US"/>
        </w:rPr>
        <w:t xml:space="preserve">of public incentives </w:t>
      </w:r>
      <w:r w:rsidR="00D14EF3" w:rsidRPr="00541234">
        <w:rPr>
          <w:rFonts w:ascii="Times New Roman" w:hAnsi="Times New Roman"/>
          <w:sz w:val="24"/>
          <w:szCs w:val="24"/>
          <w:lang w:val="en-US"/>
        </w:rPr>
        <w:t xml:space="preserve">on early adopters and niche markets can make BEV policies effective </w:t>
      </w:r>
      <w:r w:rsidR="00D14EF3" w:rsidRPr="00541234">
        <w:rPr>
          <w:rFonts w:ascii="Times New Roman" w:hAnsi="Times New Roman"/>
          <w:sz w:val="24"/>
          <w:szCs w:val="24"/>
          <w:lang w:val="en-US"/>
        </w:rPr>
        <w:fldChar w:fldCharType="begin" w:fldLock="1"/>
      </w:r>
      <w:r w:rsidR="00D14EF3" w:rsidRPr="00541234">
        <w:rPr>
          <w:rFonts w:ascii="Times New Roman" w:hAnsi="Times New Roman"/>
          <w:sz w:val="24"/>
          <w:szCs w:val="24"/>
          <w:lang w:val="en-US"/>
        </w:rPr>
        <w:instrText xml:space="preserve">ADDIN CSL_CITATION {"citationItems":[{"id":"ITEM-1","itemData":{"DOI":"10.1016/j.enpol.2013.10.024","ISBN":"03014215","ISSN":"03014215","abstract":"Plug-in electric vehicles (PEVs) provide an opportunity for reducing energy use and emissions in the transportation sector. Currently, a number of federal policies are in place to incentivize deployment of PEVs to mainstream consumers with demographics and vehicle attribute preferences most common to today's new vehicle purchasers. This article argues that policies intending to give PEVs a foothold in the market should not focus on mainstream consumers and should instead focus on niche markets-specifically carsharing and postal fleets-and early adopters including green consumers. Two arguments can be made in support of eliminating the mainstream market bias of current policies toward a policy of cultivating niche markets. The first is efficiency: so far PEV policies featuring a mainstream market bias have proven to be inefficient and costly. The second is effectiveness: it is becoming increasingly evident that PEV policies would be more effective in achieving potential societal benefits if they focused on early </w:instrText>
      </w:r>
      <w:r w:rsidR="00D14EF3" w:rsidRPr="0039208C">
        <w:rPr>
          <w:rFonts w:ascii="Times New Roman" w:hAnsi="Times New Roman"/>
          <w:sz w:val="24"/>
          <w:szCs w:val="24"/>
          <w:lang w:val="en-US"/>
        </w:rPr>
        <w:instrText>adopters and niche ma</w:instrText>
      </w:r>
      <w:r w:rsidR="00D14EF3" w:rsidRPr="006A481F">
        <w:rPr>
          <w:rFonts w:ascii="Times New Roman" w:hAnsi="Times New Roman"/>
          <w:sz w:val="24"/>
          <w:szCs w:val="24"/>
          <w:lang w:val="en-US"/>
        </w:rPr>
        <w:instrText>rkets using such approaches as strategic niche management, accessible loans and financing, and appropriately targeted incentives. PEV policies focused on early adopters and niche markets would create complementary system effects that will lead to increased PEV market penetration and realization of intended societal benefits. © 2013 Elsevier Ltd.","author":[{"dropping-particle":"","family":"Green","given":"Erin H.","non-dropping-particle":"","parse-names":false,"suffix":""},{"dropping-particle":"","family":"Skerlos","given":"Steven J.","non-dropping-particle":"","parse-names":false,"suffix":""},{"dropping-particle":"","family":"Winebrake","given":"James J.","non-dropping-particle":"","parse-names":false,"suffix":""}],"container-title":"Energy Policy","id":"ITEM-1","issued":{"date-parts":[["2014"]]},"page":"562-566","publisher":"Elsevier","title":"Increasing electric vehicle policy efficiency and effectiveness by reducing mainstream market bias","type":"article-journal","volume":"65"},"uris":["http://www.mendeley.com/documents/?uuid=e44dd803-b4d6-4ba2-84e0-a804d6b30691"]}],"mendeley":{"formattedCitation":"(Green, Skerlos, &amp; Winebrake, 2014)","manualFormatting":"(Green, Skerlos, &amp; Winebrake, 2014","plainTextFormattedCitation":"(Green, Skerlos, &amp; Winebrake, 2014)","previouslyFormattedCitation":"(Green, Skerlos, &amp; Winebrake, 2014)"},"properties":{"noteIndex":0},"schema":"https://github.com/citation-style-language/schema/raw/master/csl-citation.json"}</w:instrText>
      </w:r>
      <w:r w:rsidR="00D14EF3" w:rsidRPr="00541234">
        <w:rPr>
          <w:rFonts w:ascii="Times New Roman" w:hAnsi="Times New Roman"/>
          <w:sz w:val="24"/>
          <w:szCs w:val="24"/>
          <w:lang w:val="en-US"/>
        </w:rPr>
        <w:fldChar w:fldCharType="separate"/>
      </w:r>
      <w:r w:rsidR="00D14EF3" w:rsidRPr="006A481F">
        <w:rPr>
          <w:rFonts w:ascii="Times New Roman" w:hAnsi="Times New Roman"/>
          <w:noProof/>
          <w:sz w:val="24"/>
          <w:szCs w:val="24"/>
          <w:lang w:val="en-US"/>
        </w:rPr>
        <w:t>(Green, Skerlos, &amp; Winebrake, 2014</w:t>
      </w:r>
      <w:r w:rsidR="00D14EF3" w:rsidRPr="00541234">
        <w:rPr>
          <w:rFonts w:ascii="Times New Roman" w:hAnsi="Times New Roman"/>
          <w:sz w:val="24"/>
          <w:szCs w:val="24"/>
          <w:lang w:val="en-US"/>
        </w:rPr>
        <w:fldChar w:fldCharType="end"/>
      </w:r>
      <w:r w:rsidR="00D14EF3" w:rsidRPr="006A481F">
        <w:rPr>
          <w:rFonts w:ascii="Times New Roman" w:hAnsi="Times New Roman"/>
          <w:sz w:val="24"/>
          <w:szCs w:val="24"/>
          <w:lang w:val="en-US"/>
        </w:rPr>
        <w:t xml:space="preserve">; </w:t>
      </w:r>
      <w:r w:rsidR="00D14EF3" w:rsidRPr="00541234">
        <w:rPr>
          <w:rFonts w:ascii="Times New Roman" w:hAnsi="Times New Roman"/>
          <w:sz w:val="24"/>
          <w:szCs w:val="24"/>
          <w:lang w:val="en-US"/>
        </w:rPr>
        <w:fldChar w:fldCharType="begin" w:fldLock="1"/>
      </w:r>
      <w:r w:rsidR="00D14EF3" w:rsidRPr="006A481F">
        <w:rPr>
          <w:rFonts w:ascii="Times New Roman" w:hAnsi="Times New Roman"/>
          <w:sz w:val="24"/>
          <w:szCs w:val="24"/>
          <w:lang w:val="en-US"/>
        </w:rPr>
        <w:instrText>ADDIN CSL_CITATION {"citationItems":[{"id":"I</w:instrText>
      </w:r>
      <w:r w:rsidR="00D14EF3" w:rsidRPr="00CE182C">
        <w:rPr>
          <w:rFonts w:ascii="Times New Roman" w:hAnsi="Times New Roman"/>
          <w:sz w:val="24"/>
          <w:szCs w:val="24"/>
        </w:rPr>
        <w:instrText>TEM-1","itemData":{"ISBN":"9788248016458","abstract":"The report presents two analyses of the Norwegian Electric Vehicle (EV) story. The first one is using the multi-level perspective (MLP) framework to investigate how the interaction of events in and between the niche, regime and landscape levels, shaped the Norwegian EV policies that led to the world’s fastest diffusion of EVs. The second one looks at user adoption from a socio-technical perspective. A</w:instrText>
      </w:r>
      <w:r w:rsidR="00D14EF3" w:rsidRPr="00C250D6">
        <w:rPr>
          <w:rFonts w:ascii="Times New Roman" w:hAnsi="Times New Roman"/>
          <w:sz w:val="24"/>
          <w:szCs w:val="24"/>
          <w:lang w:val="en-US"/>
        </w:rPr>
        <w:instrText xml:space="preserve"> long-term evolving political framework built up piece by piece by many actors and with an ability to maintain stability and focus over long time periods, seem to be ways to success. EVs qualities, incentives giving relative advantages and increased availability of vehicles were effective diffusion mechanisms. The process started in urban regions but is now covering other locations as well. Technology development leading to longer range and lower prices should make it easier for other countries to choose between the many incentives tested in Norway and develop their own packages.","author":[{"dropping-particle":"","family":"Figenbaum","given":"Erik","non-dropping-particle":"","parse-names":false,"suffix":""},{"dropping-particle":"","family":"Kolbenstvedt","given":"Marika","non-dropping-particle":"","parse-names":false,"suffix":""}],"id":"ITEM-1","issued":{"date-parts":[["2015"]]},"number-of-pages":"65","publisher-place":"Oslo","title":"Pathways to electromobility-perspectives based on Norwegian experiences","type":"report"},"uris":["http://www.mendeley.com/documents/?uuid=d40b46d5-400e-32ab-9e85-39d80762271d"]}],"mendeley":{"formattedCitation":"(Figenbaum &amp; Kolbenstvedt, 2015)","manualFormatting":"Figenbaum &amp; Kolbenstvedt, 2015)","plainTextFormattedCitation":"(Figenbaum &amp; Kolbenstvedt, 2015)","previouslyFormattedCitation":"(Figenbaum &amp; Kolbenstvedt, 2015)"},"properties":{"noteIndex":0},"schema":"https://github.com/citation-style-language/schema/raw/master/csl-citation.json"}</w:instrText>
      </w:r>
      <w:r w:rsidR="00D14EF3" w:rsidRPr="00541234">
        <w:rPr>
          <w:rFonts w:ascii="Times New Roman" w:hAnsi="Times New Roman"/>
          <w:sz w:val="24"/>
          <w:szCs w:val="24"/>
          <w:lang w:val="en-US"/>
        </w:rPr>
        <w:fldChar w:fldCharType="separate"/>
      </w:r>
      <w:r w:rsidR="00D14EF3" w:rsidRPr="00C250D6">
        <w:rPr>
          <w:rFonts w:ascii="Times New Roman" w:hAnsi="Times New Roman"/>
          <w:noProof/>
          <w:sz w:val="24"/>
          <w:szCs w:val="24"/>
          <w:lang w:val="en-US"/>
        </w:rPr>
        <w:t>Figenbaum &amp; Kolbenstvedt, 2015)</w:t>
      </w:r>
      <w:r w:rsidR="00D14EF3" w:rsidRPr="00541234">
        <w:rPr>
          <w:rFonts w:ascii="Times New Roman" w:hAnsi="Times New Roman"/>
          <w:sz w:val="24"/>
          <w:szCs w:val="24"/>
          <w:lang w:val="en-US"/>
        </w:rPr>
        <w:fldChar w:fldCharType="end"/>
      </w:r>
      <w:r w:rsidR="00D14EF3" w:rsidRPr="00C250D6">
        <w:rPr>
          <w:rFonts w:ascii="Times New Roman" w:hAnsi="Times New Roman"/>
          <w:sz w:val="24"/>
          <w:szCs w:val="24"/>
          <w:lang w:val="en-US"/>
        </w:rPr>
        <w:t xml:space="preserve">. </w:t>
      </w:r>
      <w:r w:rsidR="00D14EF3" w:rsidRPr="00DB737D">
        <w:rPr>
          <w:rFonts w:ascii="Times New Roman" w:hAnsi="Times New Roman"/>
          <w:sz w:val="24"/>
          <w:szCs w:val="24"/>
          <w:lang w:val="en-US"/>
        </w:rPr>
        <w:t xml:space="preserve">The economic incentives reducing BEV user cost </w:t>
      </w:r>
      <w:r w:rsidR="00B33FBF">
        <w:rPr>
          <w:rFonts w:ascii="Times New Roman" w:hAnsi="Times New Roman"/>
          <w:sz w:val="24"/>
          <w:szCs w:val="24"/>
          <w:lang w:val="en-US"/>
        </w:rPr>
        <w:t>(e</w:t>
      </w:r>
      <w:r w:rsidR="00D14EF3" w:rsidRPr="00DB737D">
        <w:rPr>
          <w:rFonts w:ascii="Times New Roman" w:hAnsi="Times New Roman"/>
          <w:sz w:val="24"/>
          <w:szCs w:val="24"/>
          <w:lang w:val="en-US"/>
        </w:rPr>
        <w:t>xemption</w:t>
      </w:r>
      <w:r w:rsidR="00B33FBF">
        <w:rPr>
          <w:rFonts w:ascii="Times New Roman" w:hAnsi="Times New Roman"/>
          <w:sz w:val="24"/>
          <w:szCs w:val="24"/>
          <w:lang w:val="en-US"/>
        </w:rPr>
        <w:t xml:space="preserve"> from on average 25% purchase tax and 25% VAT</w:t>
      </w:r>
      <w:r w:rsidR="00D14EF3" w:rsidRPr="00DB737D">
        <w:rPr>
          <w:rFonts w:ascii="Times New Roman" w:hAnsi="Times New Roman"/>
          <w:sz w:val="24"/>
          <w:szCs w:val="24"/>
          <w:lang w:val="en-US"/>
        </w:rPr>
        <w:t>) combined with incentives not available to users of other types of vehicles</w:t>
      </w:r>
      <w:r w:rsidR="00DB737D" w:rsidRPr="00DB737D">
        <w:rPr>
          <w:rFonts w:ascii="Times New Roman" w:hAnsi="Times New Roman"/>
          <w:sz w:val="24"/>
          <w:szCs w:val="24"/>
          <w:lang w:val="en-US"/>
        </w:rPr>
        <w:t xml:space="preserve"> </w:t>
      </w:r>
      <w:r w:rsidR="00D14EF3" w:rsidRPr="00DB737D">
        <w:rPr>
          <w:rFonts w:ascii="Times New Roman" w:hAnsi="Times New Roman"/>
          <w:sz w:val="24"/>
          <w:szCs w:val="24"/>
          <w:lang w:val="en-US"/>
        </w:rPr>
        <w:t>created niches - the bus-lane access and toll-road user niches</w:t>
      </w:r>
      <w:r w:rsidR="004F258E" w:rsidRPr="00DB737D">
        <w:rPr>
          <w:rFonts w:ascii="Times New Roman" w:hAnsi="Times New Roman"/>
          <w:sz w:val="24"/>
          <w:szCs w:val="24"/>
          <w:lang w:val="en-US"/>
        </w:rPr>
        <w:t xml:space="preserve"> </w:t>
      </w:r>
      <w:r w:rsidR="00D14EF3" w:rsidRPr="00DB737D">
        <w:rPr>
          <w:rFonts w:ascii="Times New Roman" w:hAnsi="Times New Roman"/>
          <w:sz w:val="24"/>
          <w:szCs w:val="24"/>
          <w:lang w:val="en-US"/>
        </w:rPr>
        <w:t>(</w:t>
      </w:r>
      <w:proofErr w:type="spellStart"/>
      <w:r w:rsidR="00D14EF3" w:rsidRPr="00DB737D">
        <w:rPr>
          <w:rFonts w:ascii="Times New Roman" w:hAnsi="Times New Roman"/>
          <w:sz w:val="24"/>
          <w:szCs w:val="24"/>
          <w:lang w:val="en-US"/>
        </w:rPr>
        <w:t>Assum</w:t>
      </w:r>
      <w:proofErr w:type="spellEnd"/>
      <w:r w:rsidR="00D14EF3" w:rsidRPr="00DB737D">
        <w:rPr>
          <w:rFonts w:ascii="Times New Roman" w:hAnsi="Times New Roman"/>
          <w:sz w:val="24"/>
          <w:szCs w:val="24"/>
          <w:lang w:val="en-US"/>
        </w:rPr>
        <w:t xml:space="preserve"> et al., 2014; </w:t>
      </w:r>
      <w:proofErr w:type="spellStart"/>
      <w:r w:rsidR="00D14EF3" w:rsidRPr="00DB737D">
        <w:rPr>
          <w:rFonts w:ascii="Times New Roman" w:hAnsi="Times New Roman"/>
          <w:sz w:val="24"/>
          <w:szCs w:val="24"/>
          <w:lang w:val="en-US"/>
        </w:rPr>
        <w:t>Bühne</w:t>
      </w:r>
      <w:proofErr w:type="spellEnd"/>
      <w:r w:rsidR="00D14EF3" w:rsidRPr="00DB737D">
        <w:rPr>
          <w:rFonts w:ascii="Times New Roman" w:hAnsi="Times New Roman"/>
          <w:sz w:val="24"/>
          <w:szCs w:val="24"/>
          <w:lang w:val="en-US"/>
        </w:rPr>
        <w:t xml:space="preserve"> et al., 2015). </w:t>
      </w:r>
      <w:r w:rsidR="00AE25AE">
        <w:rPr>
          <w:rFonts w:ascii="Times New Roman" w:hAnsi="Times New Roman"/>
          <w:sz w:val="24"/>
          <w:szCs w:val="24"/>
          <w:lang w:val="en-US"/>
        </w:rPr>
        <w:t xml:space="preserve">Large incentives together with exogenous factors such as cheap electricity and thus widespread use of electric power by households </w:t>
      </w:r>
      <w:r w:rsidR="00F27D8D">
        <w:rPr>
          <w:rFonts w:ascii="Times New Roman" w:hAnsi="Times New Roman"/>
          <w:sz w:val="24"/>
          <w:szCs w:val="24"/>
          <w:lang w:val="en-US"/>
        </w:rPr>
        <w:t xml:space="preserve">resulted in the EV-favorable landscape. </w:t>
      </w:r>
      <w:r w:rsidR="00F27D8D">
        <w:rPr>
          <w:rFonts w:ascii="Times New Roman" w:hAnsi="Times New Roman"/>
          <w:noProof/>
          <w:sz w:val="24"/>
          <w:szCs w:val="24"/>
          <w:lang w:val="en-US"/>
        </w:rPr>
        <w:t>Overall</w:t>
      </w:r>
      <w:r w:rsidR="00B33FBF">
        <w:rPr>
          <w:rFonts w:ascii="Times New Roman" w:hAnsi="Times New Roman"/>
          <w:noProof/>
          <w:sz w:val="24"/>
          <w:szCs w:val="24"/>
          <w:lang w:val="en-US"/>
        </w:rPr>
        <w:t xml:space="preserve">, </w:t>
      </w:r>
      <w:r w:rsidR="00617054">
        <w:rPr>
          <w:rFonts w:ascii="Times New Roman" w:hAnsi="Times New Roman"/>
          <w:sz w:val="24"/>
          <w:szCs w:val="24"/>
          <w:lang w:val="en-US"/>
        </w:rPr>
        <w:t xml:space="preserve">high pressure from the landscape </w:t>
      </w:r>
      <w:r w:rsidR="006A481F">
        <w:rPr>
          <w:rFonts w:ascii="Times New Roman" w:hAnsi="Times New Roman"/>
          <w:sz w:val="24"/>
          <w:szCs w:val="24"/>
          <w:lang w:val="en-US"/>
        </w:rPr>
        <w:t xml:space="preserve">and weak ICE regime (no local car production) </w:t>
      </w:r>
      <w:r w:rsidR="00F27D8D">
        <w:rPr>
          <w:rFonts w:ascii="Times New Roman" w:hAnsi="Times New Roman"/>
          <w:sz w:val="24"/>
          <w:szCs w:val="24"/>
          <w:lang w:val="en-US"/>
        </w:rPr>
        <w:t>led to</w:t>
      </w:r>
      <w:r w:rsidR="00617054">
        <w:rPr>
          <w:rFonts w:ascii="Times New Roman" w:hAnsi="Times New Roman"/>
          <w:sz w:val="24"/>
          <w:szCs w:val="24"/>
          <w:lang w:val="en-US"/>
        </w:rPr>
        <w:t xml:space="preserve"> the EV diffusion following </w:t>
      </w:r>
      <w:r w:rsidR="00617054" w:rsidRPr="004D73DD">
        <w:rPr>
          <w:rFonts w:ascii="Times New Roman" w:hAnsi="Times New Roman"/>
          <w:sz w:val="24"/>
          <w:szCs w:val="24"/>
          <w:lang w:val="en-US"/>
        </w:rPr>
        <w:t>a “technological substitution path”</w:t>
      </w:r>
      <w:r w:rsidR="00617054">
        <w:rPr>
          <w:rFonts w:ascii="Times New Roman" w:hAnsi="Times New Roman"/>
          <w:sz w:val="24"/>
          <w:szCs w:val="24"/>
          <w:lang w:val="en-US"/>
        </w:rPr>
        <w:t xml:space="preserve"> </w:t>
      </w:r>
      <w:r w:rsidR="00617054">
        <w:rPr>
          <w:rFonts w:ascii="Times New Roman" w:hAnsi="Times New Roman"/>
          <w:sz w:val="24"/>
          <w:szCs w:val="24"/>
          <w:lang w:val="en-US"/>
        </w:rPr>
        <w:fldChar w:fldCharType="begin" w:fldLock="1"/>
      </w:r>
      <w:r w:rsidR="00617054">
        <w:rPr>
          <w:rFonts w:ascii="Times New Roman" w:hAnsi="Times New Roman"/>
          <w:sz w:val="24"/>
          <w:szCs w:val="24"/>
          <w:lang w:val="en-US"/>
        </w:rPr>
        <w:instrText>ADDIN CSL_CITATION {"citationItems":[{"id":"ITEM-1","itemData":{"ISBN":"9788248016458","abstract":"The report presents two analyses of the Norwegian Electric Vehicle (EV) story. The first one is using the multi-level perspective (MLP) framework to investigate how the interaction of events in and between the niche, regime and landscape levels, shaped the Norwegian EV policies that led to the world’s fastest diffusion of EVs. The second one looks at user adoption from a socio-technical perspective. A long-term evolving political framework built up piece by piece by many actors and with an ability to maintain stability and focus over long time periods, seem to be ways to success. EVs qualities, incentives giving relative advantages and increased availability of vehicles were effective diffusion mechanisms. The process started in urban regions but is now covering other locations as well. Technology development leading to longer range and lower prices should make it easier for other countries to choose between the many incentives tested in Norway and develop their own packages.","author":[{"dropping-particle":"","family":"Figenbaum","given":"Erik","non-dropping-particle":"","parse-names":false,"suffix":""},{"dropping-particle":"","family":"Kolbenstvedt","given":"Marika","non-dropping-particle":"","parse-names":false,"suffix":""}],"id":"ITEM-1","issued":{"date-parts":[["2015"]]},"number-of-pages":"65","publisher-place":"Oslo","title":"Pathways to electromobility-perspectives based on Norwegian experiences","type":"report"},"uris":["http://www.mendeley.com/documents/?uuid=d40b46d5-400e-32ab-9e85-39d80762271d"]}],"mendeley":{"formattedCitation":"(Figenbaum &amp; Kolbenstvedt, 2015)","plainTextFormattedCitation":"(Figenbaum &amp; Kolbenstvedt, 2015)","previouslyFormattedCitation":"(Figenbaum &amp; Kolbenstvedt, 2015)"},"properties":{"noteIndex":0},"schema":"https://github.com/citation-style-language/schema/raw/master/csl-citation.json"}</w:instrText>
      </w:r>
      <w:r w:rsidR="00617054">
        <w:rPr>
          <w:rFonts w:ascii="Times New Roman" w:hAnsi="Times New Roman"/>
          <w:sz w:val="24"/>
          <w:szCs w:val="24"/>
          <w:lang w:val="en-US"/>
        </w:rPr>
        <w:fldChar w:fldCharType="separate"/>
      </w:r>
      <w:r w:rsidR="00617054" w:rsidRPr="00A34531">
        <w:rPr>
          <w:rFonts w:ascii="Times New Roman" w:hAnsi="Times New Roman"/>
          <w:noProof/>
          <w:sz w:val="24"/>
          <w:szCs w:val="24"/>
          <w:lang w:val="en-US"/>
        </w:rPr>
        <w:t>(Figenbaum &amp; Kolbenstvedt, 2015)</w:t>
      </w:r>
      <w:r w:rsidR="00617054">
        <w:rPr>
          <w:rFonts w:ascii="Times New Roman" w:hAnsi="Times New Roman"/>
          <w:sz w:val="24"/>
          <w:szCs w:val="24"/>
          <w:lang w:val="en-US"/>
        </w:rPr>
        <w:fldChar w:fldCharType="end"/>
      </w:r>
      <w:r w:rsidR="00617054">
        <w:rPr>
          <w:rFonts w:ascii="Times New Roman" w:hAnsi="Times New Roman"/>
          <w:sz w:val="24"/>
          <w:szCs w:val="24"/>
          <w:lang w:val="en-US"/>
        </w:rPr>
        <w:t>. In contrary, t</w:t>
      </w:r>
      <w:r w:rsidR="00617054" w:rsidRPr="004D73DD">
        <w:rPr>
          <w:rFonts w:ascii="Times New Roman" w:hAnsi="Times New Roman"/>
          <w:sz w:val="24"/>
          <w:szCs w:val="24"/>
          <w:lang w:val="en-US"/>
        </w:rPr>
        <w:t xml:space="preserve">he </w:t>
      </w:r>
      <w:r w:rsidR="00617054">
        <w:rPr>
          <w:rFonts w:ascii="Times New Roman" w:hAnsi="Times New Roman"/>
          <w:sz w:val="24"/>
          <w:szCs w:val="24"/>
          <w:lang w:val="en-US"/>
        </w:rPr>
        <w:t>international EV</w:t>
      </w:r>
      <w:r w:rsidR="00617054" w:rsidRPr="004D73DD">
        <w:rPr>
          <w:rFonts w:ascii="Times New Roman" w:hAnsi="Times New Roman"/>
          <w:sz w:val="24"/>
          <w:szCs w:val="24"/>
          <w:lang w:val="en-US"/>
        </w:rPr>
        <w:t xml:space="preserve"> diffusion seems to be on a transformation path where moderate pressure on the ICE regime is leading to a gradual establishment of an EV regime</w:t>
      </w:r>
      <w:r w:rsidR="00617054">
        <w:rPr>
          <w:rFonts w:ascii="Times New Roman" w:hAnsi="Times New Roman"/>
          <w:sz w:val="24"/>
          <w:szCs w:val="24"/>
          <w:lang w:val="en-US"/>
        </w:rPr>
        <w:t xml:space="preserve"> </w:t>
      </w:r>
      <w:r w:rsidR="00617054">
        <w:rPr>
          <w:rFonts w:ascii="Times New Roman" w:hAnsi="Times New Roman"/>
          <w:sz w:val="24"/>
          <w:szCs w:val="24"/>
          <w:lang w:val="en-US"/>
        </w:rPr>
        <w:fldChar w:fldCharType="begin" w:fldLock="1"/>
      </w:r>
      <w:r w:rsidR="00617054">
        <w:rPr>
          <w:rFonts w:ascii="Times New Roman" w:hAnsi="Times New Roman"/>
          <w:sz w:val="24"/>
          <w:szCs w:val="24"/>
          <w:lang w:val="en-US"/>
        </w:rPr>
        <w:instrText>ADDIN CSL_CITATION {"citationItems":[{"id":"ITEM-1","itemData":{"ISBN":"9788248016458","abstract":"The report presents two analyses of the Norwegian Electric Vehicle (EV) story. The first one is using the multi-level perspective (MLP) framework to investigate how the interaction of events in and between the niche, regime and landscape levels, shaped the Norwegian EV policies that led to the world’s fastest diffusion of EVs. The second one looks at user adoption from a socio-technical perspective. A long-term evolving political framework built up piece by piece by many actors and with an ability to maintain stability and focus over long time periods, seem to be ways to success. EVs qualities, incentives giving relative advantages and increased availability of vehicles were effective diffusion mechanisms. The process started in urban regions but is now covering other locations as well. Technology development leading to longer range and lower prices should make it easier for other countries to choose between the many incentives tested in Norway and develop their own packages.","author":[{"dropping-particle":"","family":"Figenbaum","given":"Erik","non-dropping-particle":"","parse-names":false,"suffix":""},{"dropping-particle":"","family":"Kolbenstvedt","given":"Marika","non-dropping-particle":"","parse-names":false,"suffix":""}],"id":"ITEM-1","issued":{"date-parts":[["2015"]]},"number-of-pages":"65","publisher-place":"Oslo","title":"Pathways to electromobility-perspectives based on Norwegian experiences","type":"report"},"uris":["http://www.mendeley.com/documents/?uuid=d40b46d5-400e-32ab-9e85-39d80762271d"]}],"mendeley":{"formattedCitation":"(Figenbaum &amp; Kolbenstvedt, 2015)","plainTextFormattedCitation":"(Figenbaum &amp; Kolbenstvedt, 2015)","previouslyFormattedCitation":"(Figenbaum &amp; Kolbenstvedt, 2015)"},"properties":{"noteIndex":0},"schema":"https://github.com/citation-style-language/schema/raw/master/csl-citation.json"}</w:instrText>
      </w:r>
      <w:r w:rsidR="00617054">
        <w:rPr>
          <w:rFonts w:ascii="Times New Roman" w:hAnsi="Times New Roman"/>
          <w:sz w:val="24"/>
          <w:szCs w:val="24"/>
          <w:lang w:val="en-US"/>
        </w:rPr>
        <w:fldChar w:fldCharType="separate"/>
      </w:r>
      <w:r w:rsidR="00617054" w:rsidRPr="00A34531">
        <w:rPr>
          <w:rFonts w:ascii="Times New Roman" w:hAnsi="Times New Roman"/>
          <w:noProof/>
          <w:sz w:val="24"/>
          <w:szCs w:val="24"/>
          <w:lang w:val="en-US"/>
        </w:rPr>
        <w:t>(Figenbaum &amp; Kolbenstvedt, 2015)</w:t>
      </w:r>
      <w:r w:rsidR="00617054">
        <w:rPr>
          <w:rFonts w:ascii="Times New Roman" w:hAnsi="Times New Roman"/>
          <w:sz w:val="24"/>
          <w:szCs w:val="24"/>
          <w:lang w:val="en-US"/>
        </w:rPr>
        <w:fldChar w:fldCharType="end"/>
      </w:r>
      <w:r w:rsidR="00617054" w:rsidRPr="004D73DD">
        <w:rPr>
          <w:rFonts w:ascii="Times New Roman" w:hAnsi="Times New Roman"/>
          <w:sz w:val="24"/>
          <w:szCs w:val="24"/>
          <w:lang w:val="en-US"/>
        </w:rPr>
        <w:t xml:space="preserve">. </w:t>
      </w:r>
      <w:r w:rsidR="00F27D8D">
        <w:rPr>
          <w:rFonts w:ascii="Times New Roman" w:hAnsi="Times New Roman"/>
          <w:sz w:val="24"/>
          <w:szCs w:val="24"/>
          <w:lang w:val="en-US"/>
        </w:rPr>
        <w:t>For example,</w:t>
      </w:r>
      <w:r w:rsidR="00D14EF3" w:rsidRPr="00541234">
        <w:rPr>
          <w:rFonts w:ascii="Times New Roman" w:hAnsi="Times New Roman"/>
          <w:sz w:val="24"/>
          <w:szCs w:val="24"/>
          <w:lang w:val="en-US"/>
        </w:rPr>
        <w:t xml:space="preserve"> Japan whe</w:t>
      </w:r>
      <w:r w:rsidR="00B33FBF">
        <w:rPr>
          <w:rFonts w:ascii="Times New Roman" w:hAnsi="Times New Roman"/>
          <w:sz w:val="24"/>
          <w:szCs w:val="24"/>
          <w:lang w:val="en-US"/>
        </w:rPr>
        <w:t>re</w:t>
      </w:r>
      <w:r w:rsidR="00D14EF3" w:rsidRPr="00541234">
        <w:rPr>
          <w:rFonts w:ascii="Times New Roman" w:hAnsi="Times New Roman"/>
          <w:sz w:val="24"/>
          <w:szCs w:val="24"/>
          <w:lang w:val="en-US"/>
        </w:rPr>
        <w:t xml:space="preserve"> </w:t>
      </w:r>
      <w:r w:rsidR="00DD67F1">
        <w:rPr>
          <w:rFonts w:ascii="Times New Roman" w:hAnsi="Times New Roman"/>
          <w:sz w:val="24"/>
          <w:szCs w:val="24"/>
          <w:lang w:val="en-US"/>
        </w:rPr>
        <w:t xml:space="preserve">the </w:t>
      </w:r>
      <w:r w:rsidR="00D14EF3" w:rsidRPr="00541234">
        <w:rPr>
          <w:rFonts w:ascii="Times New Roman" w:hAnsi="Times New Roman"/>
          <w:sz w:val="24"/>
          <w:szCs w:val="24"/>
          <w:lang w:val="en-US"/>
        </w:rPr>
        <w:t xml:space="preserve">government attempts to artificially create niche markets were unsuccessful </w:t>
      </w:r>
      <w:r w:rsidR="00D14EF3" w:rsidRPr="00541234">
        <w:rPr>
          <w:rFonts w:ascii="Times New Roman" w:hAnsi="Times New Roman"/>
          <w:sz w:val="24"/>
          <w:szCs w:val="24"/>
          <w:lang w:val="en-US"/>
        </w:rPr>
        <w:fldChar w:fldCharType="begin" w:fldLock="1"/>
      </w:r>
      <w:r w:rsidR="00D14EF3" w:rsidRPr="00541234">
        <w:rPr>
          <w:rFonts w:ascii="Times New Roman" w:hAnsi="Times New Roman"/>
          <w:sz w:val="24"/>
          <w:szCs w:val="24"/>
          <w:lang w:val="en-US"/>
        </w:rPr>
        <w:instrText>ADDIN CSL_CITATION {"citationItems":[{"id":"ITEM-1","itemData":{"DOI":"10.1016/j.enpol.2004.06.011","ISBN":"0301-4215","ISSN":"03014215","PMID":"25611248","abstract":"The aim of this paper is to analyse the role that the Japanese Government has played in the development of alternatives to conventional vehicles, the effect of government programmes, and the importance of technical flexibility in government support schemes. The focus is on battery-powered electric vehicles (BPEVs), hybrid electric vehicles (HEVs), and fuel cell electric vehicles. The effects of government policy and the process of innovation are analysed from a systems approach drawing on the literature regarding technical change and innovation. The whole chain of government support, including the context in which these different policies have been implemented since the early 1970s, is studied. The Japanese Government has adopted a comprehensive strategy including R&amp;D, demonstration programmes and market support guided by long-term strategic plans. The role of the Government has been that of a conductor in the development process supplying both R&amp;D support and artificially created niche markets, and easing the way for targeted technologies by means of legislation and standards. Despite this, the targeted technology (the BPEV) has not been established on the market. However, the recent market success of the HEV can partly be attributed to the government support of the BPEV technology. The enabling component, the electric drivetrain, was developed for automotive use within the BPEV programmes offered by the MITI. This technology was later utilised in the HEV. The history of BPEVs in Japan demonstrates that \"picking winners\" in government policy is not easy. Despite a sustained and ambitious policy by the MITI, the development of alternative vehicles never unfolded according to plan. The success factors for policy seem more related to technology specific features than the particular policy style. Our conclusion is that flexibility, adaptability and cooperation in terms of technical choice is necessary in policy. This increases the chances of a technology surviving the long journey from idea to competitive technology. Another conclusion is that market support, even in the early phases of development, is an important complement to R&amp;D for gaining experience and building markets. © 2004 Elsevier Ltd. All rights reserved.","author":[{"dropping-particle":"","family":"Åhman","given":"Max","non-dropping-particle":"","parse-names":false,"suffix":""}],"container-title":"Energy Policy","id":"ITEM-1","issue":"4","issued":{"date-parts":[["2006"]]},"page":"433-443","title":"Government policy and the development of electric vehicles in Japan","type":"article-journal","volume":"34"},"uris":["http://www.mendeley.com/documents/?uuid=3ffd52a0-64fe-42c7-8b82-2dfba7f34dba"]}],"mendeley":{"formattedCitation":"(Åhman, 2006)","plainTextFormattedCitation":"(Åhman, 2006)","previouslyFormattedCitation":"(Åhman, 2006)"},"properties":{"noteIndex":0},"schema":"https://github.com/citation-style-language/schema/raw/master/csl-citation.json"}</w:instrText>
      </w:r>
      <w:r w:rsidR="00D14EF3" w:rsidRPr="00541234">
        <w:rPr>
          <w:rFonts w:ascii="Times New Roman" w:hAnsi="Times New Roman"/>
          <w:sz w:val="24"/>
          <w:szCs w:val="24"/>
          <w:lang w:val="en-US"/>
        </w:rPr>
        <w:fldChar w:fldCharType="separate"/>
      </w:r>
      <w:r w:rsidR="00D14EF3" w:rsidRPr="00541234">
        <w:rPr>
          <w:rFonts w:ascii="Times New Roman" w:hAnsi="Times New Roman"/>
          <w:noProof/>
          <w:sz w:val="24"/>
          <w:szCs w:val="24"/>
          <w:lang w:val="en-US"/>
        </w:rPr>
        <w:t>(Åhman, 2006)</w:t>
      </w:r>
      <w:r w:rsidR="00D14EF3" w:rsidRPr="00541234">
        <w:rPr>
          <w:rFonts w:ascii="Times New Roman" w:hAnsi="Times New Roman"/>
          <w:sz w:val="24"/>
          <w:szCs w:val="24"/>
          <w:lang w:val="en-US"/>
        </w:rPr>
        <w:fldChar w:fldCharType="end"/>
      </w:r>
      <w:r w:rsidR="00D14EF3" w:rsidRPr="00541234">
        <w:rPr>
          <w:rFonts w:ascii="Times New Roman" w:hAnsi="Times New Roman"/>
          <w:sz w:val="24"/>
          <w:szCs w:val="24"/>
          <w:lang w:val="en-US"/>
        </w:rPr>
        <w:t xml:space="preserve"> because of the strong ICE regime within the country. </w:t>
      </w:r>
      <w:r w:rsidR="00D8526A">
        <w:rPr>
          <w:rFonts w:ascii="Times New Roman" w:hAnsi="Times New Roman"/>
          <w:sz w:val="24"/>
          <w:szCs w:val="24"/>
          <w:lang w:val="en-US"/>
        </w:rPr>
        <w:t xml:space="preserve">Iceland </w:t>
      </w:r>
      <w:r w:rsidR="00AA4F2B">
        <w:rPr>
          <w:rFonts w:ascii="Times New Roman" w:hAnsi="Times New Roman"/>
          <w:sz w:val="24"/>
          <w:szCs w:val="24"/>
          <w:lang w:val="en-US"/>
        </w:rPr>
        <w:t>as</w:t>
      </w:r>
      <w:r w:rsidR="00D8526A">
        <w:rPr>
          <w:rFonts w:ascii="Times New Roman" w:hAnsi="Times New Roman"/>
          <w:sz w:val="24"/>
          <w:szCs w:val="24"/>
          <w:lang w:val="en-US"/>
        </w:rPr>
        <w:t xml:space="preserve"> the second after Norway in the EV European market could also be studied separately. </w:t>
      </w:r>
      <w:r w:rsidR="00AA4F2B">
        <w:rPr>
          <w:rFonts w:ascii="Times New Roman" w:hAnsi="Times New Roman"/>
          <w:sz w:val="24"/>
          <w:szCs w:val="24"/>
          <w:lang w:val="en-US"/>
        </w:rPr>
        <w:t>There</w:t>
      </w:r>
      <w:r w:rsidR="00D8526A">
        <w:rPr>
          <w:rFonts w:ascii="Times New Roman" w:hAnsi="Times New Roman"/>
          <w:sz w:val="24"/>
          <w:szCs w:val="24"/>
          <w:lang w:val="en-US"/>
        </w:rPr>
        <w:t xml:space="preserve">, BEV sales development is rather flat, </w:t>
      </w:r>
      <w:r w:rsidR="00AA4F2B">
        <w:rPr>
          <w:rFonts w:ascii="Times New Roman" w:hAnsi="Times New Roman"/>
          <w:sz w:val="24"/>
          <w:szCs w:val="24"/>
          <w:lang w:val="en-US"/>
        </w:rPr>
        <w:t>instead, a</w:t>
      </w:r>
      <w:r w:rsidR="00D8526A">
        <w:rPr>
          <w:rFonts w:ascii="Times New Roman" w:hAnsi="Times New Roman"/>
          <w:sz w:val="24"/>
          <w:szCs w:val="24"/>
          <w:lang w:val="en-US"/>
        </w:rPr>
        <w:t xml:space="preserve"> dramatic increase in the PHEV sales</w:t>
      </w:r>
      <w:r w:rsidR="004F258E">
        <w:rPr>
          <w:rFonts w:ascii="Times New Roman" w:hAnsi="Times New Roman"/>
          <w:sz w:val="24"/>
          <w:szCs w:val="24"/>
          <w:lang w:val="en-US"/>
        </w:rPr>
        <w:t xml:space="preserve"> is observed over last years</w:t>
      </w:r>
      <w:r w:rsidR="00D8526A">
        <w:rPr>
          <w:rFonts w:ascii="Times New Roman" w:hAnsi="Times New Roman"/>
          <w:sz w:val="24"/>
          <w:szCs w:val="24"/>
          <w:lang w:val="en-US"/>
        </w:rPr>
        <w:t xml:space="preserve">. Thus, we assume that there might be a causal relationship between high PHEV sales and </w:t>
      </w:r>
      <w:r w:rsidR="007E425A">
        <w:rPr>
          <w:rFonts w:ascii="Times New Roman" w:hAnsi="Times New Roman"/>
          <w:sz w:val="24"/>
          <w:szCs w:val="24"/>
          <w:lang w:val="en-US"/>
        </w:rPr>
        <w:t xml:space="preserve">the </w:t>
      </w:r>
      <w:r w:rsidR="00D8526A">
        <w:rPr>
          <w:rFonts w:ascii="Times New Roman" w:hAnsi="Times New Roman"/>
          <w:sz w:val="24"/>
          <w:szCs w:val="24"/>
          <w:lang w:val="en-US"/>
        </w:rPr>
        <w:t>prices</w:t>
      </w:r>
      <w:r w:rsidR="007E425A" w:rsidRPr="007E425A">
        <w:rPr>
          <w:rFonts w:ascii="Times New Roman" w:hAnsi="Times New Roman"/>
          <w:sz w:val="24"/>
          <w:szCs w:val="24"/>
          <w:lang w:val="en-US"/>
        </w:rPr>
        <w:t xml:space="preserve"> </w:t>
      </w:r>
      <w:r w:rsidR="007E425A">
        <w:rPr>
          <w:rFonts w:ascii="Times New Roman" w:hAnsi="Times New Roman"/>
          <w:sz w:val="24"/>
          <w:szCs w:val="24"/>
          <w:lang w:val="en-US"/>
        </w:rPr>
        <w:t xml:space="preserve">of conventional automotive fuels which </w:t>
      </w:r>
      <w:r w:rsidR="004F258E">
        <w:rPr>
          <w:rFonts w:ascii="Times New Roman" w:hAnsi="Times New Roman"/>
          <w:sz w:val="24"/>
          <w:szCs w:val="24"/>
          <w:lang w:val="en-US"/>
        </w:rPr>
        <w:t xml:space="preserve">are </w:t>
      </w:r>
      <w:r w:rsidR="007E425A">
        <w:rPr>
          <w:rFonts w:ascii="Times New Roman" w:hAnsi="Times New Roman"/>
          <w:sz w:val="24"/>
          <w:szCs w:val="24"/>
          <w:lang w:val="en-US"/>
        </w:rPr>
        <w:t xml:space="preserve">among the highest worldwide </w:t>
      </w:r>
      <w:r w:rsidR="004F258E">
        <w:rPr>
          <w:rFonts w:ascii="Times New Roman" w:hAnsi="Times New Roman"/>
          <w:sz w:val="24"/>
          <w:szCs w:val="24"/>
          <w:lang w:val="en-US"/>
        </w:rPr>
        <w:t>in Iceland</w:t>
      </w:r>
      <w:r w:rsidR="00860E34">
        <w:rPr>
          <w:rFonts w:ascii="Times New Roman" w:hAnsi="Times New Roman"/>
          <w:sz w:val="24"/>
          <w:szCs w:val="24"/>
          <w:lang w:val="en-US"/>
        </w:rPr>
        <w:t xml:space="preserve"> </w:t>
      </w:r>
      <w:r w:rsidR="00860E34">
        <w:rPr>
          <w:rFonts w:ascii="Times New Roman" w:hAnsi="Times New Roman"/>
          <w:sz w:val="24"/>
          <w:szCs w:val="24"/>
          <w:lang w:val="en-US"/>
        </w:rPr>
        <w:fldChar w:fldCharType="begin" w:fldLock="1"/>
      </w:r>
      <w:r w:rsidR="00A34531">
        <w:rPr>
          <w:rFonts w:ascii="Times New Roman" w:hAnsi="Times New Roman"/>
          <w:sz w:val="24"/>
          <w:szCs w:val="24"/>
          <w:lang w:val="en-US"/>
        </w:rPr>
        <w:instrText>ADDIN CSL_CITATION {"citationItems":[{"id":"ITEM-1","itemData":{"URL":"https://www.theicct.org/blog/staff/iceland-ev-market-201807","accessed":{"date-parts":[["2019","1","5"]]},"author":[{"dropping-particle":"","family":"Wappelhorst","given":"Sandra","non-dropping-particle":"","parse-names":false,"suffix":""},{"dropping-particle":"","family":"Tietge","given":"Uwe","non-dropping-particle":"","parse-names":false,"suffix":""}],"container-title":"The International Council on Clean Transportation","id":"ITEM-1","issued":{"date-parts":[["2018"]]},"title":"Iceland is one of the world's most interesting electric vehicle markets","type":"webpage"},"uris":["http://www.mendeley.com/documents/?uuid=9bdfd998-c62a-4e20-a694-dcb139589b18"]}],"mendeley":{"formattedCitation":"(Wappelhorst &amp; Tietge, 2018)","plainTextFormattedCitation":"(Wappelhorst &amp; Tietge, 2018)","previouslyFormattedCitation":"(Wappelhorst &amp; Tietge, 2018)"},"properties":{"noteIndex":0},"schema":"https://github.com/citation-style-language/schema/raw/master/csl-citation.json"}</w:instrText>
      </w:r>
      <w:r w:rsidR="00860E34">
        <w:rPr>
          <w:rFonts w:ascii="Times New Roman" w:hAnsi="Times New Roman"/>
          <w:sz w:val="24"/>
          <w:szCs w:val="24"/>
          <w:lang w:val="en-US"/>
        </w:rPr>
        <w:fldChar w:fldCharType="separate"/>
      </w:r>
      <w:r w:rsidR="00860E34" w:rsidRPr="00860E34">
        <w:rPr>
          <w:rFonts w:ascii="Times New Roman" w:hAnsi="Times New Roman"/>
          <w:noProof/>
          <w:sz w:val="24"/>
          <w:szCs w:val="24"/>
          <w:lang w:val="en-US"/>
        </w:rPr>
        <w:t>(Wappelhorst &amp; Tietge, 2018)</w:t>
      </w:r>
      <w:r w:rsidR="00860E34">
        <w:rPr>
          <w:rFonts w:ascii="Times New Roman" w:hAnsi="Times New Roman"/>
          <w:sz w:val="24"/>
          <w:szCs w:val="24"/>
          <w:lang w:val="en-US"/>
        </w:rPr>
        <w:fldChar w:fldCharType="end"/>
      </w:r>
      <w:r w:rsidR="007E425A">
        <w:rPr>
          <w:rFonts w:ascii="Times New Roman" w:hAnsi="Times New Roman"/>
          <w:sz w:val="24"/>
          <w:szCs w:val="24"/>
          <w:lang w:val="en-US"/>
        </w:rPr>
        <w:t xml:space="preserve">. </w:t>
      </w:r>
      <w:r w:rsidR="00D8526A">
        <w:rPr>
          <w:rFonts w:ascii="Times New Roman" w:hAnsi="Times New Roman"/>
          <w:sz w:val="24"/>
          <w:szCs w:val="24"/>
          <w:lang w:val="en-US"/>
        </w:rPr>
        <w:t xml:space="preserve">The strong positive correlation between the two was also confirmed by </w:t>
      </w:r>
      <w:r w:rsidR="00D10E6E">
        <w:rPr>
          <w:rFonts w:ascii="Times New Roman" w:hAnsi="Times New Roman"/>
          <w:sz w:val="24"/>
          <w:szCs w:val="24"/>
          <w:lang w:val="en-US"/>
        </w:rPr>
        <w:fldChar w:fldCharType="begin" w:fldLock="1"/>
      </w:r>
      <w:r w:rsidR="00860E34">
        <w:rPr>
          <w:rFonts w:ascii="Times New Roman" w:hAnsi="Times New Roman"/>
          <w:sz w:val="24"/>
          <w:szCs w:val="24"/>
          <w:lang w:val="en-US"/>
        </w:rPr>
        <w:instrText>ADDIN CSL_CITATION {"citationItems":[{"id":"ITEM-1","itemData":{"DOI":"10.1016/j.enpol.2008.09.094","ISBN":"0301-4215","ISSN":"03014215","abstract":"This paper examines the impact of government incentives policies designed to promote the adoption of hybrid-electric vehicles (HEVs). As a primary methodology, it employs cross-sectional analysis of hybrid registration data over time from US states to test the relationship between hybrid adoption and a variety of socioeconomic and policy variables. It also compares hybrid adoption patterns over time to the US average for specific states that have changed incentive policies, to examine how differences in incentive schemes influence their efficacy. The results of these analyses suggest a strong relationship between gasoline prices and hybrid adoption, but a much weaker relationship between incentive policies and hybrid adoption. Incentives that provide payments upfront also appear to be the most effective. © 2008 Elsevier Ltd. All rights reserved.","author":[{"dropping-particle":"","family":"Diamond","given":"David","non-dropping-particle":"","parse-names":false,"suffix":""}],"container-title":"Energy Policy","id":"ITEM-1","issue":"3","issued":{"date-parts":[["2009"]]},"page":"972-983","title":"The impact of government incentives for hybrid-electric vehicles: Evidence from US states","type":"article-journal","volume":"37"},"uris":["http://www.mendeley.com/documents/?uuid=ee0c2112-637c-4f09-a4ff-937eb814861f"]}],"mendeley":{"formattedCitation":"(Diamond, 2009)","manualFormatting":"Diamond, 2009","plainTextFormattedCitation":"(Diamond, 2009)","previouslyFormattedCitation":"(Diamond, 2009)"},"properties":{"noteIndex":0},"schema":"https://github.com/citation-style-language/schema/raw/master/csl-citation.json"}</w:instrText>
      </w:r>
      <w:r w:rsidR="00D10E6E">
        <w:rPr>
          <w:rFonts w:ascii="Times New Roman" w:hAnsi="Times New Roman"/>
          <w:sz w:val="24"/>
          <w:szCs w:val="24"/>
          <w:lang w:val="en-US"/>
        </w:rPr>
        <w:fldChar w:fldCharType="separate"/>
      </w:r>
      <w:r w:rsidR="00D10E6E" w:rsidRPr="00D10E6E">
        <w:rPr>
          <w:rFonts w:ascii="Times New Roman" w:hAnsi="Times New Roman"/>
          <w:noProof/>
          <w:sz w:val="24"/>
          <w:szCs w:val="24"/>
          <w:lang w:val="en-US"/>
        </w:rPr>
        <w:t>Diamond, 2009</w:t>
      </w:r>
      <w:r w:rsidR="00D10E6E">
        <w:rPr>
          <w:rFonts w:ascii="Times New Roman" w:hAnsi="Times New Roman"/>
          <w:sz w:val="24"/>
          <w:szCs w:val="24"/>
          <w:lang w:val="en-US"/>
        </w:rPr>
        <w:fldChar w:fldCharType="end"/>
      </w:r>
      <w:r w:rsidR="00D8526A">
        <w:rPr>
          <w:rFonts w:ascii="Times New Roman" w:hAnsi="Times New Roman"/>
          <w:sz w:val="24"/>
          <w:szCs w:val="24"/>
          <w:lang w:val="en-US"/>
        </w:rPr>
        <w:t xml:space="preserve">. </w:t>
      </w:r>
      <w:r w:rsidR="00E3141F" w:rsidRPr="00541234">
        <w:rPr>
          <w:rFonts w:ascii="Times New Roman" w:hAnsi="Times New Roman"/>
          <w:color w:val="000000"/>
          <w:sz w:val="24"/>
          <w:szCs w:val="24"/>
          <w:lang w:val="en-US"/>
        </w:rPr>
        <w:t xml:space="preserve">Another case is China where in some municipalities license plate fees can cost as much </w:t>
      </w:r>
      <w:r w:rsidR="00E3141F" w:rsidRPr="00541234">
        <w:rPr>
          <w:rFonts w:ascii="Times New Roman" w:hAnsi="Times New Roman"/>
          <w:color w:val="000000"/>
          <w:sz w:val="24"/>
          <w:szCs w:val="24"/>
          <w:lang w:val="en-US"/>
        </w:rPr>
        <w:lastRenderedPageBreak/>
        <w:t xml:space="preserve">as a car itself. Therefore, the exemption of </w:t>
      </w:r>
      <w:r w:rsidR="004F258E">
        <w:rPr>
          <w:rFonts w:ascii="Times New Roman" w:hAnsi="Times New Roman"/>
          <w:color w:val="000000"/>
          <w:sz w:val="24"/>
          <w:szCs w:val="24"/>
          <w:lang w:val="en-US"/>
        </w:rPr>
        <w:t>EVs</w:t>
      </w:r>
      <w:r w:rsidR="00E3141F" w:rsidRPr="00541234">
        <w:rPr>
          <w:rFonts w:ascii="Times New Roman" w:hAnsi="Times New Roman"/>
          <w:color w:val="000000"/>
          <w:sz w:val="24"/>
          <w:szCs w:val="24"/>
          <w:lang w:val="en-US"/>
        </w:rPr>
        <w:t xml:space="preserve"> from the bidding procedure and related license registration tax puts </w:t>
      </w:r>
      <w:r w:rsidR="004F258E">
        <w:rPr>
          <w:rFonts w:ascii="Times New Roman" w:hAnsi="Times New Roman"/>
          <w:color w:val="000000"/>
          <w:sz w:val="24"/>
          <w:szCs w:val="24"/>
          <w:lang w:val="en-US"/>
        </w:rPr>
        <w:t>EV</w:t>
      </w:r>
      <w:r w:rsidR="00E3141F" w:rsidRPr="00541234">
        <w:rPr>
          <w:rFonts w:ascii="Times New Roman" w:hAnsi="Times New Roman"/>
          <w:color w:val="000000"/>
          <w:sz w:val="24"/>
          <w:szCs w:val="24"/>
          <w:lang w:val="en-US"/>
        </w:rPr>
        <w:t xml:space="preserve"> buyers in a much more advantageous position. In contrast, in the US the federal bonus only applies to the outstanding tax debt which a person might or might not have. </w:t>
      </w:r>
    </w:p>
    <w:p w:rsidR="001C1D0A" w:rsidRDefault="001C1D0A" w:rsidP="001C1D0A">
      <w:pPr>
        <w:spacing w:after="120" w:line="360" w:lineRule="auto"/>
        <w:jc w:val="both"/>
        <w:rPr>
          <w:rFonts w:ascii="Times New Roman" w:hAnsi="Times New Roman"/>
          <w:sz w:val="24"/>
          <w:szCs w:val="24"/>
          <w:lang w:val="en-US"/>
        </w:rPr>
        <w:sectPr w:rsidR="001C1D0A" w:rsidSect="00BB42B8">
          <w:pgSz w:w="11906" w:h="16838"/>
          <w:pgMar w:top="1418" w:right="1418" w:bottom="1418" w:left="1701" w:header="709" w:footer="709" w:gutter="0"/>
          <w:cols w:space="708"/>
          <w:docGrid w:linePitch="360"/>
        </w:sectPr>
      </w:pPr>
    </w:p>
    <w:p w:rsidR="001C1D0A" w:rsidRDefault="001C1D0A" w:rsidP="00F84058">
      <w:pPr>
        <w:pStyle w:val="1"/>
        <w:rPr>
          <w:lang w:val="en-US"/>
        </w:rPr>
      </w:pPr>
      <w:bookmarkStart w:id="28" w:name="_Toc535248663"/>
      <w:r>
        <w:rPr>
          <w:lang w:val="en-US"/>
        </w:rPr>
        <w:lastRenderedPageBreak/>
        <w:t>Limitations</w:t>
      </w:r>
      <w:bookmarkEnd w:id="28"/>
    </w:p>
    <w:p w:rsidR="004B76CE" w:rsidRPr="00BD2FCB" w:rsidRDefault="00C35D73" w:rsidP="004B76CE">
      <w:p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There are several limitations in our models which </w:t>
      </w:r>
      <w:r w:rsidR="00924BD3">
        <w:rPr>
          <w:rFonts w:ascii="Times New Roman" w:hAnsi="Times New Roman"/>
          <w:sz w:val="24"/>
          <w:szCs w:val="24"/>
          <w:lang w:val="en-US"/>
        </w:rPr>
        <w:t xml:space="preserve">were caused by the data availability and </w:t>
      </w:r>
      <w:r w:rsidR="00F9614B">
        <w:rPr>
          <w:rFonts w:ascii="Times New Roman" w:hAnsi="Times New Roman"/>
          <w:sz w:val="24"/>
          <w:szCs w:val="24"/>
          <w:lang w:val="en-US"/>
        </w:rPr>
        <w:t>could potentially</w:t>
      </w:r>
      <w:r>
        <w:rPr>
          <w:rFonts w:ascii="Times New Roman" w:hAnsi="Times New Roman"/>
          <w:sz w:val="24"/>
          <w:szCs w:val="24"/>
          <w:lang w:val="en-US"/>
        </w:rPr>
        <w:t xml:space="preserve"> produce </w:t>
      </w:r>
      <w:r w:rsidR="00F9614B">
        <w:rPr>
          <w:rFonts w:ascii="Times New Roman" w:hAnsi="Times New Roman"/>
          <w:sz w:val="24"/>
          <w:szCs w:val="24"/>
          <w:lang w:val="en-US"/>
        </w:rPr>
        <w:t>inaccurate</w:t>
      </w:r>
      <w:r>
        <w:rPr>
          <w:rFonts w:ascii="Times New Roman" w:hAnsi="Times New Roman"/>
          <w:sz w:val="24"/>
          <w:szCs w:val="24"/>
          <w:lang w:val="en-US"/>
        </w:rPr>
        <w:t xml:space="preserve"> results. </w:t>
      </w:r>
      <w:r w:rsidR="00D8526A" w:rsidRPr="00DB6CFF">
        <w:rPr>
          <w:rFonts w:ascii="Times New Roman" w:hAnsi="Times New Roman"/>
          <w:sz w:val="24"/>
          <w:szCs w:val="24"/>
          <w:lang w:val="en-US"/>
        </w:rPr>
        <w:t xml:space="preserve">We attempted to estimate the effect of </w:t>
      </w:r>
      <w:r w:rsidR="00BF6C73">
        <w:rPr>
          <w:rFonts w:ascii="Times New Roman" w:hAnsi="Times New Roman"/>
          <w:sz w:val="24"/>
          <w:szCs w:val="24"/>
          <w:lang w:val="en-US"/>
        </w:rPr>
        <w:t>national</w:t>
      </w:r>
      <w:r w:rsidR="00D8526A" w:rsidRPr="00DB6CFF">
        <w:rPr>
          <w:rFonts w:ascii="Times New Roman" w:hAnsi="Times New Roman"/>
          <w:sz w:val="24"/>
          <w:szCs w:val="24"/>
          <w:lang w:val="en-US"/>
        </w:rPr>
        <w:t xml:space="preserve"> policies </w:t>
      </w:r>
      <w:r w:rsidR="00D8526A">
        <w:rPr>
          <w:rFonts w:ascii="Times New Roman" w:hAnsi="Times New Roman"/>
          <w:sz w:val="24"/>
          <w:szCs w:val="24"/>
          <w:lang w:val="en-US"/>
        </w:rPr>
        <w:t>in driving EV adoption, b</w:t>
      </w:r>
      <w:r w:rsidR="00D8526A" w:rsidRPr="00DB6CFF">
        <w:rPr>
          <w:rFonts w:ascii="Times New Roman" w:hAnsi="Times New Roman"/>
          <w:sz w:val="24"/>
          <w:szCs w:val="24"/>
          <w:lang w:val="en-US"/>
        </w:rPr>
        <w:t xml:space="preserve">ut not on the local level. </w:t>
      </w:r>
      <w:r w:rsidR="00405411">
        <w:rPr>
          <w:rFonts w:ascii="Times New Roman" w:hAnsi="Times New Roman"/>
          <w:sz w:val="24"/>
          <w:szCs w:val="24"/>
          <w:lang w:val="en-US"/>
        </w:rPr>
        <w:t>Furthermore</w:t>
      </w:r>
      <w:r w:rsidR="00D8526A" w:rsidRPr="00DB6CFF">
        <w:rPr>
          <w:rFonts w:ascii="Times New Roman" w:hAnsi="Times New Roman"/>
          <w:sz w:val="24"/>
          <w:szCs w:val="24"/>
          <w:lang w:val="en-US"/>
        </w:rPr>
        <w:t xml:space="preserve">, we did not try to monetize tax incentives. Prices may also vary </w:t>
      </w:r>
      <w:r w:rsidR="00D8526A">
        <w:rPr>
          <w:rFonts w:ascii="Times New Roman" w:hAnsi="Times New Roman"/>
          <w:sz w:val="24"/>
          <w:szCs w:val="24"/>
          <w:lang w:val="en-US"/>
        </w:rPr>
        <w:t>for the same BEV model depending on the</w:t>
      </w:r>
      <w:r w:rsidR="00D8526A" w:rsidRPr="00DB6CFF">
        <w:rPr>
          <w:rFonts w:ascii="Times New Roman" w:hAnsi="Times New Roman"/>
          <w:sz w:val="24"/>
          <w:szCs w:val="24"/>
          <w:lang w:val="en-US"/>
        </w:rPr>
        <w:t xml:space="preserve"> concrete specifications</w:t>
      </w:r>
      <w:r w:rsidR="00D8526A">
        <w:rPr>
          <w:rFonts w:ascii="Times New Roman" w:hAnsi="Times New Roman"/>
          <w:sz w:val="24"/>
          <w:szCs w:val="24"/>
          <w:lang w:val="en-US"/>
        </w:rPr>
        <w:t>, dealer discounts or financing conditions</w:t>
      </w:r>
      <w:r w:rsidR="00D8526A" w:rsidRPr="00DB6CFF">
        <w:rPr>
          <w:rFonts w:ascii="Times New Roman" w:hAnsi="Times New Roman"/>
          <w:sz w:val="24"/>
          <w:szCs w:val="24"/>
          <w:lang w:val="en-US"/>
        </w:rPr>
        <w:t xml:space="preserve">. </w:t>
      </w:r>
      <w:r w:rsidR="00D8526A">
        <w:rPr>
          <w:rFonts w:ascii="Times New Roman" w:hAnsi="Times New Roman"/>
          <w:sz w:val="24"/>
          <w:szCs w:val="24"/>
          <w:lang w:val="en-US"/>
        </w:rPr>
        <w:t>Besides, we</w:t>
      </w:r>
      <w:r w:rsidR="00D8526A" w:rsidRPr="00DB6CFF">
        <w:rPr>
          <w:rFonts w:ascii="Times New Roman" w:hAnsi="Times New Roman"/>
          <w:sz w:val="24"/>
          <w:szCs w:val="24"/>
          <w:lang w:val="en-US"/>
        </w:rPr>
        <w:t xml:space="preserve"> did not account for the actual distribution in charging infrastructure</w:t>
      </w:r>
      <w:r w:rsidR="00D8526A">
        <w:rPr>
          <w:rFonts w:ascii="Times New Roman" w:hAnsi="Times New Roman"/>
          <w:sz w:val="24"/>
          <w:szCs w:val="24"/>
          <w:lang w:val="en-US"/>
        </w:rPr>
        <w:t xml:space="preserve"> and regional/temporal fluctuations in electricity price</w:t>
      </w:r>
      <w:r w:rsidR="00D8526A" w:rsidRPr="00DB6CFF">
        <w:rPr>
          <w:rFonts w:ascii="Times New Roman" w:hAnsi="Times New Roman"/>
          <w:sz w:val="24"/>
          <w:szCs w:val="24"/>
          <w:lang w:val="en-US"/>
        </w:rPr>
        <w:t>. Another limitation of our analysis is that supply-side constraints were not considered, even though previous research showed that waiting lists might be a relevant issue influencing demand</w:t>
      </w:r>
      <w:r w:rsidR="00980178">
        <w:rPr>
          <w:rFonts w:ascii="Times New Roman" w:hAnsi="Times New Roman"/>
          <w:sz w:val="24"/>
          <w:szCs w:val="24"/>
          <w:lang w:val="en-US"/>
        </w:rPr>
        <w:t xml:space="preserve"> </w:t>
      </w:r>
      <w:r w:rsidR="00980178">
        <w:rPr>
          <w:rFonts w:ascii="Times New Roman" w:hAnsi="Times New Roman"/>
          <w:sz w:val="24"/>
          <w:szCs w:val="24"/>
          <w:lang w:val="en-US"/>
        </w:rPr>
        <w:fldChar w:fldCharType="begin" w:fldLock="1"/>
      </w:r>
      <w:r w:rsidR="002E5448">
        <w:rPr>
          <w:rFonts w:ascii="Times New Roman" w:hAnsi="Times New Roman"/>
          <w:sz w:val="24"/>
          <w:szCs w:val="24"/>
          <w:lang w:val="en-US"/>
        </w:rPr>
        <w:instrText>ADDIN CSL_CITATION {"citationItems":[{"id":"ITEM-1","itemData":{"PMID":"2150028","abstract":"Despite growing energy security and environmental concerns about dependence on oil as a transportation fuel, gasoline remains the overwhelmingly dominant fuel used by the US automotive fleet Numerous previous efforts to Introduce alternative fuel vehicles (AFVs) fueled by hydrogen, biofuels and electricity have faded, and significant barriers to a rapid transition to AFVs remain. One technology that has achieved considerable success in the US is the gasoline hybrid-electric vehicle (HEV), which integrate gasoline and electric powertrain components to significantly improve the efficiency of gasoline use. Since their introduction in 1999, over 2 million HBVs have been sold in the US, with more than 30 HEV models available to consumers today. In this dissertation I explore the dynamics of adoption of HEVs, examining factors influencing consumer adoption of HEVs to date, and, looking forward, the role of HEVs in the emerging market for plug-in electric vehicles (BVs). In Essay 1, I examine the market for the iconic Toyota Prius HBV. While more than 1 million Prius vehicles have been sold in the US, this market has been characterized by long wait lists at Toyota dealerships, evidence of supply constraints influencing the diffusion process. The innovation diffusion literature says relatively little about supply constraints, representing diffusion as a fundamentally demand-side process. Here I develop a model of innovation diffusion that Incorporates production capacity and dealer inventory. Inclusion of supply constraints improves the explanatory power of the model in the Prius case, and demonstrates that the failure to model supply constraints can bias diffusion model parameter estimates. Essay 2 is motivated by the observation that Prius sales are not uniform geographically. Sales of the Prius have clustered in regions such as the West Coast, around Washington DC and through New England, with many fewer sales of the Prius in the south and mid-west. I propose two alternative hypotheses to explain the emergence of these clusters: 1) contagion through consumers' social networks: and 2) market heterogeneity that Influences consumers' adoption thresholds. I develop a model of spatial innovation diffusion that captures spatial information generation between regions and consumer discrete choice between technologies. I find that in the Prius case, adoption clustering Is explained by social contagion at the local level, which amplifies heterogeneous adoption thresho…","author":[{"dropping-particle":"","family":"Keith","given":"David Ross","non-dropping-particle":"","parse-names":false,"suffix":""}],"container-title":"ProQuest Dissertations and Theses","id":"ITEM-1","issued":{"date-parts":[["2012"]]},"number-of-pages":"1-212","publisher":"Massachusetts Institute of Technology","title":"Essays on the Dynamics of Alternative Fuel Vehicle Adoption: Insights from the Market for Hybrid-Electric Vehicles in the United States","type":"thesis"},"uris":["http://www.mendeley.com/documents/?uuid=e53d86bd-03dd-3818-88ca-e786530d0933"]}],"mendeley":{"formattedCitation":"(Keith, 2012)","plainTextFormattedCitation":"(Keith, 2012)","previouslyFormattedCitation":"(Keith, 2012)"},"properties":{"noteIndex":0},"schema":"https://github.com/citation-style-language/schema/raw/master/csl-citation.json"}</w:instrText>
      </w:r>
      <w:r w:rsidR="00980178">
        <w:rPr>
          <w:rFonts w:ascii="Times New Roman" w:hAnsi="Times New Roman"/>
          <w:sz w:val="24"/>
          <w:szCs w:val="24"/>
          <w:lang w:val="en-US"/>
        </w:rPr>
        <w:fldChar w:fldCharType="separate"/>
      </w:r>
      <w:r w:rsidR="00980178" w:rsidRPr="00980178">
        <w:rPr>
          <w:rFonts w:ascii="Times New Roman" w:hAnsi="Times New Roman"/>
          <w:noProof/>
          <w:sz w:val="24"/>
          <w:szCs w:val="24"/>
          <w:lang w:val="en-US"/>
        </w:rPr>
        <w:t>(Keith, 2012)</w:t>
      </w:r>
      <w:r w:rsidR="00980178">
        <w:rPr>
          <w:rFonts w:ascii="Times New Roman" w:hAnsi="Times New Roman"/>
          <w:sz w:val="24"/>
          <w:szCs w:val="24"/>
          <w:lang w:val="en-US"/>
        </w:rPr>
        <w:fldChar w:fldCharType="end"/>
      </w:r>
      <w:r w:rsidR="00D8526A" w:rsidRPr="00DB6CFF">
        <w:rPr>
          <w:rFonts w:ascii="Times New Roman" w:hAnsi="Times New Roman"/>
          <w:sz w:val="24"/>
          <w:szCs w:val="24"/>
          <w:lang w:val="en-US"/>
        </w:rPr>
        <w:t xml:space="preserve">. </w:t>
      </w:r>
      <w:r w:rsidR="004B76CE" w:rsidRPr="00621510">
        <w:rPr>
          <w:rFonts w:ascii="Times New Roman" w:hAnsi="Times New Roman"/>
          <w:sz w:val="24"/>
          <w:szCs w:val="24"/>
          <w:lang w:val="en-US"/>
        </w:rPr>
        <w:t>The</w:t>
      </w:r>
      <w:r w:rsidR="004B76CE">
        <w:rPr>
          <w:rFonts w:ascii="Times New Roman" w:hAnsi="Times New Roman"/>
          <w:sz w:val="24"/>
          <w:szCs w:val="24"/>
          <w:lang w:val="en-US"/>
        </w:rPr>
        <w:t>refore, we</w:t>
      </w:r>
      <w:r w:rsidR="004B76CE" w:rsidRPr="00621510">
        <w:rPr>
          <w:rFonts w:ascii="Times New Roman" w:hAnsi="Times New Roman"/>
          <w:sz w:val="24"/>
          <w:szCs w:val="24"/>
          <w:lang w:val="en-US"/>
        </w:rPr>
        <w:t xml:space="preserve"> assum</w:t>
      </w:r>
      <w:r w:rsidR="004B76CE">
        <w:rPr>
          <w:rFonts w:ascii="Times New Roman" w:hAnsi="Times New Roman"/>
          <w:sz w:val="24"/>
          <w:szCs w:val="24"/>
          <w:lang w:val="en-US"/>
        </w:rPr>
        <w:t>e</w:t>
      </w:r>
      <w:r w:rsidR="004B76CE" w:rsidRPr="00621510">
        <w:rPr>
          <w:rFonts w:ascii="Times New Roman" w:hAnsi="Times New Roman"/>
          <w:sz w:val="24"/>
          <w:szCs w:val="24"/>
          <w:lang w:val="en-US"/>
        </w:rPr>
        <w:t xml:space="preserve"> that the </w:t>
      </w:r>
      <w:r w:rsidR="004B76CE" w:rsidRPr="00A03FE8">
        <w:rPr>
          <w:rFonts w:ascii="Times New Roman" w:hAnsi="Times New Roman"/>
          <w:sz w:val="24"/>
          <w:szCs w:val="24"/>
          <w:lang w:val="en-US"/>
        </w:rPr>
        <w:t xml:space="preserve">model has limitations regarding </w:t>
      </w:r>
      <w:r w:rsidR="00A6055D" w:rsidRPr="00A03FE8">
        <w:rPr>
          <w:rFonts w:ascii="Times New Roman" w:hAnsi="Times New Roman"/>
          <w:sz w:val="24"/>
          <w:szCs w:val="24"/>
          <w:lang w:val="en-US"/>
        </w:rPr>
        <w:t xml:space="preserve">scope, </w:t>
      </w:r>
      <w:r w:rsidR="00924BD3" w:rsidRPr="00A03FE8">
        <w:rPr>
          <w:rFonts w:ascii="Times New Roman" w:hAnsi="Times New Roman"/>
          <w:sz w:val="24"/>
          <w:szCs w:val="24"/>
          <w:lang w:val="en-US"/>
        </w:rPr>
        <w:t xml:space="preserve">sample size and </w:t>
      </w:r>
      <w:r w:rsidR="004B76CE" w:rsidRPr="00A03FE8">
        <w:rPr>
          <w:rFonts w:ascii="Times New Roman" w:hAnsi="Times New Roman"/>
          <w:sz w:val="24"/>
          <w:szCs w:val="24"/>
          <w:lang w:val="en-US"/>
        </w:rPr>
        <w:t>misspecification. In respect of</w:t>
      </w:r>
      <w:r w:rsidR="004B76CE">
        <w:rPr>
          <w:rFonts w:ascii="Times New Roman" w:hAnsi="Times New Roman"/>
          <w:sz w:val="24"/>
          <w:szCs w:val="24"/>
          <w:lang w:val="en-US"/>
        </w:rPr>
        <w:t xml:space="preserve"> backward elimination, it was only used to </w:t>
      </w:r>
      <w:r w:rsidR="00341649">
        <w:rPr>
          <w:rFonts w:ascii="Times New Roman" w:hAnsi="Times New Roman"/>
          <w:sz w:val="24"/>
          <w:szCs w:val="24"/>
          <w:lang w:val="en-US"/>
        </w:rPr>
        <w:t xml:space="preserve">check the significance of the variables found during the model specification process, respectively </w:t>
      </w:r>
      <w:r w:rsidR="004B76CE">
        <w:rPr>
          <w:rFonts w:ascii="Times New Roman" w:hAnsi="Times New Roman"/>
          <w:sz w:val="24"/>
          <w:szCs w:val="24"/>
          <w:lang w:val="en-US"/>
        </w:rPr>
        <w:t>recalculate the</w:t>
      </w:r>
      <w:r w:rsidR="00341649">
        <w:rPr>
          <w:rFonts w:ascii="Times New Roman" w:hAnsi="Times New Roman"/>
          <w:sz w:val="24"/>
          <w:szCs w:val="24"/>
          <w:lang w:val="en-US"/>
        </w:rPr>
        <w:t>ir</w:t>
      </w:r>
      <w:r w:rsidR="004B76CE">
        <w:rPr>
          <w:rFonts w:ascii="Times New Roman" w:hAnsi="Times New Roman"/>
          <w:sz w:val="24"/>
          <w:szCs w:val="24"/>
          <w:lang w:val="en-US"/>
        </w:rPr>
        <w:t xml:space="preserve"> coefficie</w:t>
      </w:r>
      <w:r w:rsidR="00341649">
        <w:rPr>
          <w:rFonts w:ascii="Times New Roman" w:hAnsi="Times New Roman"/>
          <w:sz w:val="24"/>
          <w:szCs w:val="24"/>
          <w:lang w:val="en-US"/>
        </w:rPr>
        <w:t>nts</w:t>
      </w:r>
      <w:r w:rsidR="004B76CE">
        <w:rPr>
          <w:rFonts w:ascii="Times New Roman" w:hAnsi="Times New Roman"/>
          <w:sz w:val="24"/>
          <w:szCs w:val="24"/>
          <w:lang w:val="en-US"/>
        </w:rPr>
        <w:t xml:space="preserve">, and not as a tool for specifying the final model. We are aware </w:t>
      </w:r>
      <w:r w:rsidR="00BD2FCB">
        <w:rPr>
          <w:rFonts w:ascii="Times New Roman" w:hAnsi="Times New Roman"/>
          <w:sz w:val="24"/>
          <w:szCs w:val="24"/>
          <w:lang w:val="en-US"/>
        </w:rPr>
        <w:t xml:space="preserve">that this procedure is criticized as </w:t>
      </w:r>
      <w:r w:rsidR="00BD2FCB" w:rsidRPr="00BD2FCB">
        <w:rPr>
          <w:rFonts w:ascii="Times New Roman" w:hAnsi="Times New Roman"/>
          <w:sz w:val="24"/>
          <w:szCs w:val="24"/>
          <w:lang w:val="en-US"/>
        </w:rPr>
        <w:t xml:space="preserve">being an inadequate substitute for </w:t>
      </w:r>
      <w:r w:rsidR="00BD2FCB">
        <w:rPr>
          <w:rFonts w:ascii="Times New Roman" w:hAnsi="Times New Roman"/>
          <w:sz w:val="24"/>
          <w:szCs w:val="24"/>
          <w:lang w:val="en-US"/>
        </w:rPr>
        <w:t xml:space="preserve">expert </w:t>
      </w:r>
      <w:r w:rsidR="00C72C51">
        <w:rPr>
          <w:rFonts w:ascii="Times New Roman" w:hAnsi="Times New Roman"/>
          <w:sz w:val="24"/>
          <w:szCs w:val="24"/>
          <w:lang w:val="en-US"/>
        </w:rPr>
        <w:t>judgement</w:t>
      </w:r>
      <w:r w:rsidR="00DB737D">
        <w:rPr>
          <w:rFonts w:ascii="Times New Roman" w:hAnsi="Times New Roman"/>
          <w:sz w:val="24"/>
          <w:szCs w:val="24"/>
          <w:lang w:val="en-US"/>
        </w:rPr>
        <w:t xml:space="preserve"> </w:t>
      </w:r>
      <w:r w:rsidR="00DB737D">
        <w:rPr>
          <w:rFonts w:ascii="Times New Roman" w:hAnsi="Times New Roman"/>
          <w:sz w:val="24"/>
          <w:szCs w:val="24"/>
          <w:lang w:val="en-US"/>
        </w:rPr>
        <w:fldChar w:fldCharType="begin" w:fldLock="1"/>
      </w:r>
      <w:r w:rsidR="00980178">
        <w:rPr>
          <w:rFonts w:ascii="Times New Roman" w:hAnsi="Times New Roman"/>
          <w:sz w:val="24"/>
          <w:szCs w:val="24"/>
          <w:lang w:val="en-US"/>
        </w:rPr>
        <w:instrText>ADDIN CSL_CITATION {"citationItems":[{"id":"ITEM-1","itemData":{"DOI":"10.1016/j.pmrj.2013.07.007","ISBN":"1934-1563 (Electronic)\\n1934-1482 (Linking)","ISSN":"19341482","PMID":"24054854","abstract":"Medical researchers commonly use automatic model selection procedures (including forward, backward, and stepwise selection) to build multivariate regression models. These algorithms neatly sift through a pile of potential predictor variables to come up with a single, compact model. Their popularity is understandable. They are readily available in statistical analysis packages, trivial to implement, reduce the work of model building to the click of a button, have the allure of objectivity, and often yield seemingly exciting results with small P values. However, their use is inadvisable due to numerous, widely recognized statistical problems. This article reviews these problems, provides a simple example that illustrates how badly these methods can mislead, and suggests alternative approaches to model building.","author":[{"dropping-particle":"","family":"Sainani","given":"Kristin L.","non-dropping-particle":"","parse-names":false,"suffix":""}],"container-title":"PM and R","id":"ITEM-1","issued":{"date-parts":[["2013"]]},"page":"791-794","title":"Multivariate Regression: The Pitfalls of Automated Variable Selection","type":"article-journal","volume":"5"},"uris":["http://www.mendeley.com/documents/?uuid=7548ab00-a15b-37e9-84d4-655f6284112f"]},{"id":"ITEM-2","itemData":{"DOI":"10.1.1.110.8353","ISBN":"1780492626","ISSN":"03781127","PMID":"5225","abstract":"A common problem in regression analysis is that of variable selection. Often, you have a large number of potential independent variables, and wish to select among them, perhaps to create a ‘best’ model. One common method of dealing with this problem is some form of automated procedure, such as forward, backward, or stepwise selection. We show that these methods are not to be recommended, and present better alternatives using PROC GLMSELECT and other methods.","author":[{"dropping-particle":"","family":"Flom","given":"Peter L","non-dropping-particle":"","parse-names":false,"suffix":""},{"dropping-particle":"","family":"Cassell","given":"David L","non-dropping-particle":"","parse-names":false,"suffix":""}],"container-title":"Northeast SAS Users Group","id":"ITEM-2","issued":{"date-parts":[["2009"]]},"title":"Stopping stepwise : Why stepwise and similar selection methods are bad , and what you should use","type":"webpage"},"uris":["http://www.mendeley.com/documents/?uuid=ecaadb34-2776-3d8b-9097-98059d4d021e"]}],"mendeley":{"formattedCitation":"(Flom &amp; Cassell, 2009; Sainani, 2013)","plainTextFormattedCitation":"(Flom &amp; Cassell, 2009; Sainani, 2013)","previouslyFormattedCitation":"(Flom &amp; Cassell, 2009; Sainani, 2013)"},"properties":{"noteIndex":0},"schema":"https://github.com/citation-style-language/schema/raw/master/csl-citation.json"}</w:instrText>
      </w:r>
      <w:r w:rsidR="00DB737D">
        <w:rPr>
          <w:rFonts w:ascii="Times New Roman" w:hAnsi="Times New Roman"/>
          <w:sz w:val="24"/>
          <w:szCs w:val="24"/>
          <w:lang w:val="en-US"/>
        </w:rPr>
        <w:fldChar w:fldCharType="separate"/>
      </w:r>
      <w:r w:rsidR="00DB737D" w:rsidRPr="00DB737D">
        <w:rPr>
          <w:rFonts w:ascii="Times New Roman" w:hAnsi="Times New Roman"/>
          <w:noProof/>
          <w:sz w:val="24"/>
          <w:szCs w:val="24"/>
          <w:lang w:val="en-US"/>
        </w:rPr>
        <w:t>(Flom &amp; Cassell, 2009; Sainani, 2013)</w:t>
      </w:r>
      <w:r w:rsidR="00DB737D">
        <w:rPr>
          <w:rFonts w:ascii="Times New Roman" w:hAnsi="Times New Roman"/>
          <w:sz w:val="24"/>
          <w:szCs w:val="24"/>
          <w:lang w:val="en-US"/>
        </w:rPr>
        <w:fldChar w:fldCharType="end"/>
      </w:r>
      <w:r w:rsidR="00C72C51">
        <w:rPr>
          <w:rFonts w:ascii="Times New Roman" w:hAnsi="Times New Roman"/>
          <w:sz w:val="24"/>
          <w:szCs w:val="24"/>
          <w:lang w:val="en-US"/>
        </w:rPr>
        <w:t>.</w:t>
      </w:r>
    </w:p>
    <w:p w:rsidR="00C35D73" w:rsidRDefault="00D8526A" w:rsidP="00D8526A">
      <w:pPr>
        <w:spacing w:after="120" w:line="360" w:lineRule="auto"/>
        <w:jc w:val="both"/>
        <w:rPr>
          <w:rFonts w:ascii="Times New Roman" w:hAnsi="Times New Roman"/>
          <w:sz w:val="24"/>
          <w:szCs w:val="24"/>
          <w:lang w:val="en-US"/>
        </w:rPr>
      </w:pPr>
      <w:r>
        <w:rPr>
          <w:rFonts w:ascii="Times New Roman" w:hAnsi="Times New Roman"/>
          <w:sz w:val="24"/>
          <w:szCs w:val="24"/>
          <w:lang w:val="en-US"/>
        </w:rPr>
        <w:t xml:space="preserve">Moreover, </w:t>
      </w:r>
      <w:r w:rsidR="00C35D73" w:rsidRPr="004D73DD">
        <w:rPr>
          <w:rFonts w:ascii="Times New Roman" w:hAnsi="Times New Roman"/>
          <w:sz w:val="24"/>
          <w:szCs w:val="24"/>
          <w:lang w:val="en-US"/>
        </w:rPr>
        <w:t xml:space="preserve">the presented model does not estimate the country-level effects on the adoption rates. The descriptive analysis of the data confirmed that there must be country-specific factors </w:t>
      </w:r>
      <w:r w:rsidR="00E65678">
        <w:rPr>
          <w:rFonts w:ascii="Times New Roman" w:hAnsi="Times New Roman"/>
          <w:sz w:val="24"/>
          <w:szCs w:val="24"/>
          <w:lang w:val="en-US"/>
        </w:rPr>
        <w:t>influencing</w:t>
      </w:r>
      <w:r w:rsidR="00C35D73" w:rsidRPr="004D73DD">
        <w:rPr>
          <w:rFonts w:ascii="Times New Roman" w:hAnsi="Times New Roman"/>
          <w:sz w:val="24"/>
          <w:szCs w:val="24"/>
          <w:lang w:val="en-US"/>
        </w:rPr>
        <w:t xml:space="preserve"> BEV sales. We </w:t>
      </w:r>
      <w:r w:rsidR="00E65678">
        <w:rPr>
          <w:rFonts w:ascii="Times New Roman" w:hAnsi="Times New Roman"/>
          <w:sz w:val="24"/>
          <w:szCs w:val="24"/>
          <w:lang w:val="en-US"/>
        </w:rPr>
        <w:t xml:space="preserve">only </w:t>
      </w:r>
      <w:r w:rsidR="00C35D73" w:rsidRPr="004D73DD">
        <w:rPr>
          <w:rFonts w:ascii="Times New Roman" w:hAnsi="Times New Roman"/>
          <w:sz w:val="24"/>
          <w:szCs w:val="24"/>
          <w:lang w:val="en-US"/>
        </w:rPr>
        <w:t xml:space="preserve">focused on </w:t>
      </w:r>
      <w:r w:rsidR="00E65678">
        <w:rPr>
          <w:rFonts w:ascii="Times New Roman" w:hAnsi="Times New Roman"/>
          <w:sz w:val="24"/>
          <w:szCs w:val="24"/>
          <w:lang w:val="en-US"/>
        </w:rPr>
        <w:t>the</w:t>
      </w:r>
      <w:r w:rsidR="00C35D73" w:rsidRPr="004D73DD">
        <w:rPr>
          <w:rFonts w:ascii="Times New Roman" w:hAnsi="Times New Roman"/>
          <w:sz w:val="24"/>
          <w:szCs w:val="24"/>
          <w:lang w:val="en-US"/>
        </w:rPr>
        <w:t xml:space="preserve"> factors that </w:t>
      </w:r>
      <w:r w:rsidR="00F9614B">
        <w:rPr>
          <w:rFonts w:ascii="Times New Roman" w:hAnsi="Times New Roman"/>
          <w:sz w:val="24"/>
          <w:szCs w:val="24"/>
          <w:lang w:val="en-US"/>
        </w:rPr>
        <w:t xml:space="preserve">the </w:t>
      </w:r>
      <w:r w:rsidR="00C35D73" w:rsidRPr="004D73DD">
        <w:rPr>
          <w:rFonts w:ascii="Times New Roman" w:hAnsi="Times New Roman"/>
          <w:sz w:val="24"/>
          <w:szCs w:val="24"/>
          <w:lang w:val="en-US"/>
        </w:rPr>
        <w:t xml:space="preserve">countries share between each other. </w:t>
      </w:r>
      <w:r w:rsidR="00446332">
        <w:rPr>
          <w:rFonts w:ascii="Times New Roman" w:hAnsi="Times New Roman"/>
          <w:sz w:val="24"/>
          <w:szCs w:val="24"/>
          <w:lang w:val="en-US"/>
        </w:rPr>
        <w:t>Still</w:t>
      </w:r>
      <w:r w:rsidR="00C35D73" w:rsidRPr="004D73DD">
        <w:rPr>
          <w:rFonts w:ascii="Times New Roman" w:hAnsi="Times New Roman"/>
          <w:sz w:val="24"/>
          <w:szCs w:val="24"/>
          <w:lang w:val="en-US"/>
        </w:rPr>
        <w:t>, they are also unique in some underlying dynamics and landscape. This observation is confirmed by the case of Norway</w:t>
      </w:r>
      <w:r w:rsidR="00A34531">
        <w:rPr>
          <w:rFonts w:ascii="Times New Roman" w:hAnsi="Times New Roman"/>
          <w:sz w:val="24"/>
          <w:szCs w:val="24"/>
          <w:lang w:val="en-US"/>
        </w:rPr>
        <w:t xml:space="preserve">, </w:t>
      </w:r>
      <w:r w:rsidR="00617054">
        <w:rPr>
          <w:rFonts w:ascii="Times New Roman" w:hAnsi="Times New Roman"/>
          <w:sz w:val="24"/>
          <w:szCs w:val="24"/>
          <w:lang w:val="en-US"/>
        </w:rPr>
        <w:t>wh</w:t>
      </w:r>
      <w:r w:rsidR="00DD67F1">
        <w:rPr>
          <w:rFonts w:ascii="Times New Roman" w:hAnsi="Times New Roman"/>
          <w:sz w:val="24"/>
          <w:szCs w:val="24"/>
          <w:lang w:val="en-US"/>
        </w:rPr>
        <w:t>ose</w:t>
      </w:r>
      <w:r w:rsidR="00617054">
        <w:rPr>
          <w:rFonts w:ascii="Times New Roman" w:hAnsi="Times New Roman"/>
          <w:sz w:val="24"/>
          <w:szCs w:val="24"/>
          <w:lang w:val="en-US"/>
        </w:rPr>
        <w:t xml:space="preserve"> unique policy mix </w:t>
      </w:r>
      <w:r w:rsidR="005D1B8A">
        <w:rPr>
          <w:rFonts w:ascii="Times New Roman" w:hAnsi="Times New Roman"/>
          <w:sz w:val="24"/>
          <w:szCs w:val="24"/>
          <w:lang w:val="en-US"/>
        </w:rPr>
        <w:t xml:space="preserve">and country characteristics </w:t>
      </w:r>
      <w:r w:rsidR="00A63FE4">
        <w:rPr>
          <w:rFonts w:ascii="Times New Roman" w:hAnsi="Times New Roman"/>
          <w:sz w:val="24"/>
          <w:szCs w:val="24"/>
          <w:lang w:val="en-US"/>
        </w:rPr>
        <w:t>(</w:t>
      </w:r>
      <w:r w:rsidR="00B33FBF">
        <w:rPr>
          <w:rFonts w:ascii="Times New Roman" w:hAnsi="Times New Roman"/>
          <w:sz w:val="24"/>
          <w:szCs w:val="24"/>
          <w:lang w:val="en-US"/>
        </w:rPr>
        <w:t xml:space="preserve">i.e. </w:t>
      </w:r>
      <w:r w:rsidR="00A63FE4">
        <w:rPr>
          <w:rFonts w:ascii="Times New Roman" w:hAnsi="Times New Roman"/>
          <w:sz w:val="24"/>
          <w:szCs w:val="24"/>
          <w:lang w:val="en-US"/>
        </w:rPr>
        <w:t>cheap electricity from h</w:t>
      </w:r>
      <w:r w:rsidR="00B33FBF">
        <w:rPr>
          <w:rFonts w:ascii="Times New Roman" w:hAnsi="Times New Roman"/>
          <w:sz w:val="24"/>
          <w:szCs w:val="24"/>
          <w:lang w:val="en-US"/>
        </w:rPr>
        <w:t>ydroelectric power</w:t>
      </w:r>
      <w:r w:rsidR="006A481F">
        <w:rPr>
          <w:rFonts w:ascii="Times New Roman" w:hAnsi="Times New Roman"/>
          <w:sz w:val="24"/>
          <w:szCs w:val="24"/>
          <w:lang w:val="en-US"/>
        </w:rPr>
        <w:t xml:space="preserve">, </w:t>
      </w:r>
      <w:r w:rsidR="00B33FBF">
        <w:rPr>
          <w:rFonts w:ascii="Times New Roman" w:hAnsi="Times New Roman"/>
          <w:sz w:val="24"/>
          <w:szCs w:val="24"/>
          <w:lang w:val="en-US"/>
        </w:rPr>
        <w:t xml:space="preserve">high </w:t>
      </w:r>
      <w:r w:rsidR="006A481F">
        <w:rPr>
          <w:rFonts w:ascii="Times New Roman" w:hAnsi="Times New Roman"/>
          <w:sz w:val="24"/>
          <w:szCs w:val="24"/>
          <w:lang w:val="en-US"/>
        </w:rPr>
        <w:t>urbanization</w:t>
      </w:r>
      <w:r w:rsidR="00B33FBF">
        <w:rPr>
          <w:rFonts w:ascii="Times New Roman" w:hAnsi="Times New Roman"/>
          <w:sz w:val="24"/>
          <w:szCs w:val="24"/>
          <w:lang w:val="en-US"/>
        </w:rPr>
        <w:t>)</w:t>
      </w:r>
      <w:r w:rsidR="00617054">
        <w:rPr>
          <w:rFonts w:ascii="Times New Roman" w:hAnsi="Times New Roman"/>
          <w:sz w:val="24"/>
          <w:szCs w:val="24"/>
          <w:lang w:val="en-US"/>
        </w:rPr>
        <w:t xml:space="preserve"> </w:t>
      </w:r>
      <w:r w:rsidR="00C16549">
        <w:rPr>
          <w:rFonts w:ascii="Times New Roman" w:hAnsi="Times New Roman"/>
          <w:sz w:val="24"/>
          <w:szCs w:val="24"/>
          <w:lang w:val="en-US"/>
        </w:rPr>
        <w:t xml:space="preserve">led </w:t>
      </w:r>
      <w:r w:rsidR="00617054">
        <w:rPr>
          <w:rFonts w:ascii="Times New Roman" w:hAnsi="Times New Roman"/>
          <w:sz w:val="24"/>
          <w:szCs w:val="24"/>
          <w:lang w:val="en-US"/>
        </w:rPr>
        <w:t xml:space="preserve">to </w:t>
      </w:r>
      <w:r w:rsidR="00F9614B">
        <w:rPr>
          <w:rFonts w:ascii="Times New Roman" w:hAnsi="Times New Roman"/>
          <w:sz w:val="24"/>
          <w:szCs w:val="24"/>
          <w:lang w:val="en-US"/>
        </w:rPr>
        <w:t xml:space="preserve">the </w:t>
      </w:r>
      <w:r w:rsidR="00617054">
        <w:rPr>
          <w:rFonts w:ascii="Times New Roman" w:hAnsi="Times New Roman"/>
          <w:sz w:val="24"/>
          <w:szCs w:val="24"/>
          <w:lang w:val="en-US"/>
        </w:rPr>
        <w:t>highest BEV market share</w:t>
      </w:r>
      <w:r w:rsidR="00DD67F1" w:rsidRPr="00DD67F1">
        <w:rPr>
          <w:rFonts w:ascii="Times New Roman" w:hAnsi="Times New Roman"/>
          <w:sz w:val="24"/>
          <w:szCs w:val="24"/>
          <w:lang w:val="en-US"/>
        </w:rPr>
        <w:t xml:space="preserve"> </w:t>
      </w:r>
      <w:r w:rsidR="00DD67F1">
        <w:rPr>
          <w:rFonts w:ascii="Times New Roman" w:hAnsi="Times New Roman"/>
          <w:sz w:val="24"/>
          <w:szCs w:val="24"/>
          <w:lang w:val="en-US"/>
        </w:rPr>
        <w:t>worldwide</w:t>
      </w:r>
      <w:r w:rsidR="00617054">
        <w:rPr>
          <w:rFonts w:ascii="Times New Roman" w:hAnsi="Times New Roman"/>
          <w:sz w:val="24"/>
          <w:szCs w:val="24"/>
          <w:lang w:val="en-US"/>
        </w:rPr>
        <w:t>.</w:t>
      </w:r>
      <w:r w:rsidR="00CC5437">
        <w:rPr>
          <w:rFonts w:ascii="Times New Roman" w:hAnsi="Times New Roman"/>
          <w:sz w:val="24"/>
          <w:szCs w:val="24"/>
          <w:lang w:val="en-US"/>
        </w:rPr>
        <w:t xml:space="preserve"> In addition, our study does not guarantee the casual relationship between the influencing factors and the BEV sales which would require time series data.  </w:t>
      </w:r>
    </w:p>
    <w:p w:rsidR="00D8526A" w:rsidRPr="00DB6CFF" w:rsidRDefault="00D8526A" w:rsidP="00D8526A">
      <w:pPr>
        <w:spacing w:after="120" w:line="360" w:lineRule="auto"/>
        <w:jc w:val="both"/>
        <w:rPr>
          <w:rFonts w:ascii="Times New Roman" w:hAnsi="Times New Roman"/>
          <w:sz w:val="24"/>
          <w:szCs w:val="24"/>
          <w:lang w:val="en-US"/>
        </w:rPr>
      </w:pPr>
      <w:r w:rsidRPr="00DB6CFF">
        <w:rPr>
          <w:rFonts w:ascii="Times New Roman" w:hAnsi="Times New Roman"/>
          <w:sz w:val="24"/>
          <w:szCs w:val="24"/>
          <w:lang w:val="en-US"/>
        </w:rPr>
        <w:t xml:space="preserve">For further research, we suggest conducting a </w:t>
      </w:r>
      <w:r w:rsidR="00446332">
        <w:rPr>
          <w:rFonts w:ascii="Times New Roman" w:hAnsi="Times New Roman"/>
          <w:sz w:val="24"/>
          <w:szCs w:val="24"/>
          <w:lang w:val="en-US"/>
        </w:rPr>
        <w:t>multilevel</w:t>
      </w:r>
      <w:r w:rsidRPr="00DB6CFF">
        <w:rPr>
          <w:rFonts w:ascii="Times New Roman" w:hAnsi="Times New Roman"/>
          <w:sz w:val="24"/>
          <w:szCs w:val="24"/>
          <w:lang w:val="en-US"/>
        </w:rPr>
        <w:t xml:space="preserve"> analysis </w:t>
      </w:r>
      <w:r w:rsidR="00446332">
        <w:rPr>
          <w:rFonts w:ascii="Times New Roman" w:hAnsi="Times New Roman"/>
          <w:sz w:val="24"/>
          <w:szCs w:val="24"/>
          <w:lang w:val="en-US"/>
        </w:rPr>
        <w:t xml:space="preserve">on a </w:t>
      </w:r>
      <w:r w:rsidRPr="00DB6CFF">
        <w:rPr>
          <w:rFonts w:ascii="Times New Roman" w:hAnsi="Times New Roman"/>
          <w:sz w:val="24"/>
          <w:szCs w:val="24"/>
          <w:lang w:val="en-US"/>
        </w:rPr>
        <w:t xml:space="preserve">larger </w:t>
      </w:r>
      <w:r w:rsidR="00446332">
        <w:rPr>
          <w:rFonts w:ascii="Times New Roman" w:hAnsi="Times New Roman"/>
          <w:sz w:val="24"/>
          <w:szCs w:val="24"/>
          <w:lang w:val="en-US"/>
        </w:rPr>
        <w:t xml:space="preserve">cross-country </w:t>
      </w:r>
      <w:r w:rsidRPr="00DB6CFF">
        <w:rPr>
          <w:rFonts w:ascii="Times New Roman" w:hAnsi="Times New Roman"/>
          <w:sz w:val="24"/>
          <w:szCs w:val="24"/>
          <w:lang w:val="en-US"/>
        </w:rPr>
        <w:t>sample</w:t>
      </w:r>
      <w:r w:rsidR="00287DC8">
        <w:rPr>
          <w:rFonts w:ascii="Times New Roman" w:hAnsi="Times New Roman"/>
          <w:sz w:val="24"/>
          <w:szCs w:val="24"/>
          <w:lang w:val="en-US"/>
        </w:rPr>
        <w:t xml:space="preserve"> over time</w:t>
      </w:r>
      <w:r w:rsidRPr="00DB6CFF">
        <w:rPr>
          <w:rFonts w:ascii="Times New Roman" w:hAnsi="Times New Roman"/>
          <w:sz w:val="24"/>
          <w:szCs w:val="24"/>
          <w:lang w:val="en-US"/>
        </w:rPr>
        <w:t xml:space="preserve">. Such an analysis might give valuable insights in terms of variability in effectiveness of different policy measures in different countries and identify the optimal mix of incentive measures for each specific country. </w:t>
      </w:r>
      <w:r w:rsidR="00BD2FCB" w:rsidRPr="00DB6CFF">
        <w:rPr>
          <w:rFonts w:ascii="Times New Roman" w:hAnsi="Times New Roman"/>
          <w:sz w:val="24"/>
          <w:szCs w:val="24"/>
          <w:lang w:val="en-US"/>
        </w:rPr>
        <w:t>However, as some authors rightly emphasize, the consumer purchasing incentives shall be reduced over time</w:t>
      </w:r>
      <w:r w:rsidR="00DD67F1">
        <w:rPr>
          <w:rFonts w:ascii="Times New Roman" w:hAnsi="Times New Roman"/>
          <w:sz w:val="24"/>
          <w:szCs w:val="24"/>
          <w:lang w:val="en-US"/>
        </w:rPr>
        <w:t>. T</w:t>
      </w:r>
      <w:r w:rsidR="00BD2FCB" w:rsidRPr="00DB6CFF">
        <w:rPr>
          <w:rFonts w:ascii="Times New Roman" w:hAnsi="Times New Roman"/>
          <w:sz w:val="24"/>
          <w:szCs w:val="24"/>
          <w:lang w:val="en-US"/>
        </w:rPr>
        <w:t>he problem of phasing out the incentives while sustain</w:t>
      </w:r>
      <w:r w:rsidR="00BD2FCB">
        <w:rPr>
          <w:rFonts w:ascii="Times New Roman" w:hAnsi="Times New Roman"/>
          <w:sz w:val="24"/>
          <w:szCs w:val="24"/>
          <w:lang w:val="en-US"/>
        </w:rPr>
        <w:t>ing</w:t>
      </w:r>
      <w:r w:rsidR="00BD2FCB" w:rsidRPr="00DB6CFF">
        <w:rPr>
          <w:rFonts w:ascii="Times New Roman" w:hAnsi="Times New Roman"/>
          <w:sz w:val="24"/>
          <w:szCs w:val="24"/>
          <w:lang w:val="en-US"/>
        </w:rPr>
        <w:t xml:space="preserve"> the market growth might be </w:t>
      </w:r>
      <w:r w:rsidR="00BD2FCB">
        <w:rPr>
          <w:rFonts w:ascii="Times New Roman" w:hAnsi="Times New Roman"/>
          <w:sz w:val="24"/>
          <w:szCs w:val="24"/>
          <w:lang w:val="en-US"/>
        </w:rPr>
        <w:t xml:space="preserve">another </w:t>
      </w:r>
      <w:r w:rsidR="00BD2FCB" w:rsidRPr="00DB6CFF">
        <w:rPr>
          <w:rFonts w:ascii="Times New Roman" w:hAnsi="Times New Roman"/>
          <w:sz w:val="24"/>
          <w:szCs w:val="24"/>
          <w:lang w:val="en-US"/>
        </w:rPr>
        <w:t xml:space="preserve">question </w:t>
      </w:r>
      <w:r w:rsidR="00287DC8">
        <w:rPr>
          <w:rFonts w:ascii="Times New Roman" w:hAnsi="Times New Roman"/>
          <w:sz w:val="24"/>
          <w:szCs w:val="24"/>
          <w:lang w:val="en-US"/>
        </w:rPr>
        <w:t xml:space="preserve">that </w:t>
      </w:r>
      <w:r w:rsidR="00BD2FCB" w:rsidRPr="00DB6CFF">
        <w:rPr>
          <w:rFonts w:ascii="Times New Roman" w:hAnsi="Times New Roman"/>
          <w:sz w:val="24"/>
          <w:szCs w:val="24"/>
          <w:lang w:val="en-US"/>
        </w:rPr>
        <w:t xml:space="preserve">future research </w:t>
      </w:r>
      <w:r w:rsidR="00287DC8">
        <w:rPr>
          <w:rFonts w:ascii="Times New Roman" w:hAnsi="Times New Roman"/>
          <w:sz w:val="24"/>
          <w:szCs w:val="24"/>
          <w:lang w:val="en-US"/>
        </w:rPr>
        <w:t>could address</w:t>
      </w:r>
      <w:r w:rsidR="00DD67F1">
        <w:rPr>
          <w:rFonts w:ascii="Times New Roman" w:hAnsi="Times New Roman"/>
          <w:sz w:val="24"/>
          <w:szCs w:val="24"/>
          <w:lang w:val="en-US"/>
        </w:rPr>
        <w:t xml:space="preserve">. </w:t>
      </w:r>
    </w:p>
    <w:p w:rsidR="00D8526A" w:rsidRPr="00D8526A" w:rsidRDefault="00D8526A" w:rsidP="00CE182C">
      <w:pPr>
        <w:spacing w:after="120" w:line="360" w:lineRule="auto"/>
        <w:jc w:val="both"/>
        <w:rPr>
          <w:rFonts w:ascii="Times New Roman" w:hAnsi="Times New Roman"/>
          <w:color w:val="000000"/>
          <w:sz w:val="24"/>
          <w:szCs w:val="24"/>
          <w:lang w:val="en-US"/>
        </w:rPr>
        <w:sectPr w:rsidR="00D8526A" w:rsidRPr="00D8526A" w:rsidSect="00BB42B8">
          <w:pgSz w:w="11906" w:h="16838"/>
          <w:pgMar w:top="1418" w:right="1418" w:bottom="1418" w:left="1701" w:header="709" w:footer="709" w:gutter="0"/>
          <w:cols w:space="708"/>
          <w:docGrid w:linePitch="360"/>
        </w:sectPr>
      </w:pPr>
    </w:p>
    <w:p w:rsidR="002F72B8" w:rsidRDefault="004D73DD" w:rsidP="00F84058">
      <w:pPr>
        <w:pStyle w:val="1"/>
        <w:rPr>
          <w:lang w:val="en-US"/>
        </w:rPr>
      </w:pPr>
      <w:bookmarkStart w:id="29" w:name="_Toc535248664"/>
      <w:r>
        <w:rPr>
          <w:lang w:val="en-US"/>
        </w:rPr>
        <w:lastRenderedPageBreak/>
        <w:t>Conclusion</w:t>
      </w:r>
      <w:bookmarkEnd w:id="29"/>
    </w:p>
    <w:p w:rsidR="00A63EFC" w:rsidRDefault="00C50AAF" w:rsidP="00CE182C">
      <w:pPr>
        <w:spacing w:after="120" w:line="360" w:lineRule="auto"/>
        <w:jc w:val="both"/>
        <w:rPr>
          <w:rFonts w:ascii="Times New Roman" w:hAnsi="Times New Roman"/>
          <w:sz w:val="24"/>
          <w:szCs w:val="24"/>
          <w:lang w:val="en-US"/>
        </w:rPr>
      </w:pPr>
      <w:r>
        <w:rPr>
          <w:rFonts w:ascii="Times New Roman" w:hAnsi="Times New Roman"/>
          <w:sz w:val="24"/>
          <w:szCs w:val="24"/>
          <w:lang w:val="en-US"/>
        </w:rPr>
        <w:t>The aim of this paper was to explore</w:t>
      </w:r>
      <w:r w:rsidRPr="00787809">
        <w:rPr>
          <w:rFonts w:ascii="Times New Roman" w:hAnsi="Times New Roman"/>
          <w:sz w:val="24"/>
          <w:szCs w:val="24"/>
          <w:lang w:val="en-US"/>
        </w:rPr>
        <w:t xml:space="preserve"> the relationship between the </w:t>
      </w:r>
      <w:r>
        <w:rPr>
          <w:rFonts w:ascii="Times New Roman" w:hAnsi="Times New Roman"/>
          <w:sz w:val="24"/>
          <w:szCs w:val="24"/>
          <w:lang w:val="en-US"/>
        </w:rPr>
        <w:t>demand-side policy incentives to BEV market adoption in a cross-country sample.</w:t>
      </w:r>
      <w:r w:rsidRPr="004D73DD">
        <w:rPr>
          <w:rFonts w:ascii="Times New Roman" w:hAnsi="Times New Roman"/>
          <w:sz w:val="24"/>
          <w:szCs w:val="24"/>
          <w:lang w:val="en-US"/>
        </w:rPr>
        <w:t xml:space="preserve"> </w:t>
      </w:r>
      <w:r w:rsidR="00D7349C">
        <w:rPr>
          <w:rFonts w:ascii="Times New Roman" w:hAnsi="Times New Roman"/>
          <w:sz w:val="24"/>
          <w:szCs w:val="24"/>
          <w:lang w:val="en-US"/>
        </w:rPr>
        <w:t>P</w:t>
      </w:r>
      <w:r w:rsidR="004D73DD" w:rsidRPr="004D73DD">
        <w:rPr>
          <w:rFonts w:ascii="Times New Roman" w:hAnsi="Times New Roman"/>
          <w:sz w:val="24"/>
          <w:szCs w:val="24"/>
          <w:lang w:val="en-US"/>
        </w:rPr>
        <w:t xml:space="preserve">revious research </w:t>
      </w:r>
      <w:r w:rsidR="00716A01">
        <w:rPr>
          <w:rFonts w:ascii="Times New Roman" w:hAnsi="Times New Roman"/>
          <w:sz w:val="24"/>
          <w:szCs w:val="24"/>
          <w:lang w:val="en-US"/>
        </w:rPr>
        <w:t>suggested</w:t>
      </w:r>
      <w:r w:rsidR="004D73DD" w:rsidRPr="004D73DD">
        <w:rPr>
          <w:rFonts w:ascii="Times New Roman" w:hAnsi="Times New Roman"/>
          <w:sz w:val="24"/>
          <w:szCs w:val="24"/>
          <w:lang w:val="en-US"/>
        </w:rPr>
        <w:t xml:space="preserve"> both financial incentives and charging infrastructure improvements as potential sensible policy approaches to promote B</w:t>
      </w:r>
      <w:r w:rsidR="0092349C">
        <w:rPr>
          <w:rFonts w:ascii="Times New Roman" w:hAnsi="Times New Roman"/>
          <w:sz w:val="24"/>
          <w:szCs w:val="24"/>
          <w:lang w:val="en-US"/>
        </w:rPr>
        <w:t>EV</w:t>
      </w:r>
      <w:r w:rsidR="004D73DD" w:rsidRPr="004D73DD">
        <w:rPr>
          <w:rFonts w:ascii="Times New Roman" w:hAnsi="Times New Roman"/>
          <w:sz w:val="24"/>
          <w:szCs w:val="24"/>
          <w:lang w:val="en-US"/>
        </w:rPr>
        <w:t xml:space="preserve"> adoption</w:t>
      </w:r>
      <w:r w:rsidR="00D7349C">
        <w:rPr>
          <w:rFonts w:ascii="Times New Roman" w:hAnsi="Times New Roman"/>
          <w:sz w:val="24"/>
          <w:szCs w:val="24"/>
          <w:lang w:val="en-US"/>
        </w:rPr>
        <w:t>. However,</w:t>
      </w:r>
      <w:r w:rsidR="004D73DD" w:rsidRPr="004D73DD">
        <w:rPr>
          <w:rFonts w:ascii="Times New Roman" w:hAnsi="Times New Roman"/>
          <w:sz w:val="24"/>
          <w:szCs w:val="24"/>
          <w:lang w:val="en-US"/>
        </w:rPr>
        <w:t xml:space="preserve"> further investigation showed that </w:t>
      </w:r>
      <w:r w:rsidR="009F12E0">
        <w:rPr>
          <w:rFonts w:ascii="Times New Roman" w:hAnsi="Times New Roman"/>
          <w:sz w:val="24"/>
          <w:szCs w:val="24"/>
          <w:lang w:val="en-US"/>
        </w:rPr>
        <w:t xml:space="preserve">the </w:t>
      </w:r>
      <w:r w:rsidR="004D73DD" w:rsidRPr="004D73DD">
        <w:rPr>
          <w:rFonts w:ascii="Times New Roman" w:hAnsi="Times New Roman"/>
          <w:sz w:val="24"/>
          <w:szCs w:val="24"/>
          <w:lang w:val="en-US"/>
        </w:rPr>
        <w:t>installation of fast</w:t>
      </w:r>
      <w:r w:rsidR="00287DC8">
        <w:rPr>
          <w:rFonts w:ascii="Times New Roman" w:hAnsi="Times New Roman"/>
          <w:sz w:val="24"/>
          <w:szCs w:val="24"/>
          <w:lang w:val="en-US"/>
        </w:rPr>
        <w:t>-</w:t>
      </w:r>
      <w:r w:rsidR="004D73DD" w:rsidRPr="004D73DD">
        <w:rPr>
          <w:rFonts w:ascii="Times New Roman" w:hAnsi="Times New Roman"/>
          <w:sz w:val="24"/>
          <w:szCs w:val="24"/>
          <w:lang w:val="en-US"/>
        </w:rPr>
        <w:t xml:space="preserve">charging stations would have a greater effect on </w:t>
      </w:r>
      <w:r w:rsidR="00C11ED2">
        <w:rPr>
          <w:rFonts w:ascii="Times New Roman" w:hAnsi="Times New Roman"/>
          <w:sz w:val="24"/>
          <w:szCs w:val="24"/>
          <w:lang w:val="en-US"/>
        </w:rPr>
        <w:t>BEV</w:t>
      </w:r>
      <w:r w:rsidR="004D73DD" w:rsidRPr="004D73DD">
        <w:rPr>
          <w:rFonts w:ascii="Times New Roman" w:hAnsi="Times New Roman"/>
          <w:sz w:val="24"/>
          <w:szCs w:val="24"/>
          <w:lang w:val="en-US"/>
        </w:rPr>
        <w:t xml:space="preserve"> market uptake.</w:t>
      </w:r>
      <w:r w:rsidR="00B44402">
        <w:rPr>
          <w:rFonts w:ascii="Times New Roman" w:hAnsi="Times New Roman"/>
          <w:sz w:val="24"/>
          <w:szCs w:val="24"/>
          <w:lang w:val="en-US"/>
        </w:rPr>
        <w:t xml:space="preserve"> Moreover, </w:t>
      </w:r>
      <w:r w:rsidR="00231040">
        <w:rPr>
          <w:rFonts w:ascii="Times New Roman" w:hAnsi="Times New Roman"/>
          <w:sz w:val="24"/>
          <w:szCs w:val="24"/>
          <w:lang w:val="en-US"/>
        </w:rPr>
        <w:t>t</w:t>
      </w:r>
      <w:r w:rsidR="00A96F56">
        <w:rPr>
          <w:rFonts w:ascii="Times New Roman" w:hAnsi="Times New Roman"/>
          <w:sz w:val="24"/>
          <w:szCs w:val="24"/>
          <w:lang w:val="en-US"/>
        </w:rPr>
        <w:t xml:space="preserve">he stated preference studies also </w:t>
      </w:r>
      <w:r w:rsidR="00224607">
        <w:rPr>
          <w:rFonts w:ascii="Times New Roman" w:hAnsi="Times New Roman"/>
          <w:sz w:val="24"/>
          <w:szCs w:val="24"/>
          <w:lang w:val="en-US"/>
        </w:rPr>
        <w:t>stressed</w:t>
      </w:r>
      <w:r w:rsidR="00A96F56">
        <w:rPr>
          <w:rFonts w:ascii="Times New Roman" w:hAnsi="Times New Roman"/>
          <w:sz w:val="24"/>
          <w:szCs w:val="24"/>
          <w:lang w:val="en-US"/>
        </w:rPr>
        <w:t xml:space="preserve"> that the lack of fast</w:t>
      </w:r>
      <w:r w:rsidR="00224607">
        <w:rPr>
          <w:rFonts w:ascii="Times New Roman" w:hAnsi="Times New Roman"/>
          <w:sz w:val="24"/>
          <w:szCs w:val="24"/>
          <w:lang w:val="en-US"/>
        </w:rPr>
        <w:t>-</w:t>
      </w:r>
      <w:r w:rsidR="00A96F56">
        <w:rPr>
          <w:rFonts w:ascii="Times New Roman" w:hAnsi="Times New Roman"/>
          <w:sz w:val="24"/>
          <w:szCs w:val="24"/>
          <w:lang w:val="en-US"/>
        </w:rPr>
        <w:t xml:space="preserve">charging infrastructure is </w:t>
      </w:r>
      <w:r w:rsidR="00B370F7">
        <w:rPr>
          <w:rFonts w:ascii="Times New Roman" w:hAnsi="Times New Roman"/>
          <w:sz w:val="24"/>
          <w:szCs w:val="24"/>
          <w:lang w:val="en-US"/>
        </w:rPr>
        <w:t xml:space="preserve">a </w:t>
      </w:r>
      <w:r w:rsidR="00071866">
        <w:rPr>
          <w:rFonts w:ascii="Times New Roman" w:hAnsi="Times New Roman"/>
          <w:sz w:val="24"/>
          <w:szCs w:val="24"/>
          <w:lang w:val="en-US"/>
        </w:rPr>
        <w:t>main</w:t>
      </w:r>
      <w:r w:rsidR="00B370F7">
        <w:rPr>
          <w:rFonts w:ascii="Times New Roman" w:hAnsi="Times New Roman"/>
          <w:sz w:val="24"/>
          <w:szCs w:val="24"/>
          <w:lang w:val="en-US"/>
        </w:rPr>
        <w:t xml:space="preserve"> obstacle for the extensive application of EVs</w:t>
      </w:r>
      <w:r w:rsidR="00A96F56">
        <w:rPr>
          <w:rFonts w:ascii="Times New Roman" w:hAnsi="Times New Roman"/>
          <w:sz w:val="24"/>
          <w:szCs w:val="24"/>
          <w:lang w:val="en-US"/>
        </w:rPr>
        <w:t xml:space="preserve">. </w:t>
      </w:r>
      <w:r w:rsidR="00C70574">
        <w:rPr>
          <w:rFonts w:ascii="Times New Roman" w:hAnsi="Times New Roman"/>
          <w:sz w:val="24"/>
          <w:szCs w:val="24"/>
          <w:lang w:val="en-US"/>
        </w:rPr>
        <w:t>To address this barrier, n</w:t>
      </w:r>
      <w:r w:rsidR="00D446E2">
        <w:rPr>
          <w:rFonts w:ascii="Times New Roman" w:hAnsi="Times New Roman"/>
          <w:sz w:val="24"/>
          <w:szCs w:val="24"/>
          <w:lang w:val="en-US"/>
        </w:rPr>
        <w:t xml:space="preserve">ational </w:t>
      </w:r>
      <w:r w:rsidR="00E14141">
        <w:rPr>
          <w:rFonts w:ascii="Times New Roman" w:hAnsi="Times New Roman"/>
          <w:sz w:val="24"/>
          <w:szCs w:val="24"/>
          <w:lang w:val="en-US"/>
        </w:rPr>
        <w:t>fast-charging strategies</w:t>
      </w:r>
      <w:r w:rsidR="00D446E2">
        <w:rPr>
          <w:rFonts w:ascii="Times New Roman" w:hAnsi="Times New Roman"/>
          <w:sz w:val="24"/>
          <w:szCs w:val="24"/>
          <w:lang w:val="en-US"/>
        </w:rPr>
        <w:t xml:space="preserve"> </w:t>
      </w:r>
      <w:r w:rsidR="00C70574">
        <w:rPr>
          <w:rFonts w:ascii="Times New Roman" w:hAnsi="Times New Roman"/>
          <w:sz w:val="24"/>
          <w:szCs w:val="24"/>
          <w:lang w:val="en-US"/>
        </w:rPr>
        <w:t>must be defined</w:t>
      </w:r>
      <w:r w:rsidR="00D7349C">
        <w:rPr>
          <w:rFonts w:ascii="Times New Roman" w:hAnsi="Times New Roman"/>
          <w:sz w:val="24"/>
          <w:szCs w:val="24"/>
          <w:lang w:val="en-US"/>
        </w:rPr>
        <w:t>,</w:t>
      </w:r>
      <w:r w:rsidR="00C70574">
        <w:rPr>
          <w:rFonts w:ascii="Times New Roman" w:hAnsi="Times New Roman"/>
          <w:sz w:val="24"/>
          <w:szCs w:val="24"/>
          <w:lang w:val="en-US"/>
        </w:rPr>
        <w:t xml:space="preserve"> </w:t>
      </w:r>
      <w:r w:rsidR="00D446E2">
        <w:rPr>
          <w:rFonts w:ascii="Times New Roman" w:hAnsi="Times New Roman"/>
          <w:sz w:val="24"/>
          <w:szCs w:val="24"/>
          <w:lang w:val="en-US"/>
        </w:rPr>
        <w:t>including a roll-out rate and distribution</w:t>
      </w:r>
      <w:r w:rsidR="00224607">
        <w:rPr>
          <w:rFonts w:ascii="Times New Roman" w:hAnsi="Times New Roman"/>
          <w:sz w:val="24"/>
          <w:szCs w:val="24"/>
          <w:lang w:val="en-US"/>
        </w:rPr>
        <w:t xml:space="preserve"> density</w:t>
      </w:r>
      <w:r w:rsidR="004D73DD" w:rsidRPr="004D73DD">
        <w:rPr>
          <w:rFonts w:ascii="Times New Roman" w:hAnsi="Times New Roman"/>
          <w:sz w:val="24"/>
          <w:szCs w:val="24"/>
          <w:lang w:val="en-US"/>
        </w:rPr>
        <w:t>.</w:t>
      </w:r>
      <w:r w:rsidR="00AD1CC6" w:rsidRPr="00AD1CC6">
        <w:rPr>
          <w:rFonts w:ascii="Times New Roman" w:hAnsi="Times New Roman"/>
          <w:sz w:val="24"/>
          <w:szCs w:val="24"/>
          <w:lang w:val="en-US"/>
        </w:rPr>
        <w:t xml:space="preserve"> </w:t>
      </w:r>
      <w:r w:rsidR="00F201CD">
        <w:rPr>
          <w:rFonts w:ascii="Times New Roman" w:hAnsi="Times New Roman"/>
          <w:sz w:val="24"/>
          <w:szCs w:val="24"/>
          <w:lang w:val="en-US"/>
        </w:rPr>
        <w:t xml:space="preserve">HOV/Bus </w:t>
      </w:r>
      <w:r w:rsidR="00AF6B5B">
        <w:rPr>
          <w:rFonts w:ascii="Times New Roman" w:hAnsi="Times New Roman"/>
          <w:sz w:val="24"/>
          <w:szCs w:val="24"/>
          <w:lang w:val="en-US"/>
        </w:rPr>
        <w:t xml:space="preserve">lane access, reduction </w:t>
      </w:r>
      <w:r w:rsidR="00D7349C">
        <w:rPr>
          <w:rFonts w:ascii="Times New Roman" w:hAnsi="Times New Roman"/>
          <w:sz w:val="24"/>
          <w:szCs w:val="24"/>
          <w:lang w:val="en-US"/>
        </w:rPr>
        <w:t>(</w:t>
      </w:r>
      <w:r w:rsidR="00AF6B5B">
        <w:rPr>
          <w:rFonts w:ascii="Times New Roman" w:hAnsi="Times New Roman"/>
          <w:sz w:val="24"/>
          <w:szCs w:val="24"/>
          <w:lang w:val="en-US"/>
        </w:rPr>
        <w:t>company car tax</w:t>
      </w:r>
      <w:r w:rsidR="00D7349C">
        <w:rPr>
          <w:rFonts w:ascii="Times New Roman" w:hAnsi="Times New Roman"/>
          <w:sz w:val="24"/>
          <w:szCs w:val="24"/>
          <w:lang w:val="en-US"/>
        </w:rPr>
        <w:t>)</w:t>
      </w:r>
      <w:r w:rsidR="00AF6B5B">
        <w:rPr>
          <w:rFonts w:ascii="Times New Roman" w:hAnsi="Times New Roman"/>
          <w:sz w:val="24"/>
          <w:szCs w:val="24"/>
          <w:lang w:val="en-US"/>
        </w:rPr>
        <w:t>, decrease in VAT amount, model availability and driving range w</w:t>
      </w:r>
      <w:r w:rsidR="00A63EFC">
        <w:rPr>
          <w:rFonts w:ascii="Times New Roman" w:hAnsi="Times New Roman"/>
          <w:sz w:val="24"/>
          <w:szCs w:val="24"/>
          <w:lang w:val="en-US"/>
        </w:rPr>
        <w:t xml:space="preserve">ere </w:t>
      </w:r>
      <w:r w:rsidR="00D7349C">
        <w:rPr>
          <w:rFonts w:ascii="Times New Roman" w:hAnsi="Times New Roman"/>
          <w:sz w:val="24"/>
          <w:szCs w:val="24"/>
          <w:lang w:val="en-US"/>
        </w:rPr>
        <w:t>also</w:t>
      </w:r>
      <w:r w:rsidR="00071866">
        <w:rPr>
          <w:rFonts w:ascii="Times New Roman" w:hAnsi="Times New Roman"/>
          <w:sz w:val="24"/>
          <w:szCs w:val="24"/>
          <w:lang w:val="en-US"/>
        </w:rPr>
        <w:t xml:space="preserve"> found to be</w:t>
      </w:r>
      <w:r w:rsidR="00D7349C">
        <w:rPr>
          <w:rFonts w:ascii="Times New Roman" w:hAnsi="Times New Roman"/>
          <w:sz w:val="24"/>
          <w:szCs w:val="24"/>
          <w:lang w:val="en-US"/>
        </w:rPr>
        <w:t xml:space="preserve"> </w:t>
      </w:r>
      <w:r w:rsidR="00A63EFC">
        <w:rPr>
          <w:rFonts w:ascii="Times New Roman" w:hAnsi="Times New Roman"/>
          <w:sz w:val="24"/>
          <w:szCs w:val="24"/>
          <w:lang w:val="en-US"/>
        </w:rPr>
        <w:t xml:space="preserve">positive and significant in predicting EV adoption rates for </w:t>
      </w:r>
      <w:r w:rsidR="00071866">
        <w:rPr>
          <w:rFonts w:ascii="Times New Roman" w:hAnsi="Times New Roman"/>
          <w:sz w:val="24"/>
          <w:szCs w:val="24"/>
          <w:lang w:val="en-US"/>
        </w:rPr>
        <w:t>our sample</w:t>
      </w:r>
      <w:r w:rsidR="00A63EFC">
        <w:rPr>
          <w:rFonts w:ascii="Times New Roman" w:hAnsi="Times New Roman"/>
          <w:sz w:val="24"/>
          <w:szCs w:val="24"/>
          <w:lang w:val="en-US"/>
        </w:rPr>
        <w:t xml:space="preserve"> countries. </w:t>
      </w:r>
    </w:p>
    <w:p w:rsidR="00F3598B" w:rsidRPr="007C78A0" w:rsidRDefault="00AD1CC6" w:rsidP="002B3BA1">
      <w:pPr>
        <w:spacing w:after="120" w:line="360" w:lineRule="auto"/>
        <w:jc w:val="both"/>
        <w:rPr>
          <w:rFonts w:ascii="Times New Roman" w:hAnsi="Times New Roman"/>
          <w:sz w:val="24"/>
          <w:szCs w:val="24"/>
          <w:lang w:val="en-US"/>
        </w:rPr>
      </w:pPr>
      <w:r>
        <w:rPr>
          <w:rFonts w:ascii="Times New Roman" w:hAnsi="Times New Roman"/>
          <w:sz w:val="24"/>
          <w:szCs w:val="24"/>
          <w:lang w:val="en-US"/>
        </w:rPr>
        <w:t>T</w:t>
      </w:r>
      <w:r w:rsidRPr="004D73DD">
        <w:rPr>
          <w:rFonts w:ascii="Times New Roman" w:hAnsi="Times New Roman"/>
          <w:sz w:val="24"/>
          <w:szCs w:val="24"/>
          <w:lang w:val="en-US"/>
        </w:rPr>
        <w:t xml:space="preserve">he cause-effect relationship between the </w:t>
      </w:r>
      <w:r w:rsidR="00C65D72" w:rsidRPr="004D73DD">
        <w:rPr>
          <w:rFonts w:ascii="Times New Roman" w:hAnsi="Times New Roman"/>
          <w:sz w:val="24"/>
          <w:szCs w:val="24"/>
          <w:lang w:val="en-US"/>
        </w:rPr>
        <w:t xml:space="preserve">identified </w:t>
      </w:r>
      <w:r w:rsidRPr="004D73DD">
        <w:rPr>
          <w:rFonts w:ascii="Times New Roman" w:hAnsi="Times New Roman"/>
          <w:sz w:val="24"/>
          <w:szCs w:val="24"/>
          <w:lang w:val="en-US"/>
        </w:rPr>
        <w:t>variables and the response variable is not guaranteed though.</w:t>
      </w:r>
      <w:r w:rsidR="00EA76A3">
        <w:rPr>
          <w:rFonts w:ascii="Times New Roman" w:hAnsi="Times New Roman"/>
          <w:sz w:val="24"/>
          <w:szCs w:val="24"/>
          <w:lang w:val="en-US"/>
        </w:rPr>
        <w:t xml:space="preserve"> </w:t>
      </w:r>
      <w:r w:rsidR="002B3BA1">
        <w:rPr>
          <w:rFonts w:ascii="Times New Roman" w:hAnsi="Times New Roman"/>
          <w:sz w:val="24"/>
          <w:szCs w:val="24"/>
          <w:lang w:val="en-US"/>
        </w:rPr>
        <w:t xml:space="preserve">As </w:t>
      </w:r>
      <w:r w:rsidR="00992C4C">
        <w:rPr>
          <w:rFonts w:ascii="Times New Roman" w:hAnsi="Times New Roman"/>
          <w:sz w:val="24"/>
          <w:szCs w:val="24"/>
          <w:lang w:val="en-US"/>
        </w:rPr>
        <w:t xml:space="preserve">the </w:t>
      </w:r>
      <w:r w:rsidR="00620828">
        <w:rPr>
          <w:rFonts w:ascii="Times New Roman" w:hAnsi="Times New Roman"/>
          <w:sz w:val="24"/>
          <w:szCs w:val="24"/>
          <w:lang w:val="en-US"/>
        </w:rPr>
        <w:t xml:space="preserve">cross-country </w:t>
      </w:r>
      <w:r w:rsidR="002B3BA1">
        <w:rPr>
          <w:rFonts w:ascii="Times New Roman" w:hAnsi="Times New Roman"/>
          <w:sz w:val="24"/>
          <w:szCs w:val="24"/>
          <w:lang w:val="en-US"/>
        </w:rPr>
        <w:t xml:space="preserve">descriptive analysis </w:t>
      </w:r>
      <w:r w:rsidR="00992C4C">
        <w:rPr>
          <w:rFonts w:ascii="Times New Roman" w:hAnsi="Times New Roman"/>
          <w:sz w:val="24"/>
          <w:szCs w:val="24"/>
          <w:lang w:val="en-US"/>
        </w:rPr>
        <w:t>revealed</w:t>
      </w:r>
      <w:r w:rsidR="002B3BA1">
        <w:rPr>
          <w:rFonts w:ascii="Times New Roman" w:hAnsi="Times New Roman"/>
          <w:sz w:val="24"/>
          <w:szCs w:val="24"/>
          <w:lang w:val="en-US"/>
        </w:rPr>
        <w:t xml:space="preserve">, </w:t>
      </w:r>
      <w:r w:rsidR="00992C4C">
        <w:rPr>
          <w:rFonts w:ascii="Times New Roman" w:hAnsi="Times New Roman"/>
          <w:sz w:val="24"/>
          <w:szCs w:val="24"/>
          <w:lang w:val="en-US"/>
        </w:rPr>
        <w:t>higher availability of fast</w:t>
      </w:r>
      <w:r w:rsidR="00287DC8">
        <w:rPr>
          <w:rFonts w:ascii="Times New Roman" w:hAnsi="Times New Roman"/>
          <w:sz w:val="24"/>
          <w:szCs w:val="24"/>
          <w:lang w:val="en-US"/>
        </w:rPr>
        <w:t>-</w:t>
      </w:r>
      <w:r w:rsidR="00992C4C">
        <w:rPr>
          <w:rFonts w:ascii="Times New Roman" w:hAnsi="Times New Roman"/>
          <w:sz w:val="24"/>
          <w:szCs w:val="24"/>
          <w:lang w:val="en-US"/>
        </w:rPr>
        <w:t>charging infrastructure d</w:t>
      </w:r>
      <w:r w:rsidR="00061225">
        <w:rPr>
          <w:rFonts w:ascii="Times New Roman" w:hAnsi="Times New Roman"/>
          <w:sz w:val="24"/>
          <w:szCs w:val="24"/>
          <w:lang w:val="en-US"/>
        </w:rPr>
        <w:t>oes</w:t>
      </w:r>
      <w:r w:rsidR="00992C4C">
        <w:rPr>
          <w:rFonts w:ascii="Times New Roman" w:hAnsi="Times New Roman"/>
          <w:sz w:val="24"/>
          <w:szCs w:val="24"/>
          <w:lang w:val="en-US"/>
        </w:rPr>
        <w:t xml:space="preserve"> not necessarily mean higher BEV market uptake. </w:t>
      </w:r>
      <w:r w:rsidR="009F12E0">
        <w:rPr>
          <w:rFonts w:ascii="Times New Roman" w:hAnsi="Times New Roman"/>
          <w:sz w:val="24"/>
          <w:szCs w:val="24"/>
          <w:lang w:val="en-US"/>
        </w:rPr>
        <w:t>Therefore, there must be some country-specific factors or rather a combination of factors that positively influence BEV sales.</w:t>
      </w:r>
      <w:r w:rsidR="00992C4C">
        <w:rPr>
          <w:rFonts w:ascii="Times New Roman" w:hAnsi="Times New Roman"/>
          <w:sz w:val="24"/>
          <w:szCs w:val="24"/>
          <w:lang w:val="en-US"/>
        </w:rPr>
        <w:t xml:space="preserve"> </w:t>
      </w:r>
      <w:r w:rsidR="009F12E0">
        <w:rPr>
          <w:rFonts w:ascii="Times New Roman" w:hAnsi="Times New Roman"/>
          <w:sz w:val="24"/>
          <w:szCs w:val="24"/>
          <w:lang w:val="en-US"/>
        </w:rPr>
        <w:t>Good example</w:t>
      </w:r>
      <w:r w:rsidR="00F538A4">
        <w:rPr>
          <w:rFonts w:ascii="Times New Roman" w:hAnsi="Times New Roman"/>
          <w:sz w:val="24"/>
          <w:szCs w:val="24"/>
          <w:lang w:val="en-US"/>
        </w:rPr>
        <w:t xml:space="preserve"> is Norway, with the highest market share of BEVs worldwide in 2016.</w:t>
      </w:r>
      <w:r w:rsidR="00545742">
        <w:rPr>
          <w:rFonts w:ascii="Times New Roman" w:hAnsi="Times New Roman"/>
          <w:sz w:val="24"/>
          <w:szCs w:val="24"/>
          <w:lang w:val="en-US"/>
        </w:rPr>
        <w:t xml:space="preserve"> Not the highest ratio of fast-charging stations per million residents</w:t>
      </w:r>
      <w:r w:rsidR="002D363B">
        <w:rPr>
          <w:rFonts w:ascii="Times New Roman" w:hAnsi="Times New Roman"/>
          <w:sz w:val="24"/>
          <w:szCs w:val="24"/>
          <w:lang w:val="en-US"/>
        </w:rPr>
        <w:t xml:space="preserve"> alone, but rather the combination of policy measurers led to the high BEV market uptake.</w:t>
      </w:r>
      <w:r w:rsidR="00545742">
        <w:rPr>
          <w:rFonts w:ascii="Times New Roman" w:hAnsi="Times New Roman"/>
          <w:sz w:val="24"/>
          <w:szCs w:val="24"/>
          <w:lang w:val="en-US"/>
        </w:rPr>
        <w:t xml:space="preserve"> </w:t>
      </w:r>
      <w:r w:rsidR="00F538A4">
        <w:rPr>
          <w:rFonts w:ascii="Times New Roman" w:hAnsi="Times New Roman"/>
          <w:sz w:val="24"/>
          <w:szCs w:val="24"/>
          <w:lang w:val="en-US"/>
        </w:rPr>
        <w:t xml:space="preserve">Norway’s policy mix </w:t>
      </w:r>
      <w:r w:rsidR="00BD21C7">
        <w:rPr>
          <w:rFonts w:ascii="Times New Roman" w:hAnsi="Times New Roman"/>
          <w:sz w:val="24"/>
          <w:szCs w:val="24"/>
          <w:lang w:val="en-US"/>
        </w:rPr>
        <w:t xml:space="preserve">is </w:t>
      </w:r>
      <w:r w:rsidR="00F538A4">
        <w:rPr>
          <w:rFonts w:ascii="Times New Roman" w:hAnsi="Times New Roman"/>
          <w:sz w:val="24"/>
          <w:szCs w:val="24"/>
          <w:lang w:val="en-US"/>
        </w:rPr>
        <w:t>targeted at the development of market niches</w:t>
      </w:r>
      <w:r w:rsidR="006F6113">
        <w:rPr>
          <w:rFonts w:ascii="Times New Roman" w:hAnsi="Times New Roman"/>
          <w:sz w:val="24"/>
          <w:szCs w:val="24"/>
          <w:lang w:val="en-US"/>
        </w:rPr>
        <w:t>, utilizing</w:t>
      </w:r>
      <w:r w:rsidR="00F538A4">
        <w:rPr>
          <w:rFonts w:ascii="Times New Roman" w:hAnsi="Times New Roman"/>
          <w:sz w:val="24"/>
          <w:szCs w:val="24"/>
          <w:lang w:val="en-US"/>
        </w:rPr>
        <w:t xml:space="preserve"> the country’s ideal </w:t>
      </w:r>
      <w:r w:rsidR="00C11ED2">
        <w:rPr>
          <w:rFonts w:ascii="Times New Roman" w:hAnsi="Times New Roman"/>
          <w:sz w:val="24"/>
          <w:szCs w:val="24"/>
          <w:lang w:val="en-US"/>
        </w:rPr>
        <w:t>prerequisites</w:t>
      </w:r>
      <w:r w:rsidR="00F538A4">
        <w:rPr>
          <w:rFonts w:ascii="Times New Roman" w:hAnsi="Times New Roman"/>
          <w:sz w:val="24"/>
          <w:szCs w:val="24"/>
          <w:lang w:val="en-US"/>
        </w:rPr>
        <w:t xml:space="preserve"> for electromobility such as</w:t>
      </w:r>
      <w:r w:rsidR="00BD21C7">
        <w:rPr>
          <w:rFonts w:ascii="Times New Roman" w:hAnsi="Times New Roman"/>
          <w:sz w:val="24"/>
          <w:szCs w:val="24"/>
          <w:lang w:val="en-US"/>
        </w:rPr>
        <w:t xml:space="preserve"> the</w:t>
      </w:r>
      <w:r w:rsidR="00F538A4">
        <w:rPr>
          <w:rFonts w:ascii="Times New Roman" w:hAnsi="Times New Roman"/>
          <w:sz w:val="24"/>
          <w:szCs w:val="24"/>
          <w:lang w:val="en-US"/>
        </w:rPr>
        <w:t xml:space="preserve"> </w:t>
      </w:r>
      <w:r w:rsidR="006F6113">
        <w:rPr>
          <w:rFonts w:ascii="Times New Roman" w:hAnsi="Times New Roman"/>
          <w:sz w:val="24"/>
          <w:szCs w:val="24"/>
          <w:lang w:val="en-US"/>
        </w:rPr>
        <w:t xml:space="preserve">weak </w:t>
      </w:r>
      <w:r w:rsidR="00C00055">
        <w:rPr>
          <w:rFonts w:ascii="Times New Roman" w:hAnsi="Times New Roman"/>
          <w:sz w:val="24"/>
          <w:szCs w:val="24"/>
          <w:lang w:val="en-US"/>
        </w:rPr>
        <w:t xml:space="preserve">ICE regime, </w:t>
      </w:r>
      <w:r w:rsidR="00620828">
        <w:rPr>
          <w:rFonts w:ascii="Times New Roman" w:hAnsi="Times New Roman"/>
          <w:sz w:val="24"/>
          <w:szCs w:val="24"/>
          <w:lang w:val="en-US"/>
        </w:rPr>
        <w:t xml:space="preserve">small </w:t>
      </w:r>
      <w:r w:rsidR="00F538A4">
        <w:rPr>
          <w:rFonts w:ascii="Times New Roman" w:hAnsi="Times New Roman"/>
          <w:sz w:val="24"/>
          <w:szCs w:val="24"/>
          <w:lang w:val="en-US"/>
        </w:rPr>
        <w:t xml:space="preserve">country size, </w:t>
      </w:r>
      <w:r w:rsidR="00620828">
        <w:rPr>
          <w:rFonts w:ascii="Times New Roman" w:hAnsi="Times New Roman"/>
          <w:sz w:val="24"/>
          <w:szCs w:val="24"/>
          <w:lang w:val="en-US"/>
        </w:rPr>
        <w:t xml:space="preserve">low </w:t>
      </w:r>
      <w:r w:rsidR="00F538A4">
        <w:rPr>
          <w:rFonts w:ascii="Times New Roman" w:hAnsi="Times New Roman"/>
          <w:sz w:val="24"/>
          <w:szCs w:val="24"/>
          <w:lang w:val="en-US"/>
        </w:rPr>
        <w:t xml:space="preserve">energy prices, </w:t>
      </w:r>
      <w:r w:rsidR="006F6113">
        <w:rPr>
          <w:rFonts w:ascii="Times New Roman" w:hAnsi="Times New Roman"/>
          <w:sz w:val="24"/>
          <w:szCs w:val="24"/>
          <w:lang w:val="en-US"/>
        </w:rPr>
        <w:t xml:space="preserve">and </w:t>
      </w:r>
      <w:r w:rsidR="00620828">
        <w:rPr>
          <w:rFonts w:ascii="Times New Roman" w:hAnsi="Times New Roman"/>
          <w:sz w:val="24"/>
          <w:szCs w:val="24"/>
          <w:lang w:val="en-US"/>
        </w:rPr>
        <w:t xml:space="preserve">high </w:t>
      </w:r>
      <w:r w:rsidR="00F538A4">
        <w:rPr>
          <w:rFonts w:ascii="Times New Roman" w:hAnsi="Times New Roman"/>
          <w:sz w:val="24"/>
          <w:szCs w:val="24"/>
          <w:lang w:val="en-US"/>
        </w:rPr>
        <w:t>urbanization</w:t>
      </w:r>
      <w:r w:rsidR="00C00055">
        <w:rPr>
          <w:rFonts w:ascii="Times New Roman" w:hAnsi="Times New Roman"/>
          <w:sz w:val="24"/>
          <w:szCs w:val="24"/>
          <w:lang w:val="en-US"/>
        </w:rPr>
        <w:t>.</w:t>
      </w:r>
      <w:r w:rsidR="00F538A4">
        <w:rPr>
          <w:rFonts w:ascii="Times New Roman" w:hAnsi="Times New Roman"/>
          <w:sz w:val="24"/>
          <w:szCs w:val="24"/>
          <w:lang w:val="en-US"/>
        </w:rPr>
        <w:t xml:space="preserve"> </w:t>
      </w:r>
      <w:r w:rsidR="00C00055">
        <w:rPr>
          <w:rFonts w:ascii="Times New Roman" w:hAnsi="Times New Roman"/>
          <w:sz w:val="24"/>
          <w:szCs w:val="24"/>
          <w:lang w:val="en-US"/>
        </w:rPr>
        <w:t xml:space="preserve">For other countries, it is not possible to copy the </w:t>
      </w:r>
      <w:r w:rsidR="00C11ED2">
        <w:rPr>
          <w:rFonts w:ascii="Times New Roman" w:hAnsi="Times New Roman"/>
          <w:sz w:val="24"/>
          <w:szCs w:val="24"/>
          <w:lang w:val="en-US"/>
        </w:rPr>
        <w:t>prerequisites</w:t>
      </w:r>
      <w:r w:rsidR="00C00055">
        <w:rPr>
          <w:rFonts w:ascii="Times New Roman" w:hAnsi="Times New Roman"/>
          <w:sz w:val="24"/>
          <w:szCs w:val="24"/>
          <w:lang w:val="en-US"/>
        </w:rPr>
        <w:t xml:space="preserve">, but it is possible to transfer the policies proved to be effective </w:t>
      </w:r>
      <w:r w:rsidR="00BD21C7">
        <w:rPr>
          <w:rFonts w:ascii="Times New Roman" w:hAnsi="Times New Roman"/>
          <w:sz w:val="24"/>
          <w:szCs w:val="24"/>
          <w:lang w:val="en-US"/>
        </w:rPr>
        <w:t>i</w:t>
      </w:r>
      <w:r w:rsidR="00C00055">
        <w:rPr>
          <w:rFonts w:ascii="Times New Roman" w:hAnsi="Times New Roman"/>
          <w:sz w:val="24"/>
          <w:szCs w:val="24"/>
          <w:lang w:val="en-US"/>
        </w:rPr>
        <w:t>n the cross-country sample</w:t>
      </w:r>
      <w:r w:rsidR="006F6113">
        <w:rPr>
          <w:rFonts w:ascii="Times New Roman" w:hAnsi="Times New Roman"/>
          <w:sz w:val="24"/>
          <w:szCs w:val="24"/>
          <w:lang w:val="en-US"/>
        </w:rPr>
        <w:t>, specifically</w:t>
      </w:r>
      <w:r w:rsidR="00C42A7B">
        <w:rPr>
          <w:rFonts w:ascii="Times New Roman" w:hAnsi="Times New Roman"/>
          <w:sz w:val="24"/>
          <w:szCs w:val="24"/>
          <w:lang w:val="en-US"/>
        </w:rPr>
        <w:t>,</w:t>
      </w:r>
      <w:r w:rsidR="00921934">
        <w:rPr>
          <w:rFonts w:ascii="Times New Roman" w:hAnsi="Times New Roman"/>
          <w:sz w:val="24"/>
          <w:szCs w:val="24"/>
          <w:lang w:val="en-US"/>
        </w:rPr>
        <w:t xml:space="preserve"> the expansion of fast</w:t>
      </w:r>
      <w:r w:rsidR="00287DC8">
        <w:rPr>
          <w:rFonts w:ascii="Times New Roman" w:hAnsi="Times New Roman"/>
          <w:sz w:val="24"/>
          <w:szCs w:val="24"/>
          <w:lang w:val="en-US"/>
        </w:rPr>
        <w:t>-</w:t>
      </w:r>
      <w:r w:rsidR="00921934">
        <w:rPr>
          <w:rFonts w:ascii="Times New Roman" w:hAnsi="Times New Roman"/>
          <w:sz w:val="24"/>
          <w:szCs w:val="24"/>
          <w:lang w:val="en-US"/>
        </w:rPr>
        <w:t>charging infrastructure.</w:t>
      </w:r>
      <w:r w:rsidR="00EA76A3">
        <w:rPr>
          <w:rFonts w:ascii="Times New Roman" w:hAnsi="Times New Roman"/>
          <w:sz w:val="24"/>
          <w:szCs w:val="24"/>
          <w:lang w:val="en-US"/>
        </w:rPr>
        <w:t xml:space="preserve"> </w:t>
      </w:r>
      <w:r w:rsidR="007C78A0">
        <w:rPr>
          <w:rFonts w:ascii="Times New Roman" w:hAnsi="Times New Roman"/>
          <w:sz w:val="24"/>
          <w:szCs w:val="24"/>
          <w:lang w:val="en-US"/>
        </w:rPr>
        <w:t xml:space="preserve">However, it should be </w:t>
      </w:r>
      <w:r w:rsidR="00A96F56">
        <w:rPr>
          <w:rFonts w:ascii="Times New Roman" w:hAnsi="Times New Roman"/>
          <w:sz w:val="24"/>
          <w:szCs w:val="24"/>
          <w:lang w:val="en-US"/>
        </w:rPr>
        <w:t xml:space="preserve">clearly </w:t>
      </w:r>
      <w:r w:rsidR="007C78A0">
        <w:rPr>
          <w:rFonts w:ascii="Times New Roman" w:hAnsi="Times New Roman"/>
          <w:sz w:val="24"/>
          <w:szCs w:val="24"/>
          <w:lang w:val="en-US"/>
        </w:rPr>
        <w:t>pointed out</w:t>
      </w:r>
      <w:r w:rsidR="004D73DD" w:rsidRPr="004D73DD">
        <w:rPr>
          <w:rFonts w:ascii="Times New Roman" w:hAnsi="Times New Roman"/>
          <w:sz w:val="24"/>
          <w:szCs w:val="24"/>
          <w:lang w:val="en-US"/>
        </w:rPr>
        <w:t xml:space="preserve"> </w:t>
      </w:r>
      <w:r w:rsidR="007C78A0">
        <w:rPr>
          <w:rFonts w:ascii="Times New Roman" w:hAnsi="Times New Roman"/>
          <w:sz w:val="24"/>
          <w:szCs w:val="24"/>
          <w:lang w:val="en-US"/>
        </w:rPr>
        <w:t xml:space="preserve">that </w:t>
      </w:r>
      <w:r w:rsidR="004D73DD" w:rsidRPr="004D73DD">
        <w:rPr>
          <w:rFonts w:ascii="Times New Roman" w:hAnsi="Times New Roman"/>
          <w:sz w:val="24"/>
          <w:szCs w:val="24"/>
          <w:lang w:val="en-US"/>
        </w:rPr>
        <w:t xml:space="preserve">each country must develop </w:t>
      </w:r>
      <w:r w:rsidR="00BD21C7">
        <w:rPr>
          <w:rFonts w:ascii="Times New Roman" w:hAnsi="Times New Roman"/>
          <w:sz w:val="24"/>
          <w:szCs w:val="24"/>
          <w:lang w:val="en-US"/>
        </w:rPr>
        <w:t xml:space="preserve">a </w:t>
      </w:r>
      <w:r w:rsidR="004D73DD" w:rsidRPr="004D73DD">
        <w:rPr>
          <w:rFonts w:ascii="Times New Roman" w:hAnsi="Times New Roman"/>
          <w:sz w:val="24"/>
          <w:szCs w:val="24"/>
          <w:lang w:val="en-US"/>
        </w:rPr>
        <w:t>policy mix</w:t>
      </w:r>
      <w:r w:rsidR="00BD21C7">
        <w:rPr>
          <w:rFonts w:ascii="Times New Roman" w:hAnsi="Times New Roman"/>
          <w:sz w:val="24"/>
          <w:szCs w:val="24"/>
          <w:lang w:val="en-US"/>
        </w:rPr>
        <w:t xml:space="preserve"> of their own</w:t>
      </w:r>
      <w:r w:rsidR="00071866">
        <w:rPr>
          <w:rFonts w:ascii="Times New Roman" w:hAnsi="Times New Roman"/>
          <w:sz w:val="24"/>
          <w:szCs w:val="24"/>
          <w:lang w:val="en-US"/>
        </w:rPr>
        <w:t xml:space="preserve">. </w:t>
      </w:r>
      <w:r w:rsidR="00BD21C7">
        <w:rPr>
          <w:rFonts w:ascii="Times New Roman" w:hAnsi="Times New Roman"/>
          <w:sz w:val="24"/>
          <w:szCs w:val="24"/>
          <w:lang w:val="en-US"/>
        </w:rPr>
        <w:t xml:space="preserve">Such a mix </w:t>
      </w:r>
      <w:r w:rsidR="004D73DD" w:rsidRPr="004D73DD">
        <w:rPr>
          <w:rFonts w:ascii="Times New Roman" w:hAnsi="Times New Roman"/>
          <w:sz w:val="24"/>
          <w:szCs w:val="24"/>
          <w:lang w:val="en-US"/>
        </w:rPr>
        <w:t xml:space="preserve">would include not only </w:t>
      </w:r>
      <w:r w:rsidR="00BD21C7">
        <w:rPr>
          <w:rFonts w:ascii="Times New Roman" w:hAnsi="Times New Roman"/>
          <w:sz w:val="24"/>
          <w:szCs w:val="24"/>
          <w:lang w:val="en-US"/>
        </w:rPr>
        <w:t>an</w:t>
      </w:r>
      <w:r w:rsidR="004D73DD" w:rsidRPr="004D73DD">
        <w:rPr>
          <w:rFonts w:ascii="Times New Roman" w:hAnsi="Times New Roman"/>
          <w:sz w:val="24"/>
          <w:szCs w:val="24"/>
          <w:lang w:val="en-US"/>
        </w:rPr>
        <w:t xml:space="preserve"> increase in levels of </w:t>
      </w:r>
      <w:r w:rsidR="00C11ED2">
        <w:rPr>
          <w:rFonts w:ascii="Times New Roman" w:hAnsi="Times New Roman"/>
          <w:sz w:val="24"/>
          <w:szCs w:val="24"/>
          <w:lang w:val="en-US"/>
        </w:rPr>
        <w:t>fast</w:t>
      </w:r>
      <w:r w:rsidR="00287DC8">
        <w:rPr>
          <w:rFonts w:ascii="Times New Roman" w:hAnsi="Times New Roman"/>
          <w:sz w:val="24"/>
          <w:szCs w:val="24"/>
          <w:lang w:val="en-US"/>
        </w:rPr>
        <w:t>-</w:t>
      </w:r>
      <w:r w:rsidR="004D73DD" w:rsidRPr="004D73DD">
        <w:rPr>
          <w:rFonts w:ascii="Times New Roman" w:hAnsi="Times New Roman"/>
          <w:sz w:val="24"/>
          <w:szCs w:val="24"/>
          <w:lang w:val="en-US"/>
        </w:rPr>
        <w:t xml:space="preserve">charging infrastructure, but other measures </w:t>
      </w:r>
      <w:r w:rsidR="00C11ED2">
        <w:rPr>
          <w:rFonts w:ascii="Times New Roman" w:hAnsi="Times New Roman"/>
          <w:sz w:val="24"/>
          <w:szCs w:val="24"/>
          <w:lang w:val="en-US"/>
        </w:rPr>
        <w:t xml:space="preserve">such as </w:t>
      </w:r>
      <w:r w:rsidR="00F201CD">
        <w:rPr>
          <w:rFonts w:ascii="Times New Roman" w:hAnsi="Times New Roman"/>
          <w:sz w:val="24"/>
          <w:szCs w:val="24"/>
          <w:lang w:val="en-US"/>
        </w:rPr>
        <w:t xml:space="preserve">HOV/Bus </w:t>
      </w:r>
      <w:r w:rsidR="00C11ED2">
        <w:rPr>
          <w:rFonts w:ascii="Times New Roman" w:hAnsi="Times New Roman"/>
          <w:sz w:val="24"/>
          <w:szCs w:val="24"/>
          <w:lang w:val="en-US"/>
        </w:rPr>
        <w:t xml:space="preserve">lane access </w:t>
      </w:r>
      <w:r w:rsidR="004D73DD" w:rsidRPr="004D73DD">
        <w:rPr>
          <w:rFonts w:ascii="Times New Roman" w:hAnsi="Times New Roman"/>
          <w:sz w:val="24"/>
          <w:szCs w:val="24"/>
          <w:lang w:val="en-US"/>
        </w:rPr>
        <w:t xml:space="preserve">depending on the country-specific </w:t>
      </w:r>
      <w:r w:rsidR="00921934">
        <w:rPr>
          <w:rFonts w:ascii="Times New Roman" w:hAnsi="Times New Roman"/>
          <w:sz w:val="24"/>
          <w:szCs w:val="24"/>
          <w:lang w:val="en-US"/>
        </w:rPr>
        <w:t>prerequisites</w:t>
      </w:r>
      <w:r>
        <w:rPr>
          <w:rFonts w:ascii="Times New Roman" w:hAnsi="Times New Roman"/>
          <w:sz w:val="24"/>
          <w:szCs w:val="24"/>
          <w:lang w:val="en-US"/>
        </w:rPr>
        <w:t xml:space="preserve"> for e</w:t>
      </w:r>
      <w:r w:rsidR="00921934">
        <w:rPr>
          <w:rFonts w:ascii="Times New Roman" w:hAnsi="Times New Roman"/>
          <w:sz w:val="24"/>
          <w:szCs w:val="24"/>
          <w:lang w:val="en-US"/>
        </w:rPr>
        <w:t>-</w:t>
      </w:r>
      <w:r>
        <w:rPr>
          <w:rFonts w:ascii="Times New Roman" w:hAnsi="Times New Roman"/>
          <w:sz w:val="24"/>
          <w:szCs w:val="24"/>
          <w:lang w:val="en-US"/>
        </w:rPr>
        <w:t>mobility</w:t>
      </w:r>
      <w:r w:rsidR="00541234">
        <w:rPr>
          <w:rFonts w:ascii="Times New Roman" w:hAnsi="Times New Roman"/>
          <w:sz w:val="24"/>
          <w:szCs w:val="24"/>
          <w:lang w:val="en-US"/>
        </w:rPr>
        <w:t xml:space="preserve"> and market niches. </w:t>
      </w:r>
      <w:r w:rsidR="007C78A0">
        <w:rPr>
          <w:rFonts w:ascii="Times New Roman" w:hAnsi="Times New Roman"/>
          <w:sz w:val="24"/>
          <w:szCs w:val="24"/>
          <w:lang w:val="en-US"/>
        </w:rPr>
        <w:t xml:space="preserve">In addition, this customized policy mix </w:t>
      </w:r>
      <w:r w:rsidR="00BD21C7">
        <w:rPr>
          <w:rFonts w:ascii="Times New Roman" w:hAnsi="Times New Roman"/>
          <w:sz w:val="24"/>
          <w:szCs w:val="24"/>
          <w:lang w:val="en-US"/>
        </w:rPr>
        <w:t>should</w:t>
      </w:r>
      <w:r w:rsidR="007C78A0">
        <w:rPr>
          <w:rFonts w:ascii="Times New Roman" w:hAnsi="Times New Roman"/>
          <w:sz w:val="24"/>
          <w:szCs w:val="24"/>
          <w:lang w:val="en-US"/>
        </w:rPr>
        <w:t xml:space="preserve"> be reinforced by </w:t>
      </w:r>
      <w:r w:rsidR="00446332">
        <w:rPr>
          <w:rFonts w:ascii="Times New Roman" w:hAnsi="Times New Roman"/>
          <w:sz w:val="24"/>
          <w:szCs w:val="24"/>
          <w:lang w:val="en-US"/>
        </w:rPr>
        <w:t xml:space="preserve">marketing campaigns to increase customer awareness and </w:t>
      </w:r>
      <w:r w:rsidR="00446332" w:rsidRPr="007C78A0">
        <w:rPr>
          <w:rFonts w:ascii="Times New Roman" w:hAnsi="Times New Roman"/>
          <w:sz w:val="24"/>
          <w:szCs w:val="24"/>
          <w:lang w:val="en-US"/>
        </w:rPr>
        <w:t>knowledge</w:t>
      </w:r>
      <w:r w:rsidR="00446332">
        <w:rPr>
          <w:rFonts w:ascii="Times New Roman" w:hAnsi="Times New Roman"/>
          <w:sz w:val="24"/>
          <w:szCs w:val="24"/>
          <w:lang w:val="en-US"/>
        </w:rPr>
        <w:t xml:space="preserve">. </w:t>
      </w:r>
      <w:r w:rsidR="00BD21C7">
        <w:rPr>
          <w:rFonts w:ascii="Times New Roman" w:hAnsi="Times New Roman"/>
          <w:sz w:val="24"/>
          <w:szCs w:val="24"/>
          <w:lang w:val="en-US"/>
        </w:rPr>
        <w:t>Moreover</w:t>
      </w:r>
      <w:r w:rsidR="00D12DB8">
        <w:rPr>
          <w:rFonts w:ascii="Times New Roman" w:hAnsi="Times New Roman"/>
          <w:sz w:val="24"/>
          <w:szCs w:val="24"/>
          <w:lang w:val="en-US"/>
        </w:rPr>
        <w:t>,</w:t>
      </w:r>
      <w:r w:rsidR="00BD21C7">
        <w:rPr>
          <w:rFonts w:ascii="Times New Roman" w:hAnsi="Times New Roman"/>
          <w:sz w:val="24"/>
          <w:szCs w:val="24"/>
          <w:lang w:val="en-US"/>
        </w:rPr>
        <w:t xml:space="preserve"> important are</w:t>
      </w:r>
      <w:r w:rsidR="00446332">
        <w:rPr>
          <w:rFonts w:ascii="Times New Roman" w:hAnsi="Times New Roman"/>
          <w:sz w:val="24"/>
          <w:szCs w:val="24"/>
          <w:lang w:val="en-US"/>
        </w:rPr>
        <w:t xml:space="preserve"> </w:t>
      </w:r>
      <w:r w:rsidR="007C78A0">
        <w:rPr>
          <w:rFonts w:ascii="Times New Roman" w:hAnsi="Times New Roman"/>
          <w:sz w:val="24"/>
          <w:szCs w:val="24"/>
          <w:lang w:val="en-US"/>
        </w:rPr>
        <w:t>supply-side policies to overcome limited model availability</w:t>
      </w:r>
      <w:r w:rsidR="005625E4">
        <w:rPr>
          <w:rFonts w:ascii="Times New Roman" w:hAnsi="Times New Roman"/>
          <w:sz w:val="24"/>
          <w:szCs w:val="24"/>
          <w:lang w:val="en-US"/>
        </w:rPr>
        <w:t xml:space="preserve"> and</w:t>
      </w:r>
      <w:r w:rsidR="00921934">
        <w:rPr>
          <w:rFonts w:ascii="Times New Roman" w:hAnsi="Times New Roman"/>
          <w:sz w:val="24"/>
          <w:szCs w:val="24"/>
          <w:lang w:val="en-US"/>
        </w:rPr>
        <w:t xml:space="preserve"> </w:t>
      </w:r>
      <w:r w:rsidR="00C11ED2">
        <w:rPr>
          <w:rFonts w:ascii="Times New Roman" w:hAnsi="Times New Roman"/>
          <w:sz w:val="24"/>
          <w:szCs w:val="24"/>
          <w:lang w:val="en-US"/>
        </w:rPr>
        <w:t>performance limitations</w:t>
      </w:r>
      <w:r w:rsidR="007C78A0">
        <w:rPr>
          <w:rFonts w:ascii="Times New Roman" w:hAnsi="Times New Roman"/>
          <w:sz w:val="24"/>
          <w:szCs w:val="24"/>
          <w:lang w:val="en-US"/>
        </w:rPr>
        <w:t>.</w:t>
      </w:r>
      <w:r w:rsidR="00D12DB8">
        <w:rPr>
          <w:rFonts w:ascii="Times New Roman" w:hAnsi="Times New Roman"/>
          <w:sz w:val="24"/>
          <w:szCs w:val="24"/>
          <w:lang w:val="en-US"/>
        </w:rPr>
        <w:t xml:space="preserve"> If the BEV adoption rates are influenced by model availability and not by consumer demand, the </w:t>
      </w:r>
      <w:r w:rsidR="00287DC8">
        <w:rPr>
          <w:rFonts w:ascii="Times New Roman" w:hAnsi="Times New Roman"/>
          <w:sz w:val="24"/>
          <w:szCs w:val="24"/>
          <w:lang w:val="en-US"/>
        </w:rPr>
        <w:t>implementation</w:t>
      </w:r>
      <w:r w:rsidR="00B76D5C">
        <w:rPr>
          <w:rFonts w:ascii="Times New Roman" w:hAnsi="Times New Roman"/>
          <w:sz w:val="24"/>
          <w:szCs w:val="24"/>
          <w:lang w:val="en-US"/>
        </w:rPr>
        <w:t xml:space="preserve"> of the </w:t>
      </w:r>
      <w:r w:rsidR="00D12DB8">
        <w:rPr>
          <w:rFonts w:ascii="Times New Roman" w:hAnsi="Times New Roman"/>
          <w:sz w:val="24"/>
          <w:szCs w:val="24"/>
          <w:lang w:val="en-US"/>
        </w:rPr>
        <w:t>demand-side policy measurers will not be effective</w:t>
      </w:r>
      <w:r w:rsidR="00B76D5C">
        <w:rPr>
          <w:rFonts w:ascii="Times New Roman" w:hAnsi="Times New Roman"/>
          <w:sz w:val="24"/>
          <w:szCs w:val="24"/>
          <w:lang w:val="en-US"/>
        </w:rPr>
        <w:t>.</w:t>
      </w:r>
      <w:r w:rsidR="00921934">
        <w:rPr>
          <w:rFonts w:ascii="Times New Roman" w:hAnsi="Times New Roman"/>
          <w:sz w:val="24"/>
          <w:szCs w:val="24"/>
          <w:lang w:val="en-US"/>
        </w:rPr>
        <w:t xml:space="preserve"> </w:t>
      </w:r>
    </w:p>
    <w:p w:rsidR="00E32245" w:rsidRDefault="00E32245" w:rsidP="00CE182C">
      <w:pPr>
        <w:spacing w:after="120" w:line="360" w:lineRule="auto"/>
        <w:jc w:val="both"/>
        <w:rPr>
          <w:rFonts w:ascii="Times New Roman" w:hAnsi="Times New Roman"/>
          <w:b/>
          <w:sz w:val="24"/>
          <w:szCs w:val="24"/>
          <w:lang w:val="en-US"/>
        </w:rPr>
        <w:sectPr w:rsidR="00E32245" w:rsidSect="00BB42B8">
          <w:pgSz w:w="11906" w:h="16838"/>
          <w:pgMar w:top="1418" w:right="1418" w:bottom="1418" w:left="1701" w:header="709" w:footer="709" w:gutter="0"/>
          <w:cols w:space="708"/>
          <w:docGrid w:linePitch="360"/>
        </w:sectPr>
      </w:pPr>
    </w:p>
    <w:p w:rsidR="000D7C36" w:rsidRPr="000D7C36" w:rsidRDefault="00AA17DD" w:rsidP="00F84058">
      <w:pPr>
        <w:pStyle w:val="1"/>
      </w:pPr>
      <w:bookmarkStart w:id="30" w:name="_Toc535248665"/>
      <w:r>
        <w:rPr>
          <w:lang w:val="en-US"/>
        </w:rPr>
        <w:lastRenderedPageBreak/>
        <w:t>List of References</w:t>
      </w:r>
      <w:bookmarkEnd w:id="30"/>
    </w:p>
    <w:p w:rsidR="000D7C36" w:rsidRDefault="000D7C36" w:rsidP="000D7C36">
      <w:pPr>
        <w:rPr>
          <w:lang w:val="en-US"/>
        </w:rPr>
      </w:pPr>
    </w:p>
    <w:p w:rsidR="0066304D" w:rsidRPr="0066304D" w:rsidRDefault="000D7C36" w:rsidP="0066304D">
      <w:pPr>
        <w:widowControl w:val="0"/>
        <w:autoSpaceDE w:val="0"/>
        <w:autoSpaceDN w:val="0"/>
        <w:adjustRightInd w:val="0"/>
        <w:spacing w:after="240"/>
        <w:ind w:left="480" w:hanging="480"/>
        <w:rPr>
          <w:rFonts w:ascii="Times New Roman" w:hAnsi="Times New Roman"/>
          <w:noProof/>
          <w:sz w:val="24"/>
          <w:szCs w:val="24"/>
        </w:rPr>
      </w:pPr>
      <w:r>
        <w:rPr>
          <w:lang w:val="en-US"/>
        </w:rPr>
        <w:fldChar w:fldCharType="begin" w:fldLock="1"/>
      </w:r>
      <w:r>
        <w:rPr>
          <w:lang w:val="en-US"/>
        </w:rPr>
        <w:instrText xml:space="preserve">ADDIN Mendeley Bibliography CSL_BIBLIOGRAPHY </w:instrText>
      </w:r>
      <w:r>
        <w:rPr>
          <w:lang w:val="en-US"/>
        </w:rPr>
        <w:fldChar w:fldCharType="separate"/>
      </w:r>
      <w:bookmarkStart w:id="31" w:name="_GoBack"/>
      <w:bookmarkEnd w:id="31"/>
      <w:r w:rsidR="0066304D" w:rsidRPr="0066304D">
        <w:rPr>
          <w:rFonts w:ascii="Times New Roman" w:hAnsi="Times New Roman"/>
          <w:noProof/>
          <w:sz w:val="24"/>
          <w:szCs w:val="24"/>
        </w:rPr>
        <w:t>ACEA. (2017a). Interactive map: Electric vehicle incentives per country in Europe. Retrieved October 15, 2018, from https://www.acea.be/statistics/article/interactive-map-electric-vehicle-incentives-per-country-in-europe</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ACEA. (2017b). Overview on tax incentives for electric vehicles in the EU. Retrieved October 15, 2018, from https://www.acea.be/uploads/publications/EV_incentives_overview_2017.pdf</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ACEA. (2018a). ACEA tax guide. Retrieved from https://www.acea.be/publications/article/acea-tax-guide</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ACEA. (2018b). Consolidated Registrations - By Country. Retrieved October 15, 2018, from https://www.acea.be/statistics/tag/category/by-country-registrations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Åhman, M. (2006). Government policy and the development of electric vehicles in Japan. </w:t>
      </w:r>
      <w:r w:rsidRPr="0066304D">
        <w:rPr>
          <w:rFonts w:ascii="Times New Roman" w:hAnsi="Times New Roman"/>
          <w:i/>
          <w:iCs/>
          <w:noProof/>
          <w:sz w:val="24"/>
          <w:szCs w:val="24"/>
        </w:rPr>
        <w:t>Energy Policy</w:t>
      </w:r>
      <w:r w:rsidRPr="0066304D">
        <w:rPr>
          <w:rFonts w:ascii="Times New Roman" w:hAnsi="Times New Roman"/>
          <w:noProof/>
          <w:sz w:val="24"/>
          <w:szCs w:val="24"/>
        </w:rPr>
        <w:t xml:space="preserve">, </w:t>
      </w:r>
      <w:r w:rsidRPr="0066304D">
        <w:rPr>
          <w:rFonts w:ascii="Times New Roman" w:hAnsi="Times New Roman"/>
          <w:i/>
          <w:iCs/>
          <w:noProof/>
          <w:sz w:val="24"/>
          <w:szCs w:val="24"/>
        </w:rPr>
        <w:t>34</w:t>
      </w:r>
      <w:r w:rsidRPr="0066304D">
        <w:rPr>
          <w:rFonts w:ascii="Times New Roman" w:hAnsi="Times New Roman"/>
          <w:noProof/>
          <w:sz w:val="24"/>
          <w:szCs w:val="24"/>
        </w:rPr>
        <w:t>(4), 433–443. http://doi.org/10.1016/j.enpol.2004.06.011</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Assum, T., Kolbenstvedt, M., &amp; Figenbaum, E. (2014). </w:t>
      </w:r>
      <w:r w:rsidRPr="0066304D">
        <w:rPr>
          <w:rFonts w:ascii="Times New Roman" w:hAnsi="Times New Roman"/>
          <w:i/>
          <w:iCs/>
          <w:noProof/>
          <w:sz w:val="24"/>
          <w:szCs w:val="24"/>
        </w:rPr>
        <w:t>The future of electromobility in Norway – some stakeholder perspectives</w:t>
      </w:r>
      <w:r w:rsidRPr="0066304D">
        <w:rPr>
          <w:rFonts w:ascii="Times New Roman" w:hAnsi="Times New Roman"/>
          <w:noProof/>
          <w:sz w:val="24"/>
          <w:szCs w:val="24"/>
        </w:rPr>
        <w:t>. Oslo.</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Axsen, J., &amp; Kurani, K. S. (2013). Connecting plug-in vehicles with green electricity through consumer demand. </w:t>
      </w:r>
      <w:r w:rsidRPr="0066304D">
        <w:rPr>
          <w:rFonts w:ascii="Times New Roman" w:hAnsi="Times New Roman"/>
          <w:i/>
          <w:iCs/>
          <w:noProof/>
          <w:sz w:val="24"/>
          <w:szCs w:val="24"/>
        </w:rPr>
        <w:t>Environmental Research Letters</w:t>
      </w:r>
      <w:r w:rsidRPr="0066304D">
        <w:rPr>
          <w:rFonts w:ascii="Times New Roman" w:hAnsi="Times New Roman"/>
          <w:noProof/>
          <w:sz w:val="24"/>
          <w:szCs w:val="24"/>
        </w:rPr>
        <w:t xml:space="preserve">, </w:t>
      </w:r>
      <w:r w:rsidRPr="0066304D">
        <w:rPr>
          <w:rFonts w:ascii="Times New Roman" w:hAnsi="Times New Roman"/>
          <w:i/>
          <w:iCs/>
          <w:noProof/>
          <w:sz w:val="24"/>
          <w:szCs w:val="24"/>
        </w:rPr>
        <w:t>8</w:t>
      </w:r>
      <w:r w:rsidRPr="0066304D">
        <w:rPr>
          <w:rFonts w:ascii="Times New Roman" w:hAnsi="Times New Roman"/>
          <w:noProof/>
          <w:sz w:val="24"/>
          <w:szCs w:val="24"/>
        </w:rPr>
        <w:t>(1), 11. http://doi.org/10.1088/1748-9326/8/1/014045</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BDEW. (2017). Schon 10.700 Ladepunkte in Deutschland [Already 10,700 charging stations in Germany]. Retrieved from https://www.bdew.de/presse/presseinformationen/schon10700-ladepunkte-deutschland/</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Berggreen, J. (2018). It Would Be Virtually Cost Neutral To Lower The Car Taxes In Denmark To Below Current Madness. Retrieved October 15, 2018, from https://cleantechnica.com/2018/04/25/it-would-be-virtually-cost-neutral-to-lower-the-car-taxes-in-denmark-to-below-current-madness/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Bjerkan, K. Y., Nørbech, T. E., &amp; Nordtømme, M. E. (2016). Incentives for promoting Battery Electric Vehicle (BEV) adoption in Norway. </w:t>
      </w:r>
      <w:r w:rsidRPr="0066304D">
        <w:rPr>
          <w:rFonts w:ascii="Times New Roman" w:hAnsi="Times New Roman"/>
          <w:i/>
          <w:iCs/>
          <w:noProof/>
          <w:sz w:val="24"/>
          <w:szCs w:val="24"/>
        </w:rPr>
        <w:t>Transportation Research Part D: Transport and Environment</w:t>
      </w:r>
      <w:r w:rsidRPr="0066304D">
        <w:rPr>
          <w:rFonts w:ascii="Times New Roman" w:hAnsi="Times New Roman"/>
          <w:noProof/>
          <w:sz w:val="24"/>
          <w:szCs w:val="24"/>
        </w:rPr>
        <w:t xml:space="preserve">, </w:t>
      </w:r>
      <w:r w:rsidRPr="0066304D">
        <w:rPr>
          <w:rFonts w:ascii="Times New Roman" w:hAnsi="Times New Roman"/>
          <w:i/>
          <w:iCs/>
          <w:noProof/>
          <w:sz w:val="24"/>
          <w:szCs w:val="24"/>
        </w:rPr>
        <w:t>43</w:t>
      </w:r>
      <w:r w:rsidRPr="0066304D">
        <w:rPr>
          <w:rFonts w:ascii="Times New Roman" w:hAnsi="Times New Roman"/>
          <w:noProof/>
          <w:sz w:val="24"/>
          <w:szCs w:val="24"/>
        </w:rPr>
        <w:t>, 169–180. http://doi.org/10.1016/j.trd.2015.12.002</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BMW Group Austria. (2016). Der BMW i3 Preisliste.</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Book, K. B. (2016). Kelley Blue Book. Retrieved October 15, 2018, from https://www.kbb.com/bmw/i3/2016/</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Bryan, M. L., &amp; Jenkins, S. P. (2016). Multilevel modelling of country effects: A cautionary tale. </w:t>
      </w:r>
      <w:r w:rsidRPr="0066304D">
        <w:rPr>
          <w:rFonts w:ascii="Times New Roman" w:hAnsi="Times New Roman"/>
          <w:i/>
          <w:iCs/>
          <w:noProof/>
          <w:sz w:val="24"/>
          <w:szCs w:val="24"/>
        </w:rPr>
        <w:t>European Sociological Review</w:t>
      </w:r>
      <w:r w:rsidRPr="0066304D">
        <w:rPr>
          <w:rFonts w:ascii="Times New Roman" w:hAnsi="Times New Roman"/>
          <w:noProof/>
          <w:sz w:val="24"/>
          <w:szCs w:val="24"/>
        </w:rPr>
        <w:t xml:space="preserve">, </w:t>
      </w:r>
      <w:r w:rsidRPr="0066304D">
        <w:rPr>
          <w:rFonts w:ascii="Times New Roman" w:hAnsi="Times New Roman"/>
          <w:i/>
          <w:iCs/>
          <w:noProof/>
          <w:sz w:val="24"/>
          <w:szCs w:val="24"/>
        </w:rPr>
        <w:t>32</w:t>
      </w:r>
      <w:r w:rsidRPr="0066304D">
        <w:rPr>
          <w:rFonts w:ascii="Times New Roman" w:hAnsi="Times New Roman"/>
          <w:noProof/>
          <w:sz w:val="24"/>
          <w:szCs w:val="24"/>
        </w:rPr>
        <w:t>(1), 3–22. http://doi.org/10.1093/esr/jcv059</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Bühne, J. A., Gruschwitz, D., Hölscher, J., Klötzke, M., Kugler, U., &amp; Schimeczek, C. (2015). How to promote electromobility for European car drivers? Obstacles to </w:t>
      </w:r>
      <w:r w:rsidRPr="0066304D">
        <w:rPr>
          <w:rFonts w:ascii="Times New Roman" w:hAnsi="Times New Roman"/>
          <w:noProof/>
          <w:sz w:val="24"/>
          <w:szCs w:val="24"/>
        </w:rPr>
        <w:lastRenderedPageBreak/>
        <w:t xml:space="preserve">overcome for a broad market penetration. </w:t>
      </w:r>
      <w:r w:rsidRPr="0066304D">
        <w:rPr>
          <w:rFonts w:ascii="Times New Roman" w:hAnsi="Times New Roman"/>
          <w:i/>
          <w:iCs/>
          <w:noProof/>
          <w:sz w:val="24"/>
          <w:szCs w:val="24"/>
        </w:rPr>
        <w:t>European Transport Research Review</w:t>
      </w:r>
      <w:r w:rsidRPr="0066304D">
        <w:rPr>
          <w:rFonts w:ascii="Times New Roman" w:hAnsi="Times New Roman"/>
          <w:noProof/>
          <w:sz w:val="24"/>
          <w:szCs w:val="24"/>
        </w:rPr>
        <w:t xml:space="preserve">, </w:t>
      </w:r>
      <w:r w:rsidRPr="0066304D">
        <w:rPr>
          <w:rFonts w:ascii="Times New Roman" w:hAnsi="Times New Roman"/>
          <w:i/>
          <w:iCs/>
          <w:noProof/>
          <w:sz w:val="24"/>
          <w:szCs w:val="24"/>
        </w:rPr>
        <w:t>7</w:t>
      </w:r>
      <w:r w:rsidRPr="0066304D">
        <w:rPr>
          <w:rFonts w:ascii="Times New Roman" w:hAnsi="Times New Roman"/>
          <w:noProof/>
          <w:sz w:val="24"/>
          <w:szCs w:val="24"/>
        </w:rPr>
        <w:t>(3). http://doi.org/10.1007/s12544-015-0178-0</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Bunsen, T., Cazzola, P., Gorner, M., Paoli, L., Scheffer, S., Schuitmaker, R., … Teter, J. (2018). </w:t>
      </w:r>
      <w:r w:rsidRPr="0066304D">
        <w:rPr>
          <w:rFonts w:ascii="Times New Roman" w:hAnsi="Times New Roman"/>
          <w:i/>
          <w:iCs/>
          <w:noProof/>
          <w:sz w:val="24"/>
          <w:szCs w:val="24"/>
        </w:rPr>
        <w:t>Global EV Outlook 2018. Towards cross-modal electrification</w:t>
      </w:r>
      <w:r w:rsidRPr="0066304D">
        <w:rPr>
          <w:rFonts w:ascii="Times New Roman" w:hAnsi="Times New Roman"/>
          <w:noProof/>
          <w:sz w:val="24"/>
          <w:szCs w:val="24"/>
        </w:rPr>
        <w:t>. Retrieved from https://webstore.iea.org/download/direct/1045?filename=globalevoutlook2018.pdf</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Carley, S., Krause, R. M., Lane, B. W., &amp; Graham, J. D. (2013). Intent to purchase a plug-in electric vehicle: A survey of early impressions in large US cites. </w:t>
      </w:r>
      <w:r w:rsidRPr="0066304D">
        <w:rPr>
          <w:rFonts w:ascii="Times New Roman" w:hAnsi="Times New Roman"/>
          <w:i/>
          <w:iCs/>
          <w:noProof/>
          <w:sz w:val="24"/>
          <w:szCs w:val="24"/>
        </w:rPr>
        <w:t>Transportation Research Part D: Transport and Environment</w:t>
      </w:r>
      <w:r w:rsidRPr="0066304D">
        <w:rPr>
          <w:rFonts w:ascii="Times New Roman" w:hAnsi="Times New Roman"/>
          <w:noProof/>
          <w:sz w:val="24"/>
          <w:szCs w:val="24"/>
        </w:rPr>
        <w:t xml:space="preserve">, </w:t>
      </w:r>
      <w:r w:rsidRPr="0066304D">
        <w:rPr>
          <w:rFonts w:ascii="Times New Roman" w:hAnsi="Times New Roman"/>
          <w:i/>
          <w:iCs/>
          <w:noProof/>
          <w:sz w:val="24"/>
          <w:szCs w:val="24"/>
        </w:rPr>
        <w:t>18</w:t>
      </w:r>
      <w:r w:rsidRPr="0066304D">
        <w:rPr>
          <w:rFonts w:ascii="Times New Roman" w:hAnsi="Times New Roman"/>
          <w:noProof/>
          <w:sz w:val="24"/>
          <w:szCs w:val="24"/>
        </w:rPr>
        <w:t>(1), 39–45. http://doi.org/10.1016/j.trd.2012.09.007</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Chargemap. (2018). No Title. Retrieved October 15, 2018, from https://chargemap.com/map</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Countryeconomy.com. (2016). United States - New motor vehicle registrations. Retrieved October 15, 2018, from https://countryeconomy.com/business/car-registrations/usa?year=2016</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Department for Transport, &amp; Driver and Vehicle Licensing Agency. (2016). Vehicle licensing statistics: 2016. Retrieved October 15, 2018, from https://www.gov.uk/government/statistics/vehicle-licensing-statistics-2016</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Diamond, D. (2009). The impact of government incentives for hybrid-electric vehicles: Evidence from US states. </w:t>
      </w:r>
      <w:r w:rsidRPr="0066304D">
        <w:rPr>
          <w:rFonts w:ascii="Times New Roman" w:hAnsi="Times New Roman"/>
          <w:i/>
          <w:iCs/>
          <w:noProof/>
          <w:sz w:val="24"/>
          <w:szCs w:val="24"/>
        </w:rPr>
        <w:t>Energy Policy</w:t>
      </w:r>
      <w:r w:rsidRPr="0066304D">
        <w:rPr>
          <w:rFonts w:ascii="Times New Roman" w:hAnsi="Times New Roman"/>
          <w:noProof/>
          <w:sz w:val="24"/>
          <w:szCs w:val="24"/>
        </w:rPr>
        <w:t xml:space="preserve">, </w:t>
      </w:r>
      <w:r w:rsidRPr="0066304D">
        <w:rPr>
          <w:rFonts w:ascii="Times New Roman" w:hAnsi="Times New Roman"/>
          <w:i/>
          <w:iCs/>
          <w:noProof/>
          <w:sz w:val="24"/>
          <w:szCs w:val="24"/>
        </w:rPr>
        <w:t>37</w:t>
      </w:r>
      <w:r w:rsidRPr="0066304D">
        <w:rPr>
          <w:rFonts w:ascii="Times New Roman" w:hAnsi="Times New Roman"/>
          <w:noProof/>
          <w:sz w:val="24"/>
          <w:szCs w:val="24"/>
        </w:rPr>
        <w:t>(3), 972–983. http://doi.org/10.1016/j.enpol.2008.09.094</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Donada, C., &amp; Attias, D. (2015). Food for thought: which organisation and ecosystem governance to boost radical innovation in the electromobility 2.0 industry? </w:t>
      </w:r>
      <w:r w:rsidRPr="0066304D">
        <w:rPr>
          <w:rFonts w:ascii="Times New Roman" w:hAnsi="Times New Roman"/>
          <w:i/>
          <w:iCs/>
          <w:noProof/>
          <w:sz w:val="24"/>
          <w:szCs w:val="24"/>
        </w:rPr>
        <w:t>Int. J. Automotive Technology and Management J. Automotive Technology and Management</w:t>
      </w:r>
      <w:r w:rsidRPr="0066304D">
        <w:rPr>
          <w:rFonts w:ascii="Times New Roman" w:hAnsi="Times New Roman"/>
          <w:noProof/>
          <w:sz w:val="24"/>
          <w:szCs w:val="24"/>
        </w:rPr>
        <w:t xml:space="preserve">, </w:t>
      </w:r>
      <w:r w:rsidRPr="0066304D">
        <w:rPr>
          <w:rFonts w:ascii="Times New Roman" w:hAnsi="Times New Roman"/>
          <w:i/>
          <w:iCs/>
          <w:noProof/>
          <w:sz w:val="24"/>
          <w:szCs w:val="24"/>
        </w:rPr>
        <w:t>15</w:t>
      </w:r>
      <w:r w:rsidRPr="0066304D">
        <w:rPr>
          <w:rFonts w:ascii="Times New Roman" w:hAnsi="Times New Roman"/>
          <w:noProof/>
          <w:sz w:val="24"/>
          <w:szCs w:val="24"/>
        </w:rPr>
        <w:t>(2), 105–125. http://doi.org/10.1504/IJATM.2015.068545</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EAFO. (2018a). No Title. Retrieved October 15, 2018, from http://www.eafo.eu/electric-vehicle-charging-infrastructure</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EAFO. (2018b). No Title. Retrieved October 15, 2018, from https://www.eafo.eu/countries/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EERE. (2016). Find EV Models. Retrieved October 15, 2018, from https://www.energy.gov/eere/electricvehicles/find-electric-vehicle-models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EERE. (2018). Electric Vehicle Charging Station Locations. Retrieved October 15, 2018, from https://afdc.energy.gov/fuels/electricity_locations.html#/find/nearest?fuel=ELEC</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EESI. (2018). Comparing U.S. and Chinese Electric Vehicle Policies. Retrieved October 15, 2018, from https://www.eesi.org/articles/view/comparing-u.s.-and-chinese-electric-vehicle-policies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Egbue, O., &amp; Long, S. (2012). Barriers to widespread adoption of electric vehicles: An analysis of consumer attitudes and perceptions. </w:t>
      </w:r>
      <w:r w:rsidRPr="0066304D">
        <w:rPr>
          <w:rFonts w:ascii="Times New Roman" w:hAnsi="Times New Roman"/>
          <w:i/>
          <w:iCs/>
          <w:noProof/>
          <w:sz w:val="24"/>
          <w:szCs w:val="24"/>
        </w:rPr>
        <w:t>Energy Policy</w:t>
      </w:r>
      <w:r w:rsidRPr="0066304D">
        <w:rPr>
          <w:rFonts w:ascii="Times New Roman" w:hAnsi="Times New Roman"/>
          <w:noProof/>
          <w:sz w:val="24"/>
          <w:szCs w:val="24"/>
        </w:rPr>
        <w:t xml:space="preserve">, </w:t>
      </w:r>
      <w:r w:rsidRPr="0066304D">
        <w:rPr>
          <w:rFonts w:ascii="Times New Roman" w:hAnsi="Times New Roman"/>
          <w:i/>
          <w:iCs/>
          <w:noProof/>
          <w:sz w:val="24"/>
          <w:szCs w:val="24"/>
        </w:rPr>
        <w:t>48</w:t>
      </w:r>
      <w:r w:rsidRPr="0066304D">
        <w:rPr>
          <w:rFonts w:ascii="Times New Roman" w:hAnsi="Times New Roman"/>
          <w:noProof/>
          <w:sz w:val="24"/>
          <w:szCs w:val="24"/>
        </w:rPr>
        <w:t xml:space="preserve">(2012), 717–729. </w:t>
      </w:r>
      <w:r w:rsidRPr="0066304D">
        <w:rPr>
          <w:rFonts w:ascii="Times New Roman" w:hAnsi="Times New Roman"/>
          <w:noProof/>
          <w:sz w:val="24"/>
          <w:szCs w:val="24"/>
        </w:rPr>
        <w:lastRenderedPageBreak/>
        <w:t>http://doi.org/10.1016/j.enpol.2012.06.009</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Eppstein, M. J., Grover, D. K., Marshall, J. S., &amp; Rizzo, D. M. (2011). An agent-based model to study market penetration of plug-in hybrid electric vehicles. </w:t>
      </w:r>
      <w:r w:rsidRPr="0066304D">
        <w:rPr>
          <w:rFonts w:ascii="Times New Roman" w:hAnsi="Times New Roman"/>
          <w:i/>
          <w:iCs/>
          <w:noProof/>
          <w:sz w:val="24"/>
          <w:szCs w:val="24"/>
        </w:rPr>
        <w:t>Energy Policy</w:t>
      </w:r>
      <w:r w:rsidRPr="0066304D">
        <w:rPr>
          <w:rFonts w:ascii="Times New Roman" w:hAnsi="Times New Roman"/>
          <w:noProof/>
          <w:sz w:val="24"/>
          <w:szCs w:val="24"/>
        </w:rPr>
        <w:t xml:space="preserve">, </w:t>
      </w:r>
      <w:r w:rsidRPr="0066304D">
        <w:rPr>
          <w:rFonts w:ascii="Times New Roman" w:hAnsi="Times New Roman"/>
          <w:i/>
          <w:iCs/>
          <w:noProof/>
          <w:sz w:val="24"/>
          <w:szCs w:val="24"/>
        </w:rPr>
        <w:t>39</w:t>
      </w:r>
      <w:r w:rsidRPr="0066304D">
        <w:rPr>
          <w:rFonts w:ascii="Times New Roman" w:hAnsi="Times New Roman"/>
          <w:noProof/>
          <w:sz w:val="24"/>
          <w:szCs w:val="24"/>
        </w:rPr>
        <w:t>, 3789–3802. http://doi.org/10.1016/j.enpol.2011.04.007</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Eurostat. (2018). Electricity prices by type of user. Retrieved October 15, 2018, from https://ec.europa.eu/eurostat/tgm/table.do?tab=table&amp;plugin=1&amp;language=en&amp;pcode=ten00117</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Figenbaum, E., &amp; Kolbenstvedt, M. (2013). </w:t>
      </w:r>
      <w:r w:rsidRPr="0066304D">
        <w:rPr>
          <w:rFonts w:ascii="Times New Roman" w:hAnsi="Times New Roman"/>
          <w:i/>
          <w:iCs/>
          <w:noProof/>
          <w:sz w:val="24"/>
          <w:szCs w:val="24"/>
        </w:rPr>
        <w:t>Electromobility in Norway -experiences and opportunities with Electric vehicles</w:t>
      </w:r>
      <w:r w:rsidRPr="0066304D">
        <w:rPr>
          <w:rFonts w:ascii="Times New Roman" w:hAnsi="Times New Roman"/>
          <w:noProof/>
          <w:sz w:val="24"/>
          <w:szCs w:val="24"/>
        </w:rPr>
        <w:t>. Oslo.</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Figenbaum, E., &amp; Kolbenstvedt, M. (2015). </w:t>
      </w:r>
      <w:r w:rsidRPr="0066304D">
        <w:rPr>
          <w:rFonts w:ascii="Times New Roman" w:hAnsi="Times New Roman"/>
          <w:i/>
          <w:iCs/>
          <w:noProof/>
          <w:sz w:val="24"/>
          <w:szCs w:val="24"/>
        </w:rPr>
        <w:t>Pathways to electromobility-perspectives based on Norwegian experiences</w:t>
      </w:r>
      <w:r w:rsidRPr="0066304D">
        <w:rPr>
          <w:rFonts w:ascii="Times New Roman" w:hAnsi="Times New Roman"/>
          <w:noProof/>
          <w:sz w:val="24"/>
          <w:szCs w:val="24"/>
        </w:rPr>
        <w:t>. Oslo.</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Flom, P. L., &amp; Cassell, D. L. (2009). Stopping stepwise : Why stepwise and similar selection methods are bad , and what you should use. http://doi.org/10.1.1.110.8353</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Gelman, A. (2006). Multilevel (hierarchical) modeling: What It can and cannot do. </w:t>
      </w:r>
      <w:r w:rsidRPr="0066304D">
        <w:rPr>
          <w:rFonts w:ascii="Times New Roman" w:hAnsi="Times New Roman"/>
          <w:i/>
          <w:iCs/>
          <w:noProof/>
          <w:sz w:val="24"/>
          <w:szCs w:val="24"/>
        </w:rPr>
        <w:t>Technometrics</w:t>
      </w:r>
      <w:r w:rsidRPr="0066304D">
        <w:rPr>
          <w:rFonts w:ascii="Times New Roman" w:hAnsi="Times New Roman"/>
          <w:noProof/>
          <w:sz w:val="24"/>
          <w:szCs w:val="24"/>
        </w:rPr>
        <w:t xml:space="preserve">, </w:t>
      </w:r>
      <w:r w:rsidRPr="0066304D">
        <w:rPr>
          <w:rFonts w:ascii="Times New Roman" w:hAnsi="Times New Roman"/>
          <w:i/>
          <w:iCs/>
          <w:noProof/>
          <w:sz w:val="24"/>
          <w:szCs w:val="24"/>
        </w:rPr>
        <w:t>48</w:t>
      </w:r>
      <w:r w:rsidRPr="0066304D">
        <w:rPr>
          <w:rFonts w:ascii="Times New Roman" w:hAnsi="Times New Roman"/>
          <w:noProof/>
          <w:sz w:val="24"/>
          <w:szCs w:val="24"/>
        </w:rPr>
        <w:t>(3), 432–435. http://doi.org/10.1198/004017005000000661</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Gomoll, W. (2016). BMW i3 94Ah: Stärkere Akkus und mehr Reichweite [BMW i3 94Ah: Stronger batteries and more range]. </w:t>
      </w:r>
      <w:r w:rsidRPr="0066304D">
        <w:rPr>
          <w:rFonts w:ascii="Times New Roman" w:hAnsi="Times New Roman"/>
          <w:i/>
          <w:iCs/>
          <w:noProof/>
          <w:sz w:val="24"/>
          <w:szCs w:val="24"/>
        </w:rPr>
        <w:t>Autorevie.At</w:t>
      </w:r>
      <w:r w:rsidRPr="0066304D">
        <w:rPr>
          <w:rFonts w:ascii="Times New Roman" w:hAnsi="Times New Roman"/>
          <w:noProof/>
          <w:sz w:val="24"/>
          <w:szCs w:val="24"/>
        </w:rPr>
        <w:t>. Retrieved from https://autorevue.at/autowelt/bmw-i3-94ah-reichweite</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Graham-Rowe, E., Gardner, B., Abraham, C., Skippon, S., Dittmar, H., Hutchins, R., &amp; Stannard, J. (2012). Mainstream consumers driving plug-in battery-electric and plug-in hybrid electric cars: A qualitative analysis of responses and evaluations. </w:t>
      </w:r>
      <w:r w:rsidRPr="0066304D">
        <w:rPr>
          <w:rFonts w:ascii="Times New Roman" w:hAnsi="Times New Roman"/>
          <w:i/>
          <w:iCs/>
          <w:noProof/>
          <w:sz w:val="24"/>
          <w:szCs w:val="24"/>
        </w:rPr>
        <w:t>Transportation Research Part A: Policy and Practice</w:t>
      </w:r>
      <w:r w:rsidRPr="0066304D">
        <w:rPr>
          <w:rFonts w:ascii="Times New Roman" w:hAnsi="Times New Roman"/>
          <w:noProof/>
          <w:sz w:val="24"/>
          <w:szCs w:val="24"/>
        </w:rPr>
        <w:t xml:space="preserve">, </w:t>
      </w:r>
      <w:r w:rsidRPr="0066304D">
        <w:rPr>
          <w:rFonts w:ascii="Times New Roman" w:hAnsi="Times New Roman"/>
          <w:i/>
          <w:iCs/>
          <w:noProof/>
          <w:sz w:val="24"/>
          <w:szCs w:val="24"/>
        </w:rPr>
        <w:t>46</w:t>
      </w:r>
      <w:r w:rsidRPr="0066304D">
        <w:rPr>
          <w:rFonts w:ascii="Times New Roman" w:hAnsi="Times New Roman"/>
          <w:noProof/>
          <w:sz w:val="24"/>
          <w:szCs w:val="24"/>
        </w:rPr>
        <w:t>(1), 140–153. http://doi.org/10.1016/j.tra.2011.09.008</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Green, E. H., Skerlos, S. J., &amp; Winebrake, J. J. (2014). Increasing electric vehicle policy efficiency and effectiveness by reducing mainstream market bias. </w:t>
      </w:r>
      <w:r w:rsidRPr="0066304D">
        <w:rPr>
          <w:rFonts w:ascii="Times New Roman" w:hAnsi="Times New Roman"/>
          <w:i/>
          <w:iCs/>
          <w:noProof/>
          <w:sz w:val="24"/>
          <w:szCs w:val="24"/>
        </w:rPr>
        <w:t>Energy Policy</w:t>
      </w:r>
      <w:r w:rsidRPr="0066304D">
        <w:rPr>
          <w:rFonts w:ascii="Times New Roman" w:hAnsi="Times New Roman"/>
          <w:noProof/>
          <w:sz w:val="24"/>
          <w:szCs w:val="24"/>
        </w:rPr>
        <w:t xml:space="preserve">, </w:t>
      </w:r>
      <w:r w:rsidRPr="0066304D">
        <w:rPr>
          <w:rFonts w:ascii="Times New Roman" w:hAnsi="Times New Roman"/>
          <w:i/>
          <w:iCs/>
          <w:noProof/>
          <w:sz w:val="24"/>
          <w:szCs w:val="24"/>
        </w:rPr>
        <w:t>65</w:t>
      </w:r>
      <w:r w:rsidRPr="0066304D">
        <w:rPr>
          <w:rFonts w:ascii="Times New Roman" w:hAnsi="Times New Roman"/>
          <w:noProof/>
          <w:sz w:val="24"/>
          <w:szCs w:val="24"/>
        </w:rPr>
        <w:t>, 562–566. http://doi.org/10.1016/j.enpol.2013.10.024</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Helveston, J. P., Liu, Y., Feit, E. M. D., Fuchs, E., Klampfl, E., &amp; Michalek, J. J. (2015). Will subsidies drive electric vehicle adoption? Measuring consumer preferences in the U.S. and China. </w:t>
      </w:r>
      <w:r w:rsidRPr="0066304D">
        <w:rPr>
          <w:rFonts w:ascii="Times New Roman" w:hAnsi="Times New Roman"/>
          <w:i/>
          <w:iCs/>
          <w:noProof/>
          <w:sz w:val="24"/>
          <w:szCs w:val="24"/>
        </w:rPr>
        <w:t>Transportation Research Part A: Policy and Practice</w:t>
      </w:r>
      <w:r w:rsidRPr="0066304D">
        <w:rPr>
          <w:rFonts w:ascii="Times New Roman" w:hAnsi="Times New Roman"/>
          <w:noProof/>
          <w:sz w:val="24"/>
          <w:szCs w:val="24"/>
        </w:rPr>
        <w:t xml:space="preserve">, </w:t>
      </w:r>
      <w:r w:rsidRPr="0066304D">
        <w:rPr>
          <w:rFonts w:ascii="Times New Roman" w:hAnsi="Times New Roman"/>
          <w:i/>
          <w:iCs/>
          <w:noProof/>
          <w:sz w:val="24"/>
          <w:szCs w:val="24"/>
        </w:rPr>
        <w:t>73</w:t>
      </w:r>
      <w:r w:rsidRPr="0066304D">
        <w:rPr>
          <w:rFonts w:ascii="Times New Roman" w:hAnsi="Times New Roman"/>
          <w:noProof/>
          <w:sz w:val="24"/>
          <w:szCs w:val="24"/>
        </w:rPr>
        <w:t>, 96–112. http://doi.org/10.1016/j.tra.2015.01.002</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Hidrue, M. K., Parsons, G. R., Kempton, W., &amp; Gardner, M. P. (2011). Willingness to pay for electric vehicles and their attributes. </w:t>
      </w:r>
      <w:r w:rsidRPr="0066304D">
        <w:rPr>
          <w:rFonts w:ascii="Times New Roman" w:hAnsi="Times New Roman"/>
          <w:i/>
          <w:iCs/>
          <w:noProof/>
          <w:sz w:val="24"/>
          <w:szCs w:val="24"/>
        </w:rPr>
        <w:t>Resource and Energy Economics</w:t>
      </w:r>
      <w:r w:rsidRPr="0066304D">
        <w:rPr>
          <w:rFonts w:ascii="Times New Roman" w:hAnsi="Times New Roman"/>
          <w:noProof/>
          <w:sz w:val="24"/>
          <w:szCs w:val="24"/>
        </w:rPr>
        <w:t xml:space="preserve">, </w:t>
      </w:r>
      <w:r w:rsidRPr="0066304D">
        <w:rPr>
          <w:rFonts w:ascii="Times New Roman" w:hAnsi="Times New Roman"/>
          <w:i/>
          <w:iCs/>
          <w:noProof/>
          <w:sz w:val="24"/>
          <w:szCs w:val="24"/>
        </w:rPr>
        <w:t>33</w:t>
      </w:r>
      <w:r w:rsidRPr="0066304D">
        <w:rPr>
          <w:rFonts w:ascii="Times New Roman" w:hAnsi="Times New Roman"/>
          <w:noProof/>
          <w:sz w:val="24"/>
          <w:szCs w:val="24"/>
        </w:rPr>
        <w:t>(3), 686–705. http://doi.org/10.1016/j.reseneeco.2011.02.002</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Hiltscher, B. (2017). Ab 36.150 Euro mehr Strecke im i3 [i3 with more driving range from 36,150 euros]. </w:t>
      </w:r>
      <w:r w:rsidRPr="0066304D">
        <w:rPr>
          <w:rFonts w:ascii="Times New Roman" w:hAnsi="Times New Roman"/>
          <w:i/>
          <w:iCs/>
          <w:noProof/>
          <w:sz w:val="24"/>
          <w:szCs w:val="24"/>
        </w:rPr>
        <w:t>Autozeitung.De</w:t>
      </w:r>
      <w:r w:rsidRPr="0066304D">
        <w:rPr>
          <w:rFonts w:ascii="Times New Roman" w:hAnsi="Times New Roman"/>
          <w:noProof/>
          <w:sz w:val="24"/>
          <w:szCs w:val="24"/>
        </w:rPr>
        <w:t>. Retrieved from https://www.autozeitung.de/bmw-i3-2016-update-127746.html#</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ICCT. (2014). Overview of vehicle taxation schemes (including incentives for electric vehicles). Retrieved October 15, 2018, from https://www.cesifo-group.de/ifoHome/facts/DICE/Infrastructure/Transportation/General-Transport-</w:t>
      </w:r>
      <w:r w:rsidRPr="0066304D">
        <w:rPr>
          <w:rFonts w:ascii="Times New Roman" w:hAnsi="Times New Roman"/>
          <w:noProof/>
          <w:sz w:val="24"/>
          <w:szCs w:val="24"/>
        </w:rPr>
        <w:lastRenderedPageBreak/>
        <w:t>Policy/overview-vehicle-taxation-scheme/fileBinary/Overview-vehicle-taxation-schemes.pdf</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IEA. (2013). </w:t>
      </w:r>
      <w:r w:rsidRPr="0066304D">
        <w:rPr>
          <w:rFonts w:ascii="Times New Roman" w:hAnsi="Times New Roman"/>
          <w:i/>
          <w:iCs/>
          <w:noProof/>
          <w:sz w:val="24"/>
          <w:szCs w:val="24"/>
        </w:rPr>
        <w:t>Global EV Outlook: Understanding the Electric Vehicle Landscape to 2020</w:t>
      </w:r>
      <w:r w:rsidRPr="0066304D">
        <w:rPr>
          <w:rFonts w:ascii="Times New Roman" w:hAnsi="Times New Roman"/>
          <w:noProof/>
          <w:sz w:val="24"/>
          <w:szCs w:val="24"/>
        </w:rPr>
        <w:t xml:space="preserve">. </w:t>
      </w:r>
      <w:r w:rsidRPr="0066304D">
        <w:rPr>
          <w:rFonts w:ascii="Times New Roman" w:hAnsi="Times New Roman"/>
          <w:i/>
          <w:iCs/>
          <w:noProof/>
          <w:sz w:val="24"/>
          <w:szCs w:val="24"/>
        </w:rPr>
        <w:t>IEA publications</w:t>
      </w:r>
      <w:r w:rsidRPr="0066304D">
        <w:rPr>
          <w:rFonts w:ascii="Times New Roman" w:hAnsi="Times New Roman"/>
          <w:noProof/>
          <w:sz w:val="24"/>
          <w:szCs w:val="24"/>
        </w:rPr>
        <w:t>. Paris.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IEA. (2017). </w:t>
      </w:r>
      <w:r w:rsidRPr="0066304D">
        <w:rPr>
          <w:rFonts w:ascii="Times New Roman" w:hAnsi="Times New Roman"/>
          <w:i/>
          <w:iCs/>
          <w:noProof/>
          <w:sz w:val="24"/>
          <w:szCs w:val="24"/>
        </w:rPr>
        <w:t>Energy Technology Perspectives 2017</w:t>
      </w:r>
      <w:r w:rsidRPr="0066304D">
        <w:rPr>
          <w:rFonts w:ascii="Times New Roman" w:hAnsi="Times New Roman"/>
          <w:noProof/>
          <w:sz w:val="24"/>
          <w:szCs w:val="24"/>
        </w:rPr>
        <w:t xml:space="preserve">. </w:t>
      </w:r>
      <w:r w:rsidRPr="0066304D">
        <w:rPr>
          <w:rFonts w:ascii="Times New Roman" w:hAnsi="Times New Roman"/>
          <w:i/>
          <w:iCs/>
          <w:noProof/>
          <w:sz w:val="24"/>
          <w:szCs w:val="24"/>
        </w:rPr>
        <w:t>Technology</w:t>
      </w:r>
      <w:r w:rsidRPr="0066304D">
        <w:rPr>
          <w:rFonts w:ascii="Times New Roman" w:hAnsi="Times New Roman"/>
          <w:noProof/>
          <w:sz w:val="24"/>
          <w:szCs w:val="24"/>
        </w:rPr>
        <w:t>.</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Kane, M. (2017). Denmark Plug-In Vehicles Sales Tank As Subsidies Vanish. Retrieved October 15, 2018, from https://insideevs.com/denmark-electric-car-sales-tank-as-subsidies-vanish/</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Keith, D. R. (2012). </w:t>
      </w:r>
      <w:r w:rsidRPr="0066304D">
        <w:rPr>
          <w:rFonts w:ascii="Times New Roman" w:hAnsi="Times New Roman"/>
          <w:i/>
          <w:iCs/>
          <w:noProof/>
          <w:sz w:val="24"/>
          <w:szCs w:val="24"/>
        </w:rPr>
        <w:t>Essays on the Dynamics of Alternative Fuel Vehicle Adoption: Insights from the Market for Hybrid-Electric Vehicles in the United States</w:t>
      </w:r>
      <w:r w:rsidRPr="0066304D">
        <w:rPr>
          <w:rFonts w:ascii="Times New Roman" w:hAnsi="Times New Roman"/>
          <w:noProof/>
          <w:sz w:val="24"/>
          <w:szCs w:val="24"/>
        </w:rPr>
        <w:t xml:space="preserve">. </w:t>
      </w:r>
      <w:r w:rsidRPr="0066304D">
        <w:rPr>
          <w:rFonts w:ascii="Times New Roman" w:hAnsi="Times New Roman"/>
          <w:i/>
          <w:iCs/>
          <w:noProof/>
          <w:sz w:val="24"/>
          <w:szCs w:val="24"/>
        </w:rPr>
        <w:t>ProQuest Dissertations and Theses</w:t>
      </w:r>
      <w:r w:rsidRPr="0066304D">
        <w:rPr>
          <w:rFonts w:ascii="Times New Roman" w:hAnsi="Times New Roman"/>
          <w:noProof/>
          <w:sz w:val="24"/>
          <w:szCs w:val="24"/>
        </w:rPr>
        <w:t>. Massachusetts Institute of Technology.</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Kim, S., &amp; Yang, Z. (2016). Promoting electric vehicles in Korea. Retrieved October 15, 2018, from https://www.theicct.org/blogs/staff/promoting-electric-vehicles-in-korea</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Korsvoll, R. (2016). Dette er Norges billigste biler [These are Norway’s cheapest cars]. </w:t>
      </w:r>
      <w:r w:rsidRPr="0066304D">
        <w:rPr>
          <w:rFonts w:ascii="Times New Roman" w:hAnsi="Times New Roman"/>
          <w:i/>
          <w:iCs/>
          <w:noProof/>
          <w:sz w:val="24"/>
          <w:szCs w:val="24"/>
        </w:rPr>
        <w:t>Motor.No</w:t>
      </w:r>
      <w:r w:rsidRPr="0066304D">
        <w:rPr>
          <w:rFonts w:ascii="Times New Roman" w:hAnsi="Times New Roman"/>
          <w:noProof/>
          <w:sz w:val="24"/>
          <w:szCs w:val="24"/>
        </w:rPr>
        <w:t>. Retrieved from https://www.motor.no/artikler/2016/mai/slik-sparer-du-30.000-i-bilregnskapet/</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Kroese, B. (2017, September). BMW plakt prijskaartjes op vernieuwde i3 [BMW puts price tags on renewed i3]. </w:t>
      </w:r>
      <w:r w:rsidRPr="0066304D">
        <w:rPr>
          <w:rFonts w:ascii="Times New Roman" w:hAnsi="Times New Roman"/>
          <w:i/>
          <w:iCs/>
          <w:noProof/>
          <w:sz w:val="24"/>
          <w:szCs w:val="24"/>
        </w:rPr>
        <w:t>Autokopen.Nl</w:t>
      </w:r>
      <w:r w:rsidRPr="0066304D">
        <w:rPr>
          <w:rFonts w:ascii="Times New Roman" w:hAnsi="Times New Roman"/>
          <w:noProof/>
          <w:sz w:val="24"/>
          <w:szCs w:val="24"/>
        </w:rPr>
        <w:t>. Retrieved from https://www.autokopen.nl/autonieuws/2017/september/43624-bmw-plakt-prijskaartjes-op-vernieuwde-i3</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Lieven, T. (2015). Policy measures to promote electric mobility - A global perspective. </w:t>
      </w:r>
      <w:r w:rsidRPr="0066304D">
        <w:rPr>
          <w:rFonts w:ascii="Times New Roman" w:hAnsi="Times New Roman"/>
          <w:i/>
          <w:iCs/>
          <w:noProof/>
          <w:sz w:val="24"/>
          <w:szCs w:val="24"/>
        </w:rPr>
        <w:t>Transportation Research Part A: Policy and Practice</w:t>
      </w:r>
      <w:r w:rsidRPr="0066304D">
        <w:rPr>
          <w:rFonts w:ascii="Times New Roman" w:hAnsi="Times New Roman"/>
          <w:noProof/>
          <w:sz w:val="24"/>
          <w:szCs w:val="24"/>
        </w:rPr>
        <w:t xml:space="preserve">, </w:t>
      </w:r>
      <w:r w:rsidRPr="0066304D">
        <w:rPr>
          <w:rFonts w:ascii="Times New Roman" w:hAnsi="Times New Roman"/>
          <w:i/>
          <w:iCs/>
          <w:noProof/>
          <w:sz w:val="24"/>
          <w:szCs w:val="24"/>
        </w:rPr>
        <w:t>82</w:t>
      </w:r>
      <w:r w:rsidRPr="0066304D">
        <w:rPr>
          <w:rFonts w:ascii="Times New Roman" w:hAnsi="Times New Roman"/>
          <w:noProof/>
          <w:sz w:val="24"/>
          <w:szCs w:val="24"/>
        </w:rPr>
        <w:t>, 78–93. http://doi.org/10.1016/j.tra.2015.09.008</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Lieven, T., Mühlmeier, S., Henkel, S., &amp; Waller, J. F. (2011). Who will buy electric cars? An empirical study in Germany. </w:t>
      </w:r>
      <w:r w:rsidRPr="0066304D">
        <w:rPr>
          <w:rFonts w:ascii="Times New Roman" w:hAnsi="Times New Roman"/>
          <w:i/>
          <w:iCs/>
          <w:noProof/>
          <w:sz w:val="24"/>
          <w:szCs w:val="24"/>
        </w:rPr>
        <w:t>Transportation Research Part D: Transport and Environment</w:t>
      </w:r>
      <w:r w:rsidRPr="0066304D">
        <w:rPr>
          <w:rFonts w:ascii="Times New Roman" w:hAnsi="Times New Roman"/>
          <w:noProof/>
          <w:sz w:val="24"/>
          <w:szCs w:val="24"/>
        </w:rPr>
        <w:t xml:space="preserve">, </w:t>
      </w:r>
      <w:r w:rsidRPr="0066304D">
        <w:rPr>
          <w:rFonts w:ascii="Times New Roman" w:hAnsi="Times New Roman"/>
          <w:i/>
          <w:iCs/>
          <w:noProof/>
          <w:sz w:val="24"/>
          <w:szCs w:val="24"/>
        </w:rPr>
        <w:t>16</w:t>
      </w:r>
      <w:r w:rsidRPr="0066304D">
        <w:rPr>
          <w:rFonts w:ascii="Times New Roman" w:hAnsi="Times New Roman"/>
          <w:noProof/>
          <w:sz w:val="24"/>
          <w:szCs w:val="24"/>
        </w:rPr>
        <w:t>(3), 236–243. http://doi.org/10.1016/j.trd.2010.12.001</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Lutsey, N. (2015). </w:t>
      </w:r>
      <w:r w:rsidRPr="0066304D">
        <w:rPr>
          <w:rFonts w:ascii="Times New Roman" w:hAnsi="Times New Roman"/>
          <w:i/>
          <w:iCs/>
          <w:noProof/>
          <w:sz w:val="24"/>
          <w:szCs w:val="24"/>
        </w:rPr>
        <w:t>Transition to a global zero-emission vehicle fleet: a collaborative agenda for governments</w:t>
      </w:r>
      <w:r w:rsidRPr="0066304D">
        <w:rPr>
          <w:rFonts w:ascii="Times New Roman" w:hAnsi="Times New Roman"/>
          <w:noProof/>
          <w:sz w:val="24"/>
          <w:szCs w:val="24"/>
        </w:rPr>
        <w:t xml:space="preserve">. </w:t>
      </w:r>
      <w:r w:rsidRPr="0066304D">
        <w:rPr>
          <w:rFonts w:ascii="Times New Roman" w:hAnsi="Times New Roman"/>
          <w:i/>
          <w:iCs/>
          <w:noProof/>
          <w:sz w:val="24"/>
          <w:szCs w:val="24"/>
        </w:rPr>
        <w:t>The International Council on Clean Transportation</w:t>
      </w:r>
      <w:r w:rsidRPr="0066304D">
        <w:rPr>
          <w:rFonts w:ascii="Times New Roman" w:hAnsi="Times New Roman"/>
          <w:noProof/>
          <w:sz w:val="24"/>
          <w:szCs w:val="24"/>
        </w:rPr>
        <w:t>. Washington.</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Mersky, A. C., Sprei, F., Samaras, C., &amp; Qian, Z. S. (2016). Effectiveness of incentives on electric vehicle adoption in Norway. </w:t>
      </w:r>
      <w:r w:rsidRPr="0066304D">
        <w:rPr>
          <w:rFonts w:ascii="Times New Roman" w:hAnsi="Times New Roman"/>
          <w:i/>
          <w:iCs/>
          <w:noProof/>
          <w:sz w:val="24"/>
          <w:szCs w:val="24"/>
        </w:rPr>
        <w:t>Transportation Research Part D: Transport and Environment</w:t>
      </w:r>
      <w:r w:rsidRPr="0066304D">
        <w:rPr>
          <w:rFonts w:ascii="Times New Roman" w:hAnsi="Times New Roman"/>
          <w:noProof/>
          <w:sz w:val="24"/>
          <w:szCs w:val="24"/>
        </w:rPr>
        <w:t xml:space="preserve">, </w:t>
      </w:r>
      <w:r w:rsidRPr="0066304D">
        <w:rPr>
          <w:rFonts w:ascii="Times New Roman" w:hAnsi="Times New Roman"/>
          <w:i/>
          <w:iCs/>
          <w:noProof/>
          <w:sz w:val="24"/>
          <w:szCs w:val="24"/>
        </w:rPr>
        <w:t>46</w:t>
      </w:r>
      <w:r w:rsidRPr="0066304D">
        <w:rPr>
          <w:rFonts w:ascii="Times New Roman" w:hAnsi="Times New Roman"/>
          <w:noProof/>
          <w:sz w:val="24"/>
          <w:szCs w:val="24"/>
        </w:rPr>
        <w:t>, 56–68. http://doi.org/10.1016/j.trd.2016.03.011</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Ministry of Economy Trade and Industry. (2018). </w:t>
      </w:r>
      <w:r w:rsidRPr="0066304D">
        <w:rPr>
          <w:rFonts w:ascii="MS Mincho" w:eastAsia="MS Mincho" w:hAnsi="MS Mincho" w:cs="MS Mincho" w:hint="eastAsia"/>
          <w:noProof/>
          <w:sz w:val="24"/>
          <w:szCs w:val="24"/>
        </w:rPr>
        <w:t>クリーンエネルギー自動車等導入促進対策費補助金</w:t>
      </w:r>
      <w:r w:rsidRPr="0066304D">
        <w:rPr>
          <w:rFonts w:ascii="Times New Roman" w:hAnsi="Times New Roman"/>
          <w:noProof/>
          <w:sz w:val="24"/>
          <w:szCs w:val="24"/>
        </w:rPr>
        <w:t xml:space="preserve"> [Subsidies to promote clean energy]. Retrieved October 15, 2018, from http://www.meti.go.jp/policy/automobile/evphv/information/system.html</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Planete Energies. (2017). </w:t>
      </w:r>
      <w:r w:rsidRPr="0066304D">
        <w:rPr>
          <w:rFonts w:ascii="Times New Roman" w:hAnsi="Times New Roman"/>
          <w:i/>
          <w:iCs/>
          <w:noProof/>
          <w:sz w:val="24"/>
          <w:szCs w:val="24"/>
        </w:rPr>
        <w:t>Sustainable mobility</w:t>
      </w:r>
      <w:r w:rsidRPr="0066304D">
        <w:rPr>
          <w:rFonts w:ascii="Times New Roman" w:hAnsi="Times New Roman"/>
          <w:noProof/>
          <w:sz w:val="24"/>
          <w:szCs w:val="24"/>
        </w:rPr>
        <w:t>. Retrieved from https://www.planete-energies.com/en/medias/close/global-transportation-sector-co2-emissions-rise</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Pod point. (2018). Company Electric Car Tax. Retrieved from https://pod-</w:t>
      </w:r>
      <w:r w:rsidRPr="0066304D">
        <w:rPr>
          <w:rFonts w:ascii="Times New Roman" w:hAnsi="Times New Roman"/>
          <w:noProof/>
          <w:sz w:val="24"/>
          <w:szCs w:val="24"/>
        </w:rPr>
        <w:lastRenderedPageBreak/>
        <w:t>point.com/landing-pages/company-electric-car-tax</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Pontes, J. (2016). EV Sales. Retrieved October 15, 2018, from http://ev-sales.blogspot.com/2016/</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Pressman, M. (2017). Electric Car Incentives In Norway, UK, France, Germany, Netherlands, &amp; Belgium. Retrieved October 15, 2018, from https://cleantechnica.com/2017/09/02/electric-car-incentives-norway-uk-france-germany-netherlands-belgium/</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PWC. (2015). 2015 Global Automotive Tax Guide. Retrieved October 15, 2018, from https://www.pwc.com/gx/en/automotive/pdf/pwc-global-automotive-tax-guide-2015.pdf</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PWC. (2017). Company car benefit in kind calculation. Retrieved October 15, 2018, from https://news.pwc.be/company-car-benefit-in-kind-calculation/</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Sainani, K. L. (2013). Multivariate Regression: The Pitfalls of Automated Variable Selection. </w:t>
      </w:r>
      <w:r w:rsidRPr="0066304D">
        <w:rPr>
          <w:rFonts w:ascii="Times New Roman" w:hAnsi="Times New Roman"/>
          <w:i/>
          <w:iCs/>
          <w:noProof/>
          <w:sz w:val="24"/>
          <w:szCs w:val="24"/>
        </w:rPr>
        <w:t>PM and R</w:t>
      </w:r>
      <w:r w:rsidRPr="0066304D">
        <w:rPr>
          <w:rFonts w:ascii="Times New Roman" w:hAnsi="Times New Roman"/>
          <w:noProof/>
          <w:sz w:val="24"/>
          <w:szCs w:val="24"/>
        </w:rPr>
        <w:t xml:space="preserve">, </w:t>
      </w:r>
      <w:r w:rsidRPr="0066304D">
        <w:rPr>
          <w:rFonts w:ascii="Times New Roman" w:hAnsi="Times New Roman"/>
          <w:i/>
          <w:iCs/>
          <w:noProof/>
          <w:sz w:val="24"/>
          <w:szCs w:val="24"/>
        </w:rPr>
        <w:t>5</w:t>
      </w:r>
      <w:r w:rsidRPr="0066304D">
        <w:rPr>
          <w:rFonts w:ascii="Times New Roman" w:hAnsi="Times New Roman"/>
          <w:noProof/>
          <w:sz w:val="24"/>
          <w:szCs w:val="24"/>
        </w:rPr>
        <w:t>, 791–794. http://doi.org/10.1016/j.pmrj.2013.07.007</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Sierzchula, W., Bakker, S., Maat, K., &amp; Wee, B. Van. (2014). The influence of financial incentives and other socio-economic factors on electric vehicle adoption. </w:t>
      </w:r>
      <w:r w:rsidRPr="0066304D">
        <w:rPr>
          <w:rFonts w:ascii="Times New Roman" w:hAnsi="Times New Roman"/>
          <w:i/>
          <w:iCs/>
          <w:noProof/>
          <w:sz w:val="24"/>
          <w:szCs w:val="24"/>
        </w:rPr>
        <w:t>Energy Policy</w:t>
      </w:r>
      <w:r w:rsidRPr="0066304D">
        <w:rPr>
          <w:rFonts w:ascii="Times New Roman" w:hAnsi="Times New Roman"/>
          <w:noProof/>
          <w:sz w:val="24"/>
          <w:szCs w:val="24"/>
        </w:rPr>
        <w:t xml:space="preserve">, </w:t>
      </w:r>
      <w:r w:rsidRPr="0066304D">
        <w:rPr>
          <w:rFonts w:ascii="Times New Roman" w:hAnsi="Times New Roman"/>
          <w:i/>
          <w:iCs/>
          <w:noProof/>
          <w:sz w:val="24"/>
          <w:szCs w:val="24"/>
        </w:rPr>
        <w:t>68</w:t>
      </w:r>
      <w:r w:rsidRPr="0066304D">
        <w:rPr>
          <w:rFonts w:ascii="Times New Roman" w:hAnsi="Times New Roman"/>
          <w:noProof/>
          <w:sz w:val="24"/>
          <w:szCs w:val="24"/>
        </w:rPr>
        <w:t>, 183–194. http://doi.org/10.1016/j.enpol.2014.01.043</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Skippon, S., &amp; Garwood, M. (2011). Responses to battery electric vehicles: UK consumer attitudes and attributions of symbolic meaning following direct experience to reduce psychological distance. </w:t>
      </w:r>
      <w:r w:rsidRPr="0066304D">
        <w:rPr>
          <w:rFonts w:ascii="Times New Roman" w:hAnsi="Times New Roman"/>
          <w:i/>
          <w:iCs/>
          <w:noProof/>
          <w:sz w:val="24"/>
          <w:szCs w:val="24"/>
        </w:rPr>
        <w:t>Transportation Research Part D: Transport and Environment</w:t>
      </w:r>
      <w:r w:rsidRPr="0066304D">
        <w:rPr>
          <w:rFonts w:ascii="Times New Roman" w:hAnsi="Times New Roman"/>
          <w:noProof/>
          <w:sz w:val="24"/>
          <w:szCs w:val="24"/>
        </w:rPr>
        <w:t xml:space="preserve">, </w:t>
      </w:r>
      <w:r w:rsidRPr="0066304D">
        <w:rPr>
          <w:rFonts w:ascii="Times New Roman" w:hAnsi="Times New Roman"/>
          <w:i/>
          <w:iCs/>
          <w:noProof/>
          <w:sz w:val="24"/>
          <w:szCs w:val="24"/>
        </w:rPr>
        <w:t>16</w:t>
      </w:r>
      <w:r w:rsidRPr="0066304D">
        <w:rPr>
          <w:rFonts w:ascii="Times New Roman" w:hAnsi="Times New Roman"/>
          <w:noProof/>
          <w:sz w:val="24"/>
          <w:szCs w:val="24"/>
        </w:rPr>
        <w:t>(7), 525–531. http://doi.org/10.1016/j.trd.2011.05.005</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Statista. (2017). Number of new vehicle registrations in China from 2007 to 2017 (in millions). Retrieved October 15, 2018, from https://www.statista.com/statistics/278436/new-vehicle-registration-in-china/</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Statista. (2018a). Estimated number of electric vehicle charging stations in South Korea from 2016 to 2020. Retrieved October 15, 2018, from https://www.statista.com/statistics/813542/south-korea-estimated-electric-vehicle-charging-station-number/</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Statista. (2018b). Number of publicly available fast electric vehicle chargers (EVSE) in Canada from 2012 to 2017 (in units). Retrieved October 15, 2018, from https://www.statista.com/statistics/572022/number-of-publicly-available-fast-electric-vehicle-chargers-in-canada/</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Stock, J. H., &amp; Watson, M. M. (2015). </w:t>
      </w:r>
      <w:r w:rsidRPr="0066304D">
        <w:rPr>
          <w:rFonts w:ascii="Times New Roman" w:hAnsi="Times New Roman"/>
          <w:i/>
          <w:iCs/>
          <w:noProof/>
          <w:sz w:val="24"/>
          <w:szCs w:val="24"/>
        </w:rPr>
        <w:t>Introduction to Econometrics</w:t>
      </w:r>
      <w:r w:rsidRPr="0066304D">
        <w:rPr>
          <w:rFonts w:ascii="Times New Roman" w:hAnsi="Times New Roman"/>
          <w:noProof/>
          <w:sz w:val="24"/>
          <w:szCs w:val="24"/>
        </w:rPr>
        <w:t xml:space="preserve">. </w:t>
      </w:r>
      <w:r w:rsidRPr="0066304D">
        <w:rPr>
          <w:rFonts w:ascii="Times New Roman" w:hAnsi="Times New Roman"/>
          <w:i/>
          <w:iCs/>
          <w:noProof/>
          <w:sz w:val="24"/>
          <w:szCs w:val="24"/>
        </w:rPr>
        <w:t>Pearson</w:t>
      </w:r>
      <w:r w:rsidRPr="0066304D">
        <w:rPr>
          <w:rFonts w:ascii="Times New Roman" w:hAnsi="Times New Roman"/>
          <w:noProof/>
          <w:sz w:val="24"/>
          <w:szCs w:val="24"/>
        </w:rPr>
        <w:t xml:space="preserve"> (3rd editio). Harlow: Pearson Eduaction Limited. http://doi.org/10.2307/2552778</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The mobility house. (2018). All relevant charging cable and plug types. Retrieved October 15, 2018, from https://www.mobilityhouse.com/int_en/knowledge-center/charging-cable-and-plug-types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The world bank. (2018). Urban population. Retrieved October 15, 2018, from https://databank.worldbank.org/data/reports.aspx?source=2&amp;series=SP.URB.TOTL</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lastRenderedPageBreak/>
        <w:t xml:space="preserve">Torregrossa, M. (2017, November). Nouvelles BMW i3 &amp; i3s : prix, finitions et équipements en France [New BMW i3 &amp; i3s: price, finishes and amenities in France]. </w:t>
      </w:r>
      <w:r w:rsidRPr="0066304D">
        <w:rPr>
          <w:rFonts w:ascii="Times New Roman" w:hAnsi="Times New Roman"/>
          <w:i/>
          <w:iCs/>
          <w:noProof/>
          <w:sz w:val="24"/>
          <w:szCs w:val="24"/>
        </w:rPr>
        <w:t>Automobile-Propre.Com</w:t>
      </w:r>
      <w:r w:rsidRPr="0066304D">
        <w:rPr>
          <w:rFonts w:ascii="Times New Roman" w:hAnsi="Times New Roman"/>
          <w:noProof/>
          <w:sz w:val="24"/>
          <w:szCs w:val="24"/>
        </w:rPr>
        <w:t>. Retrieved from https://www.automobile-propre.com/nouvelles-bmw-i3-i3s-prix-finitions-et-equipements-en-france/</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Trading economics. (2018). Urban land area. Retrieved October 15, 2018, from https://tradingeconomics.com/search.aspx?q=urban</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Vergis, S., Turrentine, T. S., Fulton, L., &amp; Fulton, E. (2014). </w:t>
      </w:r>
      <w:r w:rsidRPr="0066304D">
        <w:rPr>
          <w:rFonts w:ascii="Times New Roman" w:hAnsi="Times New Roman"/>
          <w:i/>
          <w:iCs/>
          <w:noProof/>
          <w:sz w:val="24"/>
          <w:szCs w:val="24"/>
        </w:rPr>
        <w:t>Plug-In Electric Vehicles : A Case Study of Seven Markets</w:t>
      </w:r>
      <w:r w:rsidRPr="0066304D">
        <w:rPr>
          <w:rFonts w:ascii="Times New Roman" w:hAnsi="Times New Roman"/>
          <w:noProof/>
          <w:sz w:val="24"/>
          <w:szCs w:val="24"/>
        </w:rPr>
        <w:t>. Davis.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Wappelhorst, S., &amp; Tietge, U. (2018). Iceland is one of the world’s most interesting electric vehicle markets. Retrieved January 5, 2019, from https://www.theicct.org/blog/staff/iceland-ev-market-201807</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WattEV2Buy. (2016). WattEV2Buy. Retrieved October 15, 2018, from https://wattev2buy.com/electric-vehicles/</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Watts, J. (2018). We have 12 years to limit climate change catastrophe, warns UN. </w:t>
      </w:r>
      <w:r w:rsidRPr="0066304D">
        <w:rPr>
          <w:rFonts w:ascii="Times New Roman" w:hAnsi="Times New Roman"/>
          <w:i/>
          <w:iCs/>
          <w:noProof/>
          <w:sz w:val="24"/>
          <w:szCs w:val="24"/>
        </w:rPr>
        <w:t>The Guardian</w:t>
      </w:r>
      <w:r w:rsidRPr="0066304D">
        <w:rPr>
          <w:rFonts w:ascii="Times New Roman" w:hAnsi="Times New Roman"/>
          <w:noProof/>
          <w:sz w:val="24"/>
          <w:szCs w:val="24"/>
        </w:rPr>
        <w:t>. Retrieved from https://www.theguardian.com/environment/2018/oct/08/global-warming-must-not-exceed-15c-warns-landmark-un-report</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Wooldrige, Jeffrey, M. (2011). </w:t>
      </w:r>
      <w:r w:rsidRPr="0066304D">
        <w:rPr>
          <w:rFonts w:ascii="Times New Roman" w:hAnsi="Times New Roman"/>
          <w:i/>
          <w:iCs/>
          <w:noProof/>
          <w:sz w:val="24"/>
          <w:szCs w:val="24"/>
        </w:rPr>
        <w:t>Econometric Analysis of Cross Section and Panel Data</w:t>
      </w:r>
      <w:r w:rsidRPr="0066304D">
        <w:rPr>
          <w:rFonts w:ascii="Times New Roman" w:hAnsi="Times New Roman"/>
          <w:noProof/>
          <w:sz w:val="24"/>
          <w:szCs w:val="24"/>
        </w:rPr>
        <w:t xml:space="preserve">. </w:t>
      </w:r>
      <w:r w:rsidRPr="0066304D">
        <w:rPr>
          <w:rFonts w:ascii="Times New Roman" w:hAnsi="Times New Roman"/>
          <w:i/>
          <w:iCs/>
          <w:noProof/>
          <w:sz w:val="24"/>
          <w:szCs w:val="24"/>
        </w:rPr>
        <w:t>Neurology Secrets</w:t>
      </w:r>
      <w:r w:rsidRPr="0066304D">
        <w:rPr>
          <w:rFonts w:ascii="Times New Roman" w:hAnsi="Times New Roman"/>
          <w:noProof/>
          <w:sz w:val="24"/>
          <w:szCs w:val="24"/>
        </w:rPr>
        <w:t xml:space="preserve"> (3rd editio). London: The MIT Press. http://doi.org/10.1515/humr.2003.021</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szCs w:val="24"/>
        </w:rPr>
      </w:pPr>
      <w:r w:rsidRPr="0066304D">
        <w:rPr>
          <w:rFonts w:ascii="Times New Roman" w:hAnsi="Times New Roman"/>
          <w:noProof/>
          <w:sz w:val="24"/>
          <w:szCs w:val="24"/>
        </w:rPr>
        <w:t xml:space="preserve">Zaunbrecher, B., Beul-Leusmann, S., &amp; Ziefle, M. (2015). Laypeople’s Perspectives on Electromobility: A Focus Group Study. In </w:t>
      </w:r>
      <w:r w:rsidRPr="0066304D">
        <w:rPr>
          <w:rFonts w:ascii="Times New Roman" w:hAnsi="Times New Roman"/>
          <w:i/>
          <w:iCs/>
          <w:noProof/>
          <w:sz w:val="24"/>
          <w:szCs w:val="24"/>
        </w:rPr>
        <w:t>Giaffreda R., Cagáňová D., Li Y., Riggio R., Voisard A. (eds) Internet of Things. IoT Infrastructures. IoT360 2014.</w:t>
      </w:r>
      <w:r w:rsidRPr="0066304D">
        <w:rPr>
          <w:rFonts w:ascii="Times New Roman" w:hAnsi="Times New Roman"/>
          <w:noProof/>
          <w:sz w:val="24"/>
          <w:szCs w:val="24"/>
        </w:rPr>
        <w:t xml:space="preserve"> (pp. 144–149). Springer, Cham. http://doi.org/https://doi.org/10.1007/978-3-319-19743-2_22</w:t>
      </w:r>
    </w:p>
    <w:p w:rsidR="0066304D" w:rsidRPr="0066304D" w:rsidRDefault="0066304D" w:rsidP="0066304D">
      <w:pPr>
        <w:widowControl w:val="0"/>
        <w:autoSpaceDE w:val="0"/>
        <w:autoSpaceDN w:val="0"/>
        <w:adjustRightInd w:val="0"/>
        <w:spacing w:after="240"/>
        <w:ind w:left="480" w:hanging="480"/>
        <w:rPr>
          <w:rFonts w:ascii="Times New Roman" w:hAnsi="Times New Roman"/>
          <w:noProof/>
          <w:sz w:val="24"/>
        </w:rPr>
      </w:pPr>
      <w:r w:rsidRPr="0066304D">
        <w:rPr>
          <w:rFonts w:ascii="Times New Roman" w:hAnsi="Times New Roman"/>
          <w:noProof/>
          <w:sz w:val="24"/>
          <w:szCs w:val="24"/>
        </w:rPr>
        <w:t xml:space="preserve">Zhang, X., Wang, K., Hao, Y., Fan, J. L., &amp; Wei, Y. M. (2013). The impact of government policy on preference for NEVs: The evidence from China. </w:t>
      </w:r>
      <w:r w:rsidRPr="0066304D">
        <w:rPr>
          <w:rFonts w:ascii="Times New Roman" w:hAnsi="Times New Roman"/>
          <w:i/>
          <w:iCs/>
          <w:noProof/>
          <w:sz w:val="24"/>
          <w:szCs w:val="24"/>
        </w:rPr>
        <w:t>Energy Policy</w:t>
      </w:r>
      <w:r w:rsidRPr="0066304D">
        <w:rPr>
          <w:rFonts w:ascii="Times New Roman" w:hAnsi="Times New Roman"/>
          <w:noProof/>
          <w:sz w:val="24"/>
          <w:szCs w:val="24"/>
        </w:rPr>
        <w:t xml:space="preserve">, </w:t>
      </w:r>
      <w:r w:rsidRPr="0066304D">
        <w:rPr>
          <w:rFonts w:ascii="Times New Roman" w:hAnsi="Times New Roman"/>
          <w:i/>
          <w:iCs/>
          <w:noProof/>
          <w:sz w:val="24"/>
          <w:szCs w:val="24"/>
        </w:rPr>
        <w:t>61</w:t>
      </w:r>
      <w:r w:rsidRPr="0066304D">
        <w:rPr>
          <w:rFonts w:ascii="Times New Roman" w:hAnsi="Times New Roman"/>
          <w:noProof/>
          <w:sz w:val="24"/>
          <w:szCs w:val="24"/>
        </w:rPr>
        <w:t>, 382–393. http://doi.org/10.1016/j.enpol.2013.06.114</w:t>
      </w:r>
    </w:p>
    <w:p w:rsidR="000D7C36" w:rsidRPr="000D7C36" w:rsidRDefault="000D7C36" w:rsidP="00A77510">
      <w:pPr>
        <w:spacing w:after="240"/>
        <w:rPr>
          <w:lang w:val="en-US"/>
        </w:rPr>
        <w:sectPr w:rsidR="000D7C36" w:rsidRPr="000D7C36" w:rsidSect="00BB42B8">
          <w:pgSz w:w="11906" w:h="16838"/>
          <w:pgMar w:top="1418" w:right="1418" w:bottom="1418" w:left="1701" w:header="709" w:footer="709" w:gutter="0"/>
          <w:cols w:space="708"/>
          <w:docGrid w:linePitch="360"/>
        </w:sectPr>
      </w:pPr>
      <w:r>
        <w:rPr>
          <w:lang w:val="en-US"/>
        </w:rPr>
        <w:fldChar w:fldCharType="end"/>
      </w:r>
    </w:p>
    <w:p w:rsidR="008F41FB" w:rsidRPr="008C3B50" w:rsidRDefault="00FA15B1" w:rsidP="00F84058">
      <w:pPr>
        <w:pStyle w:val="1"/>
      </w:pPr>
      <w:bookmarkStart w:id="32" w:name="_Toc535248666"/>
      <w:proofErr w:type="spellStart"/>
      <w:r w:rsidRPr="008C3B50">
        <w:lastRenderedPageBreak/>
        <w:t>Appendi</w:t>
      </w:r>
      <w:r w:rsidR="00E05F48" w:rsidRPr="008C3B50">
        <w:t>ces</w:t>
      </w:r>
      <w:bookmarkEnd w:id="32"/>
      <w:proofErr w:type="spellEnd"/>
    </w:p>
    <w:p w:rsidR="00DC3288" w:rsidRDefault="00DC3288" w:rsidP="00DC3288">
      <w:pPr>
        <w:pStyle w:val="2"/>
        <w:spacing w:line="360" w:lineRule="auto"/>
        <w:jc w:val="both"/>
        <w:rPr>
          <w:lang w:val="en-US"/>
        </w:rPr>
      </w:pPr>
      <w:bookmarkStart w:id="33" w:name="_Toc535248667"/>
      <w:bookmarkStart w:id="34" w:name="_Toc535248668"/>
      <w:r w:rsidRPr="004D2379">
        <w:rPr>
          <w:lang w:val="en-US"/>
        </w:rPr>
        <w:t>Appendix:</w:t>
      </w:r>
      <w:bookmarkEnd w:id="33"/>
      <w:r w:rsidRPr="004D2379">
        <w:rPr>
          <w:lang w:val="en-US"/>
        </w:rPr>
        <w:t xml:space="preserve"> </w:t>
      </w:r>
    </w:p>
    <w:tbl>
      <w:tblPr>
        <w:tblStyle w:val="afa"/>
        <w:tblW w:w="8784" w:type="dxa"/>
        <w:tblLayout w:type="fixed"/>
        <w:tblLook w:val="04A0" w:firstRow="1" w:lastRow="0" w:firstColumn="1" w:lastColumn="0" w:noHBand="0" w:noVBand="1"/>
      </w:tblPr>
      <w:tblGrid>
        <w:gridCol w:w="1271"/>
        <w:gridCol w:w="1276"/>
        <w:gridCol w:w="3118"/>
        <w:gridCol w:w="3119"/>
      </w:tblGrid>
      <w:tr w:rsidR="00DC3288" w:rsidTr="00BB104F">
        <w:tc>
          <w:tcPr>
            <w:tcW w:w="1271" w:type="dxa"/>
          </w:tcPr>
          <w:p w:rsidR="00DC3288" w:rsidRPr="008C3B50" w:rsidRDefault="00DC3288" w:rsidP="00587276">
            <w:pPr>
              <w:rPr>
                <w:rFonts w:ascii="Times New Roman" w:hAnsi="Times New Roman"/>
                <w:b/>
                <w:sz w:val="22"/>
                <w:szCs w:val="22"/>
              </w:rPr>
            </w:pPr>
            <w:r w:rsidRPr="008C3B50">
              <w:rPr>
                <w:rFonts w:ascii="Times New Roman" w:hAnsi="Times New Roman"/>
                <w:b/>
                <w:sz w:val="22"/>
                <w:szCs w:val="22"/>
              </w:rPr>
              <w:t>Variable</w:t>
            </w:r>
          </w:p>
        </w:tc>
        <w:tc>
          <w:tcPr>
            <w:tcW w:w="1276" w:type="dxa"/>
          </w:tcPr>
          <w:p w:rsidR="00DC3288" w:rsidRPr="008C3B50" w:rsidRDefault="00DC3288" w:rsidP="00587276">
            <w:pPr>
              <w:rPr>
                <w:rFonts w:ascii="Times New Roman" w:hAnsi="Times New Roman"/>
                <w:b/>
                <w:sz w:val="22"/>
                <w:szCs w:val="22"/>
              </w:rPr>
            </w:pPr>
            <w:proofErr w:type="spellStart"/>
            <w:r w:rsidRPr="008C3B50">
              <w:rPr>
                <w:rFonts w:ascii="Times New Roman" w:hAnsi="Times New Roman"/>
                <w:b/>
                <w:sz w:val="22"/>
                <w:szCs w:val="22"/>
              </w:rPr>
              <w:t>Measure-ment</w:t>
            </w:r>
            <w:proofErr w:type="spellEnd"/>
          </w:p>
        </w:tc>
        <w:tc>
          <w:tcPr>
            <w:tcW w:w="3118" w:type="dxa"/>
          </w:tcPr>
          <w:p w:rsidR="00DC3288" w:rsidRPr="008C3B50" w:rsidRDefault="00DC3288" w:rsidP="00587276">
            <w:pPr>
              <w:rPr>
                <w:rFonts w:ascii="Times New Roman" w:hAnsi="Times New Roman"/>
                <w:b/>
                <w:sz w:val="22"/>
                <w:szCs w:val="22"/>
              </w:rPr>
            </w:pPr>
            <w:r w:rsidRPr="008C3B50">
              <w:rPr>
                <w:rFonts w:ascii="Times New Roman" w:hAnsi="Times New Roman"/>
                <w:b/>
                <w:sz w:val="22"/>
                <w:szCs w:val="22"/>
              </w:rPr>
              <w:t>Description</w:t>
            </w:r>
          </w:p>
        </w:tc>
        <w:tc>
          <w:tcPr>
            <w:tcW w:w="3119" w:type="dxa"/>
          </w:tcPr>
          <w:p w:rsidR="00DC3288" w:rsidRPr="008C3B50" w:rsidRDefault="00DC3288" w:rsidP="00587276">
            <w:pPr>
              <w:rPr>
                <w:rFonts w:ascii="Times New Roman" w:hAnsi="Times New Roman"/>
                <w:b/>
                <w:sz w:val="22"/>
                <w:szCs w:val="22"/>
              </w:rPr>
            </w:pPr>
            <w:r w:rsidRPr="008C3B50">
              <w:rPr>
                <w:rFonts w:ascii="Times New Roman" w:hAnsi="Times New Roman"/>
                <w:b/>
                <w:sz w:val="22"/>
                <w:szCs w:val="22"/>
              </w:rPr>
              <w:t>Source</w:t>
            </w:r>
          </w:p>
        </w:tc>
      </w:tr>
      <w:tr w:rsidR="00DC3288" w:rsidRPr="00E906DD" w:rsidTr="00BB104F">
        <w:tc>
          <w:tcPr>
            <w:tcW w:w="1271" w:type="dxa"/>
          </w:tcPr>
          <w:p w:rsidR="00DC3288" w:rsidRPr="008C3B50" w:rsidRDefault="00DC3288" w:rsidP="00587276">
            <w:pPr>
              <w:rPr>
                <w:rFonts w:ascii="Times New Roman" w:hAnsi="Times New Roman"/>
                <w:sz w:val="22"/>
                <w:szCs w:val="22"/>
              </w:rPr>
            </w:pPr>
            <w:r w:rsidRPr="008C3B50">
              <w:rPr>
                <w:rFonts w:ascii="Times New Roman" w:hAnsi="Times New Roman"/>
                <w:sz w:val="22"/>
                <w:szCs w:val="22"/>
              </w:rPr>
              <w:t>BEV reg-</w:t>
            </w:r>
            <w:proofErr w:type="spellStart"/>
            <w:r w:rsidRPr="008C3B50">
              <w:rPr>
                <w:rFonts w:ascii="Times New Roman" w:hAnsi="Times New Roman"/>
                <w:sz w:val="22"/>
                <w:szCs w:val="22"/>
              </w:rPr>
              <w:t>ns</w:t>
            </w:r>
            <w:proofErr w:type="spellEnd"/>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Number of BEV registrations</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Year-to-date BEV registrations in a country in 2016 by a BEV model</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ev-sales.blogspot.com/2016/","accessed":{"date-parts":[["2018","10","15"]]},"author":[{"dropping-particle":"","family":"Pontes","given":"Jose","non-dropping-particle":"","parse-names":false,"suffix":""}],"container-title":"EV Sales Blog","id":"ITEM-1","issued":{"date-parts":[["2016"]]},"title":"EV Sales","type":"webpage"},"uris":["http://www.mendeley.com/documents/?uuid=e3b45050-11bb-4f7e-be0e-35c5fdc6163d"]}],"mendeley":{"formattedCitation":"(Pontes, 2016)","plainTextFormattedCitation":"(Pontes, 2016)","previouslyFormattedCitation":"(Pontes,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(Pontes, 2016)</w:t>
            </w:r>
            <w:r w:rsidRPr="008C3B50">
              <w:rPr>
                <w:rFonts w:ascii="Times New Roman" w:hAnsi="Times New Roman"/>
                <w:sz w:val="22"/>
                <w:szCs w:val="22"/>
                <w:lang w:val="en-US"/>
              </w:rPr>
              <w:fldChar w:fldCharType="end"/>
            </w:r>
            <w:r w:rsidRPr="008C3B50">
              <w:rPr>
                <w:rFonts w:ascii="Times New Roman" w:hAnsi="Times New Roman"/>
                <w:sz w:val="22"/>
                <w:szCs w:val="22"/>
                <w:lang w:val="en-US"/>
              </w:rPr>
              <w:t>;</w:t>
            </w:r>
          </w:p>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national vehicle licensing statistics, e.g.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{"citationItems":[{"id":"ITEM-1","itemData":{"URL":"https://www.gov.uk/government/statistics/vehicle-licensing-statistics-2016","abstract":"Statistics relating to licensed vehicles and new vehicle registrations in Great Britain for 2016.","accessed":{"date-parts":[["2018","10","15"]]},"author":[{"dropping-particle":"","family":"Department for Transport","given":"","non-dropping-particle":"","parse-names":false,"suffix":""},{"dropping-particle":"","family":"Driver and Vehicle Licensing Agency","given":"","non-dropping-particle":"","parse-names":false,"suffix":""}],"container-title":"Gov.uk","id":"ITEM-1","issued":{"date-parts":[["2016"]]},"title":"Vehicle licensing statistics: 2016","type":"webpage"},"uris":["http://www.mendeley.com/documents/?uuid=3d0032b1-4e33-454d-8f3b-35381b462879"]}],"mendeley":{"formattedCitation":"(Department for Transport &amp; Driver and Vehicle Licensing Agency, 2016)","plainTextFormattedCitation":"(Department for Transport &amp; Driver and Vehicle Licensing Agency, 2016)","previouslyFormattedCitation":"(Department for Transport &amp; Driver and Vehicle Licensing Agency,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(Department for Transport &amp; Driver and Vehicle Licensing Agency, 2016)</w:t>
            </w:r>
            <w:r w:rsidRPr="008C3B50">
              <w:rPr>
                <w:rFonts w:ascii="Times New Roman" w:hAnsi="Times New Roman"/>
                <w:sz w:val="22"/>
                <w:szCs w:val="22"/>
                <w:lang w:val="en-US"/>
              </w:rPr>
              <w:fldChar w:fldCharType="end"/>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P</w:t>
            </w:r>
            <w:proofErr w:type="spellStart"/>
            <w:r w:rsidRPr="008C3B50">
              <w:rPr>
                <w:rFonts w:ascii="Times New Roman" w:hAnsi="Times New Roman"/>
                <w:sz w:val="22"/>
                <w:szCs w:val="22"/>
              </w:rPr>
              <w:t>rice</w:t>
            </w:r>
            <w:proofErr w:type="spellEnd"/>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U.S. dollars</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The base price of each BEV in 2016, before taxes</w:t>
            </w:r>
          </w:p>
        </w:tc>
        <w:tc>
          <w:tcPr>
            <w:tcW w:w="3119" w:type="dxa"/>
          </w:tcPr>
          <w:p w:rsidR="00DC3288" w:rsidRPr="008C3B50" w:rsidRDefault="00DC3288" w:rsidP="00587276">
            <w:pPr>
              <w:pStyle w:val="a"/>
              <w:numPr>
                <w:ilvl w:val="0"/>
                <w:numId w:val="41"/>
              </w:numPr>
              <w:ind w:left="357" w:hanging="357"/>
              <w:rPr>
                <w:rFonts w:ascii="Times New Roman" w:hAnsi="Times New Roman"/>
                <w:sz w:val="22"/>
                <w:szCs w:val="22"/>
                <w:lang w:val="en-US"/>
              </w:rPr>
            </w:pPr>
            <w:r w:rsidRPr="008C3B50">
              <w:rPr>
                <w:rFonts w:ascii="Times New Roman" w:hAnsi="Times New Roman"/>
                <w:sz w:val="22"/>
                <w:szCs w:val="22"/>
                <w:lang w:val="en-US"/>
              </w:rPr>
              <w:t xml:space="preserve">BEV databases, such as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{"citationItems":[{"id":"ITEM-1","itemData":{"URL":"https://www.kbb.com/bmw/i3/2016/","abstract":"KBB.com gives you everything you need to research a new, CPO or used car, compare cars, find cars for sale and make a well-informed decision. Kelley Blue Book is your guide for Everything Automotive, whether you're just checking your current car's value, actively looking for your next car, or ready to buy. We're also one of most extensive sources for motorcycle values on the internet.","accessed":{"date-parts":[["2018","10","15"]]},"author":[{"dropping-particle":"","family":"Book","given":"Kelley Blue","non-dropping-particle":"","parse-names":false,"suffix":""}],"id":"ITEM-1","issued":{"date-parts":[["2016"]]},"title":"Kelley Blue Book","type":"webpage"},"uris":["http://www.mendeley.com/documents/?uuid=3e371662-7cd0-4dc5-8a87-2aba6ef38f4d"]}],"mendeley":{"formattedCitation":"(Book, 2016)","manualFormatting":"(Kelley Blue B., 2016)","plainTextFormattedCitation":"(Book, 2016)","previouslyFormattedCitation":"(Book,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(Kelley Blue B., 2016)</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or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attev2buy.com/electric-vehicles/","accessed":{"date-parts":[["2018","10","15"]]},"author":[{"dropping-particle":"","family":"WattEV2Buy","given":"","non-dropping-particle":"","parse-names":false,"suffix":""}],"id":"ITEM-1","issued":{"date-parts":[["2016"]]},"title":"WattEV2Buy","type":"webpage"},"uris":["http://www.mendeley.com/documents/?uuid=09cf4634-aa9d-49f8-bdf5-1ebf9681a63d"]}],"mendeley":{"formattedCitation":"(WattEV2Buy, 2016)","manualFormatting":"(WattEV2Buy, 2016)","plainTextFormattedCitation":"(WattEV2Buy, 2016)","previouslyFormattedCitation":"(WattEV2Buy,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(WattEV2Buy, 2016)</w:t>
            </w:r>
            <w:r w:rsidRPr="008C3B50">
              <w:rPr>
                <w:rFonts w:ascii="Times New Roman" w:hAnsi="Times New Roman"/>
                <w:sz w:val="22"/>
                <w:szCs w:val="22"/>
                <w:lang w:val="en-US"/>
              </w:rPr>
              <w:fldChar w:fldCharType="end"/>
            </w:r>
            <w:r w:rsidRPr="008C3B50">
              <w:rPr>
                <w:rFonts w:ascii="Times New Roman" w:hAnsi="Times New Roman"/>
                <w:sz w:val="22"/>
                <w:szCs w:val="22"/>
                <w:lang w:val="en-US"/>
              </w:rPr>
              <w:t>;</w:t>
            </w:r>
          </w:p>
          <w:p w:rsidR="00DC3288" w:rsidRPr="008C3B50" w:rsidRDefault="00DC3288" w:rsidP="00587276">
            <w:pPr>
              <w:pStyle w:val="a"/>
              <w:numPr>
                <w:ilvl w:val="0"/>
                <w:numId w:val="41"/>
              </w:numPr>
              <w:ind w:left="357" w:hanging="357"/>
              <w:rPr>
                <w:rFonts w:ascii="Times New Roman" w:hAnsi="Times New Roman"/>
                <w:sz w:val="22"/>
                <w:szCs w:val="22"/>
                <w:lang w:val="en-US"/>
              </w:rPr>
            </w:pPr>
            <w:r w:rsidRPr="008C3B50">
              <w:rPr>
                <w:rFonts w:ascii="Times New Roman" w:hAnsi="Times New Roman"/>
                <w:sz w:val="22"/>
                <w:szCs w:val="22"/>
                <w:lang w:val="en-US"/>
              </w:rPr>
              <w:t xml:space="preserve"> national online car magazines such as Autozeitung.de for Germany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{"citationItems":[{"id":"ITEM-1","itemData":{"author":[{"dropping-particle":"","family":"Hiltscher","given":"Benny","non-dropping-particle":"","parse-names":false,"suffix":""}],"container-title":"Autozeitung.de","id":"ITEM-1","issued":{"date-parts":[["2017"]]},"title":"Ab 36.150 Euro mehr Strecke im i3 [i3 with more driving range from 36,150 euros]","type":"article-magazine"},"uris":["http://www.mendeley.com/documents/?uuid=f3a3465f-4c68-47e9-8a97-0a900328f278"]}],"mendeley":{"formattedCitation":"(Hiltscher, 2017)","manualFormatting":"(e.g. Hiltscher, 2017)","plainTextFormattedCitation":"(Hiltscher, 2017)","previouslyFormattedCitation":"(Hiltscher, 2017)"},"properties":{"noteIndex":0},"schema":"https://github.com/citation-style-language/schema/raw/master/csl-citation.json"}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Hiltscher, 2017)</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Autorevie.at for Austria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{"citationItems":[{"id":"ITEM-1","itemData":{"abstract":"Stärkere Akkus, die bei gleichbleibender Ladezeit, eine Reichweitensteigerung bringen, steigern die Attraktivität des BMW i3 94Ah mit jedem gefahrenen Kilometer.","author":[{"dropping-particle":"","family":"Gomoll","given":"Wolfgang","non-dropping-particle":"","parse-names":false,"suffix":""}],"container-title":"Autorevie.at","id":"ITEM-1","issued":{"date-parts":[["2016"]]},"title":"BMW i3 94Ah: Stärkere Akkus und mehr Reichweite [BMW i3 94Ah: Stronger batteries and more range]","type":"article-magazine"},"uris":["http://www.mendeley.com/documents/?uuid=0c9369f9-0103-448e-b14b-b2e335cc7921"]}],"mendeley":{"formattedCitation":"(Gomoll, 2016)","manualFormatting":"(e.g. Gomoll, 2016)","plainTextFormattedCitation":"(Gomoll, 2016)","previouslyFormattedCitation":"(Gomoll,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Gomoll, 2016)</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Automobile-propre.com for France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author":[{"dropping-particle":"","family":"Torregrossa","given":"Michael","non-dropping-particle":"","parse-names":false,"suffix":""}],"container-title":"Automobile-propre.com","id":"ITEM-1","issued":{"date-parts":[["2017","11"]]},"title":"Nouvelles BMW i3 &amp; i3s : prix, finitions et équipements en France [New BMW i3 &amp; i3s: price, finishes and amenities in France]","type":"article-magazine"},"uris":["http://www.mendeley.com/documents/?uuid=c1dfc581-f8b2-4047-827e-bb0fc9a01569"]}],"mendeley":{"formattedCitation":"(Torregrossa, 2017)","manualFormatting":"(e.g. Torregrossa, 2017)","plainTextFormattedCitation":"(Torregrossa, 2017)","previouslyFormattedCitation":"(Torregrossa, 2017)"},"properties":{"noteIndex":0},"schema":"https://github.com/citation-style-language/schema/raw/master/csl-citation.json"}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Torregrossa, 2017)</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Autokopen.nl for the Netherlands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{"citationItems":[{"id":"ITEM-1","itemData":{"abstract":"De vernieuwde i3 kost minimaal 39.459 euro. De elektrische BMW is er ook weer met range extender en staat in november in de showroom.","author":[{"dropping-particle":"","family":"Kroese","given":"Bob","non-dropping-particle":"","parse-names":false,"suffix":""}],"container-title":"Autokopen.nl","id":"ITEM-1","issued":{"date-parts":[["2017","9"]]},"title":"BMW plakt prijskaartjes op vernieuwde i3 [BMW puts price tags on renewed i3]","type":"article-magazine"},"uris":["http://www.mendeley.com/documents/?uuid=9c7ef2be-3766-47a4-83b0-6c495b997e48"]}],"mendeley":{"formattedCitation":"(Kroese, 2017)","manualFormatting":"(e.g. Kroese, 2017)","plainTextFormattedCitation":"(Kroese, 2017)","previouslyFormattedCitation":"(Kroese, 2017)"},"properties":{"noteIndex":0},"schema":"https://github.com/citation-style-language/schema/raw/master/csl-citation.json"}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Kroese, 2017)</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Motor.no for Norway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{"citationItems":[{"id":"ITEM-1","itemData":{"author":[{"dropping-particle":"","family":"Korsvoll","given":"Rune","non-dropping-particle":"","parse-names":false,"suffix":""}],"container-title":"Motor.no","id":"ITEM-1","issued":{"date-parts":[["2016"]]},"title":"Dette er Norges billigste biler [These are Norway's cheapest cars]","type":"article-magazine"},"uris":["http://www.mendeley.com/documents/?uuid=07a4aaea-1a48-4831-8eb2-dcaed104d0c4"]}],"mendeley":{"formattedCitation":"(Korsvoll, 2016)","manualFormatting":"(e.g. Korsvoll, 2016)","plainTextFormattedCitation":"(Korsvoll, 2016)","previouslyFormattedCitation":"(Korsvoll,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Korsvoll, 2016)</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w:t>
            </w:r>
            <w:proofErr w:type="spellStart"/>
            <w:r w:rsidRPr="008C3B50">
              <w:rPr>
                <w:rFonts w:ascii="Times New Roman" w:hAnsi="Times New Roman"/>
                <w:sz w:val="22"/>
                <w:szCs w:val="22"/>
                <w:lang w:val="en-US"/>
              </w:rPr>
              <w:t>etc</w:t>
            </w:r>
            <w:proofErr w:type="spellEnd"/>
            <w:r w:rsidRPr="008C3B50">
              <w:rPr>
                <w:rFonts w:ascii="Times New Roman" w:hAnsi="Times New Roman"/>
                <w:sz w:val="22"/>
                <w:szCs w:val="22"/>
                <w:lang w:val="en-US"/>
              </w:rPr>
              <w:t xml:space="preserve"> </w:t>
            </w:r>
          </w:p>
          <w:p w:rsidR="00DC3288" w:rsidRPr="008C3B50" w:rsidRDefault="00DC3288" w:rsidP="00587276">
            <w:pPr>
              <w:pStyle w:val="a"/>
              <w:numPr>
                <w:ilvl w:val="0"/>
                <w:numId w:val="41"/>
              </w:numPr>
              <w:ind w:left="357" w:hanging="357"/>
              <w:rPr>
                <w:rFonts w:ascii="Times New Roman" w:hAnsi="Times New Roman"/>
                <w:sz w:val="22"/>
                <w:szCs w:val="22"/>
                <w:lang w:val="en-US"/>
              </w:rPr>
            </w:pPr>
            <w:r w:rsidRPr="008C3B50">
              <w:rPr>
                <w:rFonts w:ascii="Times New Roman" w:hAnsi="Times New Roman"/>
                <w:sz w:val="22"/>
                <w:szCs w:val="22"/>
                <w:lang w:val="en-US"/>
              </w:rPr>
              <w:t xml:space="preserve">producer pricelists, e.g.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{"citationItems":[{"id":"ITEM-1","itemData":{"author":[{"dropping-particle":"","family":"BMW Group Austria","given":"","non-dropping-particle":"","parse-names":false,"suffix":""}],"id":"ITEM-1","issued":{"date-parts":[["2016"]]},"page":"1-34","title":"Der BMW i3 Preisliste","type":"article"},"uris":["http://www.mendeley.com/documents/?uuid=22087651-a827-4152-a5ea-3cd8aea2c40e"]}],"mendeley":{"formattedCitation":"(BMW Group Austria, 2016)","plainTextFormattedCitation":"(BMW Group Austria, 2016)","previouslyFormattedCitation":"(BMW Group Austria,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(BMW Group Austria, 2016)</w:t>
            </w:r>
            <w:r w:rsidRPr="008C3B50">
              <w:rPr>
                <w:rFonts w:ascii="Times New Roman" w:hAnsi="Times New Roman"/>
                <w:sz w:val="22"/>
                <w:szCs w:val="22"/>
                <w:lang w:val="en-US"/>
              </w:rPr>
              <w:fldChar w:fldCharType="end"/>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D</w:t>
            </w:r>
            <w:r w:rsidRPr="008C3B50">
              <w:rPr>
                <w:rFonts w:ascii="Times New Roman" w:hAnsi="Times New Roman"/>
                <w:sz w:val="22"/>
                <w:szCs w:val="22"/>
              </w:rPr>
              <w:t xml:space="preserve">r </w:t>
            </w:r>
            <w:proofErr w:type="spellStart"/>
            <w:r w:rsidRPr="008C3B50">
              <w:rPr>
                <w:rFonts w:ascii="Times New Roman" w:hAnsi="Times New Roman"/>
                <w:sz w:val="22"/>
                <w:szCs w:val="22"/>
              </w:rPr>
              <w:t>range</w:t>
            </w:r>
            <w:proofErr w:type="spellEnd"/>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Kilometer (km)</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The combined EPA-rated driving range of the base BEV model where EPA is the U.S. Environmental Protection Agency which estimates each BEV model in terms of a city driving range, highway driving range and a total combined range</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The database of EV models from the official website of the U.S. Office of Energy Efficiency and Renewable Energy (EERE)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energy.gov/eere/electricvehicles/find-electric-vehicle-models","accessed":{"date-parts":[["2018","10","15"]]},"author":[{"dropping-particle":"","family":"EERE","given":"","non-dropping-particle":"","parse-names":false,"suffix":""}],"container-title":"U.S. Department of Energy","id":"ITEM-1","issued":{"date-parts":[["2016"]]},"title":"Find EV Models","type":"webpage"},"uris":["http://www.mendeley.com/documents/?uuid=1a0ec3b0-137c-4b4a-b305-1e2b66a24f02"]}],"mendeley":{"formattedCitation":"(EERE, 2016)","plainTextFormattedCitation":"(EERE, 2016)","previouslyFormattedCitation":"(EERE,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(EERE, 2016)</w:t>
            </w:r>
            <w:r w:rsidRPr="008C3B50">
              <w:rPr>
                <w:rFonts w:ascii="Times New Roman" w:hAnsi="Times New Roman"/>
                <w:sz w:val="22"/>
                <w:szCs w:val="22"/>
                <w:lang w:val="en-US"/>
              </w:rPr>
              <w:fldChar w:fldCharType="end"/>
            </w:r>
            <w:r w:rsidRPr="008C3B50">
              <w:rPr>
                <w:rFonts w:ascii="Times New Roman" w:hAnsi="Times New Roman"/>
                <w:sz w:val="22"/>
                <w:szCs w:val="22"/>
                <w:lang w:val="en-US"/>
              </w:rPr>
              <w:t>, BEV databases, online car magazines</w:t>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C</w:t>
            </w:r>
            <w:r w:rsidRPr="008C3B50">
              <w:rPr>
                <w:rFonts w:ascii="Times New Roman" w:hAnsi="Times New Roman"/>
                <w:sz w:val="22"/>
                <w:szCs w:val="22"/>
              </w:rPr>
              <w:t xml:space="preserve">h </w:t>
            </w:r>
            <w:proofErr w:type="spellStart"/>
            <w:r w:rsidRPr="008C3B50">
              <w:rPr>
                <w:rFonts w:ascii="Times New Roman" w:hAnsi="Times New Roman"/>
                <w:sz w:val="22"/>
                <w:szCs w:val="22"/>
              </w:rPr>
              <w:t>st-ns</w:t>
            </w:r>
            <w:proofErr w:type="spellEnd"/>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Number of charging stations</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Total number of EV charging stations in a country in 2016, including </w:t>
            </w:r>
          </w:p>
          <w:p w:rsidR="00DC3288" w:rsidRPr="008C3B50" w:rsidRDefault="00DC3288" w:rsidP="00587276">
            <w:pPr>
              <w:pStyle w:val="a"/>
              <w:numPr>
                <w:ilvl w:val="0"/>
                <w:numId w:val="42"/>
              </w:numPr>
              <w:ind w:left="357" w:hanging="357"/>
              <w:rPr>
                <w:rFonts w:ascii="Times New Roman" w:hAnsi="Times New Roman"/>
                <w:sz w:val="22"/>
                <w:szCs w:val="22"/>
                <w:lang w:val="en-US"/>
              </w:rPr>
            </w:pPr>
            <w:r w:rsidRPr="008C3B50">
              <w:rPr>
                <w:rFonts w:ascii="Times New Roman" w:hAnsi="Times New Roman"/>
                <w:sz w:val="22"/>
                <w:szCs w:val="22"/>
                <w:lang w:val="en-US"/>
              </w:rPr>
              <w:t xml:space="preserve">Level 1 (Type 1 alternating current (AC) plug), </w:t>
            </w:r>
          </w:p>
          <w:p w:rsidR="00DC3288" w:rsidRPr="008C3B50" w:rsidRDefault="00DC3288" w:rsidP="00587276">
            <w:pPr>
              <w:pStyle w:val="a"/>
              <w:numPr>
                <w:ilvl w:val="0"/>
                <w:numId w:val="42"/>
              </w:numPr>
              <w:ind w:left="357" w:hanging="357"/>
              <w:rPr>
                <w:rFonts w:ascii="Times New Roman" w:hAnsi="Times New Roman"/>
                <w:sz w:val="22"/>
                <w:szCs w:val="22"/>
                <w:lang w:val="en-US"/>
              </w:rPr>
            </w:pPr>
            <w:r w:rsidRPr="008C3B50">
              <w:rPr>
                <w:rFonts w:ascii="Times New Roman" w:hAnsi="Times New Roman"/>
                <w:sz w:val="22"/>
                <w:szCs w:val="22"/>
                <w:lang w:val="en-US"/>
              </w:rPr>
              <w:t xml:space="preserve">Level 2 (Type 2 AC plug) </w:t>
            </w:r>
          </w:p>
          <w:p w:rsidR="00DC3288" w:rsidRPr="008C3B50" w:rsidRDefault="00DC3288" w:rsidP="00587276">
            <w:pPr>
              <w:pStyle w:val="a"/>
              <w:numPr>
                <w:ilvl w:val="0"/>
                <w:numId w:val="42"/>
              </w:numPr>
              <w:ind w:left="357" w:hanging="357"/>
              <w:rPr>
                <w:rFonts w:ascii="Times New Roman" w:hAnsi="Times New Roman"/>
                <w:sz w:val="22"/>
                <w:szCs w:val="22"/>
                <w:lang w:val="en-US"/>
              </w:rPr>
            </w:pPr>
            <w:r w:rsidRPr="008C3B50">
              <w:rPr>
                <w:rFonts w:ascii="Times New Roman" w:hAnsi="Times New Roman"/>
                <w:sz w:val="22"/>
                <w:szCs w:val="22"/>
                <w:lang w:val="en-US"/>
              </w:rPr>
              <w:t xml:space="preserve">fast chargers (an enhanced version of the type 2 plug)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{"citationItems":[{"id":"ITEM-1","itemData":{"URL":"https://www.mobilityhouse.com/int_en/knowledge-center/charging-cable-and-plug-types","accessed":{"date-parts":[["2018","10","15"]]},"author":[{"dropping-particle":"","family":"The mobility house","given":"","non-dropping-particle":"","parse-names":false,"suffix":""}],"id":"ITEM-1","issued":{"date-parts":[["2018"]]},"title":"All relevant charging cable and plug types","type":"webpage"},"uris":["http://www.mendeley.com/documents/?uuid=ccda5ad2-c97d-4b3c-ae24-d2da861d4d0d"]}],"mendeley":{"formattedCitation":"(The mobility house, 2018)","plainTextFormattedCitation":"(The mobility house, 2018)","previouslyFormattedCitation":"(The mobility house,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(The mobility house, 2018)</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The website of the U.S. department of energy (DOE)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afdc.energy.gov/fuels/electricity_locations.html#/find/nearest?fuel=ELEC","accessed":{"date-parts":[["2018","10","15"]]},"author":[{"dropping-particle":"","family":"EERE","given":"","non-dropping-particle":"","parse-names":false,"suffix":""}],"container-title":"U.S. Department of Energy","id":"ITEM-1","issued":{"date-parts":[["2018"]]},"title":"Electric Vehicle Charging Station Locations","type":"webpage"},"uris":["http://www.mendeley.com/documents/?uuid=a7870133-f1e9-4b65-87ab-423ad7f44e09"]}],"mendeley":{"formattedCitation":"(EERE, 2018)","plainTextFormattedCitation":"(EERE, 2018)","previouslyFormattedCitation":"(EERE,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(EERE, 2018)</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the European Alternative Fuels Observatory (EAFO)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www.eafo.eu/electric-vehicle-charging-infrastructure","accessed":{"date-parts":[["2018","10","15"]]},"author":[{"dropping-particle":"","family":"EAFO","given":"","non-dropping-particle":"","parse-names":false,"suffix":""}],"container-title":"European Union","id":"ITEM-1","issued":{"date-parts":[["2018"]]},"title":"No Title","type":"webpage"},"uris":["http://www.mendeley.com/documents/?uuid=1253a274-ca93-4efd-9d34-a37d72e008af"]}],"mendeley":{"formattedCitation":"(EAFO, 2018a)","manualFormatting":"(EAFO, 2018a)","plainTextFormattedCitation":"(EAFO, 2018a)","previouslyFormattedCitation":"(EAFO, 2018a)"},"properties":{"noteIndex":0},"schema":"https://github.com/citation-style-language/schema/raw/master/csl-citation.json"}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(EAFO, 2018a)</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w:t>
            </w:r>
            <w:proofErr w:type="spellStart"/>
            <w:r w:rsidRPr="008C3B50">
              <w:rPr>
                <w:rFonts w:ascii="Times New Roman" w:hAnsi="Times New Roman"/>
                <w:sz w:val="22"/>
                <w:szCs w:val="22"/>
                <w:lang w:val="en-US"/>
              </w:rPr>
              <w:t>Bundesverband</w:t>
            </w:r>
            <w:proofErr w:type="spellEnd"/>
            <w:r w:rsidRPr="008C3B50">
              <w:rPr>
                <w:rFonts w:ascii="Times New Roman" w:hAnsi="Times New Roman"/>
                <w:sz w:val="22"/>
                <w:szCs w:val="22"/>
                <w:lang w:val="en-US"/>
              </w:rPr>
              <w:t xml:space="preserve"> der </w:t>
            </w:r>
            <w:proofErr w:type="spellStart"/>
            <w:r w:rsidRPr="008C3B50">
              <w:rPr>
                <w:rFonts w:ascii="Times New Roman" w:hAnsi="Times New Roman"/>
                <w:sz w:val="22"/>
                <w:szCs w:val="22"/>
                <w:lang w:val="en-US"/>
              </w:rPr>
              <w:t>Energie</w:t>
            </w:r>
            <w:proofErr w:type="spellEnd"/>
            <w:r w:rsidRPr="008C3B50">
              <w:rPr>
                <w:rFonts w:ascii="Times New Roman" w:hAnsi="Times New Roman"/>
                <w:sz w:val="22"/>
                <w:szCs w:val="22"/>
                <w:lang w:val="en-US"/>
              </w:rPr>
              <w:t xml:space="preserve">- und </w:t>
            </w:r>
            <w:proofErr w:type="spellStart"/>
            <w:r w:rsidRPr="008C3B50">
              <w:rPr>
                <w:rFonts w:ascii="Times New Roman" w:hAnsi="Times New Roman"/>
                <w:sz w:val="22"/>
                <w:szCs w:val="22"/>
                <w:lang w:val="en-US"/>
              </w:rPr>
              <w:t>Wasserwirtschaft</w:t>
            </w:r>
            <w:proofErr w:type="spellEnd"/>
            <w:r w:rsidRPr="008C3B50">
              <w:rPr>
                <w:rFonts w:ascii="Times New Roman" w:hAnsi="Times New Roman"/>
                <w:sz w:val="22"/>
                <w:szCs w:val="22"/>
                <w:lang w:val="en-US"/>
              </w:rPr>
              <w:t xml:space="preserve"> (BDEW)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bdew.de/presse/presseinformationen/schon10700-ladepunkte-deutschland/","author":[{"dropping-particle":"","family":"BDEW","given":"","non-dropping-particle":"","parse-names":false,"suffix":""}],"id":"ITEM-1","issued":{"date-parts":[["2017"]]},"title":"Schon 10.700 Ladepunkte in Deutschland [Already 10,700 charging stations in Germany]","type":"webpage"},"uris":["http://www.mendeley.com/documents/?uuid=e5796bbc-1a48-4e90-9b8b-d9af522a489d"]}],"mendeley":{"formattedCitation":"(BDEW, 2017)","plainTextFormattedCitation":"(BDEW, 2017)","previouslyFormattedCitation":"(BDEW, 2017)"},"properties":{"noteIndex":0},"schema":"https://github.com/citation-style-language/schema/raw/master/csl-citation.json"}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(BDEW, 2017)</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Statista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statista.com/statistics/813542/south-korea-estimated-electric-vehicle-charging-station-number/","accessed":{"date-parts":[["2018","10","15"]]},"author":[{"dropping-particle":"","family":"Statista","given":"","non-dropping-particle":"","parse-names":false,"suffix":""}],"id":"ITEM-1","issued":{"date-parts":[["2018"]]},"title":"Estimated number of electric vehicle charging stations in South Korea from 2016 to 2020","type":"webpage"},"uris":["http://www.mendeley.com/documents/?uuid=4c0b8bf6-844e-42c6-a11f-986b41f10462"]}],"mendeley":{"formattedCitation":"(Statista, 2018a)","manualFormatting":"(e.g. Statista, 2018a)","plainTextFormattedCitation":"(Statista, 2018a)","previouslyFormattedCitation":"(Statista, 2018a)"},"properties":{"noteIndex":0},"schema":"https://github.com/citation-style-language/schema/raw/master/csl-citation.json"}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Statista, 2018a)</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national charging maps such as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chargemap.com/map","accessed":{"date-parts":[["2018","10","15"]]},"author":[{"dropping-particle":"","family":"Chargemap","given":"","non-dropping-particle":"","parse-names":false,"suffix":""}],"id":"ITEM-1","issued":{"date-parts":[["2018"]]},"title":"No Title","type":"webpage"},"uris":["http://www.mendeley.com/documents/?uuid=95d3d253-d93b-4735-a31d-12bb8142c2ac"]}],"mendeley":{"formattedCitation":"(Chargemap, 2018)","plainTextFormattedCitation":"(Chargemap, 2018)","previouslyFormattedCitation":"(Chargemap,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(Chargemap, 2018)</w:t>
            </w:r>
            <w:r w:rsidRPr="008C3B50">
              <w:rPr>
                <w:rFonts w:ascii="Times New Roman" w:hAnsi="Times New Roman"/>
                <w:sz w:val="22"/>
                <w:szCs w:val="22"/>
                <w:lang w:val="en-US"/>
              </w:rPr>
              <w:fldChar w:fldCharType="end"/>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Fast </w:t>
            </w:r>
            <w:proofErr w:type="spellStart"/>
            <w:r w:rsidRPr="008C3B50">
              <w:rPr>
                <w:rFonts w:ascii="Times New Roman" w:hAnsi="Times New Roman"/>
                <w:sz w:val="22"/>
                <w:szCs w:val="22"/>
                <w:lang w:val="en-US"/>
              </w:rPr>
              <w:t>ch</w:t>
            </w:r>
            <w:proofErr w:type="spellEnd"/>
            <w:r w:rsidRPr="008C3B50">
              <w:rPr>
                <w:rFonts w:ascii="Times New Roman" w:hAnsi="Times New Roman"/>
                <w:sz w:val="22"/>
                <w:szCs w:val="22"/>
                <w:lang w:val="en-US"/>
              </w:rPr>
              <w:t xml:space="preserve"> </w:t>
            </w:r>
            <w:proofErr w:type="spellStart"/>
            <w:r w:rsidRPr="008C3B50">
              <w:rPr>
                <w:rFonts w:ascii="Times New Roman" w:hAnsi="Times New Roman"/>
                <w:sz w:val="22"/>
                <w:szCs w:val="22"/>
                <w:lang w:val="en-US"/>
              </w:rPr>
              <w:t>st</w:t>
            </w:r>
            <w:proofErr w:type="spellEnd"/>
            <w:r w:rsidRPr="008C3B50">
              <w:rPr>
                <w:rFonts w:ascii="Times New Roman" w:hAnsi="Times New Roman"/>
                <w:sz w:val="22"/>
                <w:szCs w:val="22"/>
                <w:lang w:val="en-US"/>
              </w:rPr>
              <w:t>-ns</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Number of charging stations</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Number of fast</w:t>
            </w:r>
            <w:r w:rsidR="00287DC8">
              <w:rPr>
                <w:rFonts w:ascii="Times New Roman" w:hAnsi="Times New Roman"/>
                <w:sz w:val="22"/>
                <w:szCs w:val="22"/>
                <w:lang w:val="en-US"/>
              </w:rPr>
              <w:t>-</w:t>
            </w:r>
            <w:r w:rsidRPr="008C3B50">
              <w:rPr>
                <w:rFonts w:ascii="Times New Roman" w:hAnsi="Times New Roman"/>
                <w:sz w:val="22"/>
                <w:szCs w:val="22"/>
                <w:lang w:val="en-US"/>
              </w:rPr>
              <w:t xml:space="preserve">charging stations in a country in 2016, with electric power of more than 22 kilowatt (kW), Fast chargers provide 60 (96 km) to 80 miles </w:t>
            </w:r>
            <w:r w:rsidRPr="008C3B50">
              <w:rPr>
                <w:rFonts w:ascii="Times New Roman" w:hAnsi="Times New Roman"/>
                <w:sz w:val="22"/>
                <w:szCs w:val="22"/>
                <w:lang w:val="en-US"/>
              </w:rPr>
              <w:lastRenderedPageBreak/>
              <w:t>(128 km) of range per 20 minutes of charging.</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lastRenderedPageBreak/>
              <w:t xml:space="preserve">The website of the U.S. department of energy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afdc.energy.gov/fuels/electricity_locations.html#/find/nearest?fuel=ELEC","accessed":{"date-parts":[["2018","10","15"]]},"author":[{"dropping-particle":"","family":"EERE","given":"","non-dropping-particle":"","parse-names":false,"suffix":""}],"container-title":"U.S. Department of Energy","id":"ITEM-1","issued":{"date-parts":[["2018"]]},"title":"Electric Vehicle Charging Station Locations","type":"webpage"},"uris":["http://www.mendeley.com/documents/?uuid=a7870133-f1e9-4b65-87ab-423ad7f44e09"]}],"mendeley":{"formattedCitation":"(EERE, 2018)","plainTextFormattedCitation":"(EERE, 2018)","previouslyFormattedCitation":"(EERE,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(EERE, 2018)</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the European Alternative Fuels Observatory (EAFO)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www.eafo.eu/electric-vehicle-charging-infrastructure","accessed":{"date-parts":[["2018","10","15"]]},"author":[{"dropping-particle":"","family":"EAFO","given":"","non-dropping-particle":"","parse-names":false,"suffix":""}],"container-title":"European Union","id":"ITEM-1","issued":{"date-parts":[["2018"]]},"title":"No Title","type":"webpage"},"uris":["http://www.mendeley.com/documents/?uuid=1253a274-ca93-4efd-9d34-a37d72e008af"]}],"mendeley":{"formattedCitation":"(EAFO, 2018a)","manualFormatting":"(EAFO, 2018a)","plainTextFormattedCitation":"(EAFO, 2018a)","previouslyFormattedCitation":"(EAFO, 2018a)"},"properties":{"noteIndex":0},"schema":"https://github.com/citation-style-language/schema/raw/master/csl-citation.json"}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(EAFO, 2018a)</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w:t>
            </w:r>
            <w:proofErr w:type="spellStart"/>
            <w:r w:rsidRPr="008C3B50">
              <w:rPr>
                <w:rFonts w:ascii="Times New Roman" w:hAnsi="Times New Roman"/>
                <w:sz w:val="22"/>
                <w:szCs w:val="22"/>
                <w:lang w:val="en-US"/>
              </w:rPr>
              <w:t>Bundesverband</w:t>
            </w:r>
            <w:proofErr w:type="spellEnd"/>
            <w:r w:rsidRPr="008C3B50">
              <w:rPr>
                <w:rFonts w:ascii="Times New Roman" w:hAnsi="Times New Roman"/>
                <w:sz w:val="22"/>
                <w:szCs w:val="22"/>
                <w:lang w:val="en-US"/>
              </w:rPr>
              <w:t xml:space="preserve"> der </w:t>
            </w:r>
            <w:proofErr w:type="spellStart"/>
            <w:r w:rsidRPr="008C3B50">
              <w:rPr>
                <w:rFonts w:ascii="Times New Roman" w:hAnsi="Times New Roman"/>
                <w:sz w:val="22"/>
                <w:szCs w:val="22"/>
                <w:lang w:val="en-US"/>
              </w:rPr>
              <w:t>Energie</w:t>
            </w:r>
            <w:proofErr w:type="spellEnd"/>
            <w:r w:rsidRPr="008C3B50">
              <w:rPr>
                <w:rFonts w:ascii="Times New Roman" w:hAnsi="Times New Roman"/>
                <w:sz w:val="22"/>
                <w:szCs w:val="22"/>
                <w:lang w:val="en-US"/>
              </w:rPr>
              <w:t xml:space="preserve">- und </w:t>
            </w:r>
            <w:proofErr w:type="spellStart"/>
            <w:r w:rsidRPr="008C3B50">
              <w:rPr>
                <w:rFonts w:ascii="Times New Roman" w:hAnsi="Times New Roman"/>
                <w:sz w:val="22"/>
                <w:szCs w:val="22"/>
                <w:lang w:val="en-US"/>
              </w:rPr>
              <w:lastRenderedPageBreak/>
              <w:t>Wasserwirtschaft</w:t>
            </w:r>
            <w:proofErr w:type="spellEnd"/>
            <w:r w:rsidRPr="008C3B50">
              <w:rPr>
                <w:rFonts w:ascii="Times New Roman" w:hAnsi="Times New Roman"/>
                <w:sz w:val="22"/>
                <w:szCs w:val="22"/>
                <w:lang w:val="en-US"/>
              </w:rPr>
              <w:t xml:space="preserve"> (BDEW)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bdew.de/presse/presseinformationen/schon10700-ladepunkte-deutschland/","author":[{"dropping-particle":"","family":"BDEW","given":"","non-dropping-particle":"","parse-names":false,"suffix":""}],"id":"ITEM-1","issued":{"date-parts":[["2017"]]},"title":"Schon 10.700 Ladepunkte in Deutschland [Already 10,700 charging stations in Germany]","type":"webpage"},"uris":["http://www.mendeley.com/documents/?uuid=e5796bbc-1a48-4e90-9b8b-d9af522a489d"]}],"mendeley":{"formattedCitation":"(BDEW, 2017)","plainTextFormattedCitation":"(BDEW, 2017)","previouslyFormattedCitation":"(BDEW, 2017)"},"properties":{"noteIndex":0},"schema":"https://github.com/citation-style-language/schema/raw/master/csl-citation.json"}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(BDEW, 2017)</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Statista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statista.com/statistics/572022/number-of-publicly-available-fast-electric-vehicle-chargers-in-canada/","accessed":{"date-parts":[["2018","10","15"]]},"author":[{"dropping-particle":"","family":"Statista","given":"","non-dropping-particle":"","parse-names":false,"suffix":""}],"id":"ITEM-1","issued":{"date-parts":[["2018"]]},"title":"Number of publicly available fast electric vehicle chargers (EVSE) in Canada from 2012 to 2017 (in units)","type":"webpage"},"uris":["http://www.mendeley.com/documents/?uuid=aecbd798-6608-44d1-9518-c67b79592111"]}],"mendeley":{"formattedCitation":"(Statista, 2018b)","manualFormatting":"(e.g. Statista, 2018b)","plainTextFormattedCitation":"(Statista, 2018b)","previouslyFormattedCitation":"(Statista, 2018b)"},"properties":{"noteIndex":0},"schema":"https://github.com/citation-style-language/schema/raw/master/csl-citation.json"}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Statista, 2018b)</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w:t>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lastRenderedPageBreak/>
              <w:t>Govern-</w:t>
            </w:r>
            <w:proofErr w:type="spellStart"/>
            <w:r w:rsidRPr="008C3B50">
              <w:rPr>
                <w:rFonts w:ascii="Times New Roman" w:hAnsi="Times New Roman"/>
                <w:sz w:val="22"/>
                <w:szCs w:val="22"/>
                <w:lang w:val="en-US"/>
              </w:rPr>
              <w:t>ment</w:t>
            </w:r>
            <w:proofErr w:type="spellEnd"/>
            <w:r w:rsidRPr="008C3B50">
              <w:rPr>
                <w:rFonts w:ascii="Times New Roman" w:hAnsi="Times New Roman"/>
                <w:sz w:val="22"/>
                <w:szCs w:val="22"/>
                <w:lang w:val="en-US"/>
              </w:rPr>
              <w:t xml:space="preserve"> grant </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U.S. dollars</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Purchase rebates or subsidies provided to BEV buyers by national governments in 2016</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Website of the European Automobile Manufacturers Association (ACEA)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acea.be/statistics/article/interactive-map-electric-vehicle-incentives-per-country-in-europe","accessed":{"date-parts":[["2018","10","15"]]},"author":[{"dropping-particle":"","family":"ACEA","given":"","non-dropping-particle":"","parse-names":false,"suffix":""}],"id":"ITEM-1","issued":{"date-parts":[["2017"]]},"title":"Interactive map: Electric vehicle incentives per country in Europe","type":"webpage"},"uris":["http://www.mendeley.com/documents/?uuid=ea144016-c058-400a-a07c-315f8475b5e4"]}],"mendeley":{"formattedCitation":"(ACEA, 2017a)","manualFormatting":"(ACEA, 2017a)","plainTextFormattedCitation":"(ACEA, 2017a)","previouslyFormattedCitation":"(ACEA, 2017a)"},"properties":{"noteIndex":0},"schema":"https://github.com/citation-style-language/schema/raw/master/csl-citation.json"}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(ACEA, 2017a)</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EAFO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eafo.eu/countries/","accessed":{"date-parts":[["2018","10","15"]]},"author":[{"dropping-particle":"","family":"EAFO","given":"","non-dropping-particle":"","parse-names":false,"suffix":""}],"id":"ITEM-1","issued":{"date-parts":[["2018"]]},"title":"No Title","type":"webpage"},"uris":["http://www.mendeley.com/documents/?uuid=4c1e5d66-00a7-47c9-9dac-f7072c4d0379"]}],"mendeley":{"formattedCitation":"(EAFO, 2018b)","plainTextFormattedCitation":"(EAFO, 2018b)","previouslyFormattedCitation":"(EAFO, 2018b)"},"properties":{"noteIndex":0},"schema":"https://github.com/citation-style-language/schema/raw/master/csl-citation.json"}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(EAFO, 2018b)</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the International Council on Clean Transportation (ICCT) articles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theicct.org/blogs/staff/promoting-electric-vehicles-in-korea","accessed":{"date-parts":[["2018","10","15"]]},"author":[{"dropping-particle":"","family":"Kim","given":"Siyou","non-dropping-particle":"","parse-names":false,"suffix":""},{"dropping-particle":"","family":"Yang","given":"Zifei","non-dropping-particle":"","parse-names":false,"suffix":""}],"container-title":"ICCT","id":"ITEM-1","issued":{"date-parts":[["2016"]]},"title":"Promoting electric vehicles in Korea","type":"webpage"},"uris":["http://www.mendeley.com/documents/?uuid=8ee09324-378f-49fc-9dbe-6e1f79ab35a7"]}],"mendeley":{"formattedCitation":"(Kim &amp; Yang, 2016)","manualFormatting":"(e.g. Kim &amp; Yang, 2016)","plainTextFormattedCitation":"(Kim &amp; Yang, 2016)","previouslyFormattedCitation":"(Kim &amp; Yang, 2016)"},"properties":{"noteIndex":0},"schema":"https://github.com/citation-style-language/schema/raw/master/csl-citation.json"}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(e.g. Kim &amp; Yang, 2016)</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Environmental and Energy Study Institute (EESI)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eesi.org/articles/view/comparing-u.s.-and-chinese-electric-vehicle-policies","accessed":{"date-parts":[["2018","10","15"]]},"author":[{"dropping-particle":"","family":"EESI","given":"","non-dropping-particle":"","parse-names":false,"suffix":""}],"id":"ITEM-1","issued":{"date-parts":[["2018"]]},"title":"Comparing U.S. and Chinese Electric Vehicle Policies","type":"webpage"},"uris":["http://www.mendeley.com/documents/?uuid=2c3cc218-1ca5-49a8-bdf0-5795d0818f27"]}],"mendeley":{"formattedCitation":"(EESI, 2018)","plainTextFormattedCitation":"(EESI, 2018)","previouslyFormattedCitation":"(EESI,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(EESI, 2018)</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national government websites (e.g.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{"citationItems":[{"id":"ITEM-1","itemData":{"URL":"http://www.meti.go.jp/policy/automobile/evphv/information/system.html","accessed":{"date-parts":[["2018","10","15"]]},"author":[{"dropping-particle":"","family":"Ministry of Economy Trade and Industry","given":"","non-dropping-particle":"","parse-names":false,"suffix":""}],"container-title":"go.jp","id":"ITEM-1","issued":{"date-parts":[["2018"]]},"title":"</w:instrText>
            </w:r>
            <w:r w:rsidRPr="008C3B50">
              <w:rPr>
                <w:rFonts w:ascii="MS Mincho" w:eastAsia="MS Mincho" w:hAnsi="MS Mincho" w:cs="MS Mincho" w:hint="eastAsia"/>
                <w:sz w:val="22"/>
                <w:szCs w:val="22"/>
                <w:lang w:val="en-US"/>
              </w:rPr>
              <w:instrText>クリーンエネルギー自動車等導入促進対策費補助金</w:instrText>
            </w:r>
            <w:r w:rsidRPr="008C3B50">
              <w:rPr>
                <w:rFonts w:ascii="Times New Roman" w:hAnsi="Times New Roman"/>
                <w:sz w:val="22"/>
                <w:szCs w:val="22"/>
                <w:lang w:val="en-US"/>
              </w:rPr>
              <w:instrText xml:space="preserve"> [Subsidies to promote clean energy]","type":"webpage"},"uris":["http://www.mendeley.com/documents/?uuid=651dc440-2922-4b36-bfe7-fc3b89fa5c44"]}],"mendeley":{"formattedCitation":"(Ministry of Economy Trade and Industry, 2018)","manualFormatting":"Ministry of Economy, Trade and Industry, 2018)","plainTextFormattedCitation":"(Ministry of Economy Trade and Industry, 2018)","previouslyFormattedCitation":"(Ministry of Economy Trade and Industry,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Ministry of Economy, Trade and Industry, 2018)</w:t>
            </w:r>
            <w:r w:rsidRPr="008C3B50">
              <w:rPr>
                <w:rFonts w:ascii="Times New Roman" w:hAnsi="Times New Roman"/>
                <w:sz w:val="22"/>
                <w:szCs w:val="22"/>
                <w:lang w:val="en-US"/>
              </w:rPr>
              <w:fldChar w:fldCharType="end"/>
            </w:r>
          </w:p>
        </w:tc>
      </w:tr>
      <w:tr w:rsidR="00DC3288" w:rsidRPr="003163AE"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VAT Amount </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U.S. dollars</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Value added tax, calculated as a percentage of the BEV base price (‘Price’ variable)</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ICCT tax guide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cesifo-group.de/ifoHome/facts/DICE/Infrastructure/Transportation/General-Transport-Policy/overview-vehicle-taxation-scheme/fileBinary/Overview-vehicle-taxation-schemes.pdf","accessed":{"date-parts":[["2018","10","15"]]},"author":[{"dropping-particle":"","family":"ICCT","given":"","non-dropping-particle":"","parse-names":false,"suffix":""}],"id":"ITEM-1","issued":{"date-parts":[["2014"]]},"page":"1-5","title":"Overview of vehicle taxation schemes (including incentives for electric vehicles)","type":"webpage"},"uris":["http://www.mendeley.com/documents/?uuid=b30beb01-80a8-4c18-a5fe-e3a13ce09c8f"]}],"mendeley":{"formattedCitation":"(ICCT, 2014)","plainTextFormattedCitation":"(ICCT, 2014)","previouslyFormattedCitation":"(ICCT, 2014)"},"properties":{"noteIndex":0},"schema":"https://github.com/citation-style-language/schema/raw/master/csl-citation.json"}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(ICCT, 2014)</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ACEA tax guides </w:t>
            </w:r>
            <w:r w:rsidRPr="008C3B50">
              <w:rPr>
                <w:rFonts w:ascii="Times New Roman" w:hAnsi="Times New Roman"/>
                <w:sz w:val="22"/>
                <w:szCs w:val="22"/>
                <w:lang w:val="en-US"/>
              </w:rPr>
              <w:fldChar w:fldCharType="begin" w:fldLock="1"/>
            </w:r>
            <w:r w:rsidR="003163AE">
              <w:rPr>
                <w:rFonts w:ascii="Times New Roman" w:hAnsi="Times New Roman"/>
                <w:sz w:val="22"/>
                <w:szCs w:val="22"/>
                <w:lang w:val="en-US"/>
              </w:rPr>
              <w:instrText>ADDIN CSL_CITATION {"citationItems":[{"id":"ITEM-1","itemData":{"URL":"https://www.acea.be/uploads/publications/EV_incentives_overview_2017.pdf","accessed":{"date-parts":[["2018","10","15"]]},"author":[{"dropping-particle":"","family":"ACEA","given":"","non-dropping-particle":"","parse-names":false,"suffix":""}],"id":"ITEM-1","issued":{"date-parts":[["2017"]]},"page":"1-4","title":"Overview on tax incentives for electric vehicles in the EU","type":"webpage"},"uris":["http://www.mendeley.com/documents/?uuid=bd284f36-7675-4082-bf80-80ca57c309d9"]},{"id":"ITEM-2","itemData":{"URL":"https://www.acea.be/publications/article/acea-tax-guide","author":[{"dropping-particle":"","family":"ACEA","given":"","non-dropping-particle":"","parse-names":false,"suffix":""}],"id":"ITEM-2","issued":{"date-parts":[["2018"]]},"page":"1-358","title":"ACEA tax guide","type":"webpage"},"uris":["http://www.mendeley.com/documents/?uuid=fc85683f-ae60-42f6-a795-5994adb98a19"]}],"mendeley":{"formattedCitation":"(ACEA, 2017b, 2018a)","manualFormatting":"(ACEA, 2017b, 2018a)","plainTextFormattedCitation":"(ACEA, 2017b, 2018a)","previouslyFormattedCitation":"(ACEA, 2017b, 2018a)"},"properties":{"noteIndex":0},"schema":"https://github.com/citation-style-language/schema/raw/master/csl-citation.json"}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(ACEA, 2017b, 2018</w:t>
            </w:r>
            <w:r>
              <w:rPr>
                <w:rFonts w:ascii="Times New Roman" w:hAnsi="Times New Roman"/>
                <w:noProof/>
                <w:sz w:val="22"/>
                <w:szCs w:val="22"/>
                <w:lang w:val="en-US"/>
              </w:rPr>
              <w:t>a</w:t>
            </w:r>
            <w:r w:rsidRPr="008C3B50">
              <w:rPr>
                <w:rFonts w:ascii="Times New Roman" w:hAnsi="Times New Roman"/>
                <w:noProof/>
                <w:sz w:val="22"/>
                <w:szCs w:val="22"/>
                <w:lang w:val="en-US"/>
              </w:rPr>
              <w:t>)</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PricewaterhouseCoopers (PWC) global automotive tax guide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pwc.com/gx/en/automotive/pdf/pwc-global-automotive-tax-guide-2015.pdf","accessed":{"date-parts":[["2018","10","15"]]},"author":[{"dropping-particle":"","family":"PWC","given":"","non-dropping-particle":"","parse-names":false,"suffix":""}],"id":"ITEM-1","issued":{"date-parts":[["2015"]]},"page":"1-569","title":"2015 Global Automotive Tax Guide","type":"webpage"},"uris":["http://www.mendeley.com/documents/?uuid=3e27e240-44e5-4bb7-a4cf-bacc8df700fd"]}],"mendeley":{"formattedCitation":"(PWC, 2015)","plainTextFormattedCitation":"(PWC, 2015)","previouslyFormattedCitation":"(PWC, 2015)"},"properties":{"noteIndex":0},"schema":"https://github.com/citation-style-language/schema/raw/master/csl-citation.json"}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(PWC, 2015)</w:t>
            </w:r>
            <w:r w:rsidRPr="008C3B50">
              <w:rPr>
                <w:rFonts w:ascii="Times New Roman" w:hAnsi="Times New Roman"/>
                <w:sz w:val="22"/>
                <w:szCs w:val="22"/>
                <w:lang w:val="en-US"/>
              </w:rPr>
              <w:fldChar w:fldCharType="end"/>
            </w:r>
            <w:r w:rsidRPr="008C3B50">
              <w:rPr>
                <w:rFonts w:ascii="Times New Roman" w:hAnsi="Times New Roman"/>
                <w:sz w:val="22"/>
                <w:szCs w:val="22"/>
                <w:lang w:val="en-US"/>
              </w:rPr>
              <w:t>, EAFO website</w:t>
            </w:r>
          </w:p>
        </w:tc>
      </w:tr>
      <w:tr w:rsidR="00DC3288" w:rsidRPr="003163AE"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Reduction (annual tax); Reduction (purchase tax); Reduction (company car tax)</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A proper fraction</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Automotive tax reductions or exemptions (i.e. 100% reduction), offered by national governments in 2016. The variables were coded as a number from 0 to 1, where 0 stands for ‘no reduction, i.e. conventional car’ and 1 stands for ‘full reduction, i.e. exemption. </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ICCT tax guide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cesifo-group.de/ifoHome/facts/DICE/Infrastructure/Transportation/General-Transport-Policy/overview-vehicle-taxation-scheme/fileBinary/Overview-vehicle-taxation-schemes.pdf","accessed":{"date-parts":[["2018","10","15"]]},"author":[{"dropping-particle":"","family":"ICCT","given":"","non-dropping-particle":"","parse-names":false,"suffix":""}],"id":"ITEM-1","issued":{"date-parts":[["2014"]]},"page":"1-5","title":"Overview of vehicle taxation schemes (including incentives for electric vehicles)","type":"webpage"},"uris":["http://www.mendeley.com/documents/?uuid=b30beb01-80a8-4c18-a5fe-e3a13ce09c8f"]}],"mendeley":{"formattedCitation":"(ICCT, 2014)","plainTextFormattedCitation":"(ICCT, 2014)","previouslyFormattedCitation":"(ICCT, 2014)"},"properties":{"noteIndex":0},"schema":"https://github.com/citation-style-language/schema/raw/master/csl-citation.json"}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(ICCT, 2014)</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ACEA tax guides </w:t>
            </w:r>
            <w:r w:rsidRPr="008C3B50">
              <w:rPr>
                <w:rFonts w:ascii="Times New Roman" w:hAnsi="Times New Roman"/>
                <w:sz w:val="22"/>
                <w:szCs w:val="22"/>
                <w:lang w:val="en-US"/>
              </w:rPr>
              <w:fldChar w:fldCharType="begin" w:fldLock="1"/>
            </w:r>
            <w:r w:rsidR="003163AE">
              <w:rPr>
                <w:rFonts w:ascii="Times New Roman" w:hAnsi="Times New Roman"/>
                <w:sz w:val="22"/>
                <w:szCs w:val="22"/>
                <w:lang w:val="en-US"/>
              </w:rPr>
              <w:instrText>ADDIN CSL_CITATION {"citationItems":[{"id":"ITEM-1","itemData":{"URL":"https://www.acea.be/uploads/publications/EV_incentives_overview_2017.pdf","accessed":{"date-parts":[["2018","10","15"]]},"author":[{"dropping-particle":"","family":"ACEA","given":"","non-dropping-particle":"","parse-names":false,"suffix":""}],"id":"ITEM-1","issued":{"date-parts":[["2017"]]},"page":"1-4","title":"Overview on tax incentives for electric vehicles in the EU","type":"webpage"},"uris":["http://www.mendeley.com/documents/?uuid=bd284f36-7675-4082-bf80-80ca57c309d9"]},{"id":"ITEM-2","itemData":{"URL":"https://www.acea.be/publications/article/acea-tax-guide","author":[{"dropping-particle":"","family":"ACEA","given":"","non-dropping-particle":"","parse-names":false,"suffix":""}],"id":"ITEM-2","issued":{"date-parts":[["2018"]]},"page":"1-358","title":"ACEA tax guide","type":"webpage"},"uris":["http://www.mendeley.com/documents/?uuid=fc85683f-ae60-42f6-a795-5994adb98a19"]}],"mendeley":{"formattedCitation":"(ACEA, 2017b, 2018a)","manualFormatting":"(ACEA, 2017b, 2018a)","plainTextFormattedCitation":"(ACEA, 2017b, 2018a)","previouslyFormattedCitation":"(ACEA, 2017b, 2018a)"},"properties":{"noteIndex":0},"schema":"https://github.com/citation-style-language/schema/raw/master/csl-citation.json"}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(ACEA, 2017b, 2018</w:t>
            </w:r>
            <w:r>
              <w:rPr>
                <w:rFonts w:ascii="Times New Roman" w:hAnsi="Times New Roman"/>
                <w:noProof/>
                <w:sz w:val="22"/>
                <w:szCs w:val="22"/>
                <w:lang w:val="en-US"/>
              </w:rPr>
              <w:t>a</w:t>
            </w:r>
            <w:r w:rsidRPr="008C3B50">
              <w:rPr>
                <w:rFonts w:ascii="Times New Roman" w:hAnsi="Times New Roman"/>
                <w:noProof/>
                <w:sz w:val="22"/>
                <w:szCs w:val="22"/>
                <w:lang w:val="en-US"/>
              </w:rPr>
              <w:t>)</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PricewaterhouseCoopers (PWC) global automotive tax guide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pwc.com/gx/en/automotive/pdf/pwc-global-automotive-tax-guide-2015.pdf","accessed":{"date-parts":[["2018","10","15"]]},"author":[{"dropping-particle":"","family":"PWC","given":"","non-dropping-particle":"","parse-names":false,"suffix":""}],"id":"ITEM-1","issued":{"date-parts":[["2015"]]},"page":"1-569","title":"2015 Global Automotive Tax Guide","type":"webpage"},"uris":["http://www.mendeley.com/documents/?uuid=3e27e240-44e5-4bb7-a4cf-bacc8df700fd"]}],"mendeley":{"formattedCitation":"(PWC, 2015)","plainTextFormattedCitation":"(PWC, 2015)","previouslyFormattedCitation":"(PWC, 2015)"},"properties":{"noteIndex":0},"schema":"https://github.com/citation-style-language/schema/raw/master/csl-citation.json"}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(PWC, 2015)</w:t>
            </w:r>
            <w:r w:rsidRPr="008C3B50">
              <w:rPr>
                <w:rFonts w:ascii="Times New Roman" w:hAnsi="Times New Roman"/>
                <w:sz w:val="22"/>
                <w:szCs w:val="22"/>
                <w:lang w:val="en-US"/>
              </w:rPr>
              <w:fldChar w:fldCharType="end"/>
            </w:r>
            <w:r w:rsidRPr="008C3B50">
              <w:rPr>
                <w:rFonts w:ascii="Times New Roman" w:hAnsi="Times New Roman"/>
                <w:sz w:val="22"/>
                <w:szCs w:val="22"/>
                <w:lang w:val="en-US"/>
              </w:rPr>
              <w:t>, EAFO website</w:t>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Urban density</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Urban residents/</w:t>
            </w:r>
          </w:p>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square km</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Urban population per square km of urban area in a country in 2016</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World Bank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{"citationItems":[{"id":"ITEM-1","itemData":{"URL":"https://databank.worldbank.org/data/reports.aspx?source=2&amp;series=SP.URB.TOTL","accessed":{"date-parts":[["2018","10","15"]]},"author":[{"dropping-particle":"","family":"The world bank","given":"","non-dropping-particle":"","parse-names":false,"suffix":""}],"id":"ITEM-1","issued":{"date-parts":[["2018"]]},"title":"Urban population","type":"webpage"},"uris":["http://www.mendeley.com/documents/?uuid=a1367d36-2a94-412f-87d9-dacd24e77d62"]}],"mendeley":{"formattedCitation":"(The world bank, 2018)","plainTextFormattedCitation":"(The world bank, 2018)","previouslyFormattedCitation":"(The world bank,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(The world bank, 2018)</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statistics from Statista and Trading economics </w:t>
            </w:r>
            <w:r w:rsidRPr="008C3B50">
              <w:rPr>
                <w:rFonts w:ascii="Times New Roman" w:hAnsi="Times New Roman"/>
                <w:sz w:val="22"/>
                <w:szCs w:val="22"/>
                <w:lang w:val="en-US"/>
              </w:rPr>
              <w:fldChar w:fldCharType="begin" w:fldLock="1"/>
            </w:r>
            <w:r w:rsidR="0066304D">
              <w:rPr>
                <w:rFonts w:ascii="Times New Roman" w:hAnsi="Times New Roman"/>
                <w:sz w:val="22"/>
                <w:szCs w:val="22"/>
                <w:lang w:val="en-US"/>
              </w:rPr>
              <w:instrText>ADDIN CSL_CITATION {"citationItems":[{"id":"ITEM-1","itemData":{"URL":"https://tradingeconomics.com/search.aspx?q=urban","accessed":{"date-parts":[["2018","10","15"]]},"author":[{"dropping-particle":"","family":"Trading economics","given":"","non-dropping-particle":"","parse-names":false,"suffix":""}],"id":"ITEM-1","issued":{"date-parts":[["2018"]]},"title":"Urban land area","type":"webpage"},"uris":["http://www.mendeley.com/documents/?uuid=9696bd79-887e-4f69-a1db-26216a852449"]}],"mendeley":{"formattedCitation":"(Trading economics, 2018)","plainTextFormattedCitation":"(Trading economics, 2018)","previouslyFormattedCitation":"(Trading economics,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(Trading economics, 2018)</w:t>
            </w:r>
            <w:r w:rsidRPr="008C3B50">
              <w:rPr>
                <w:rFonts w:ascii="Times New Roman" w:hAnsi="Times New Roman"/>
                <w:sz w:val="22"/>
                <w:szCs w:val="22"/>
                <w:lang w:val="en-US"/>
              </w:rPr>
              <w:fldChar w:fldCharType="end"/>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El-ty price</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U.S. dollar per kilowatt-hour (kWh)</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Average national price including taxes and levies applicable for medium size household consumers in 2016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ec.europa.eu/eurostat/tgm/table.do?tab=table&amp;plugin=1&amp;language=en&amp;pcode=ten00117","accessed":{"date-parts":[["2018","10","15"]]},"author":[{"dropping-particle":"","family":"Eurostat","given":"","non-dropping-particle":"","parse-names":false,"suffix":""}],"id":"ITEM-1","issued":{"date-parts":[["2018"]]},"title":"Electricity prices by type of user","type":"webpage"},"uris":["http://www.mendeley.com/documents/?uuid=e83e3ef6-66d4-4b62-af91-118a977e5fb5"]}],"mendeley":{"formattedCitation":"(Eurostat, 2018)","plainTextFormattedCitation":"(Eurostat, 2018)","previouslyFormattedCitation":"(Eurostat,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(Eurostat, 2018)</w:t>
            </w:r>
            <w:r w:rsidRPr="008C3B50">
              <w:rPr>
                <w:rFonts w:ascii="Times New Roman" w:hAnsi="Times New Roman"/>
                <w:sz w:val="22"/>
                <w:szCs w:val="22"/>
                <w:lang w:val="en-US"/>
              </w:rPr>
              <w:fldChar w:fldCharType="end"/>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Statistical Office of the European Communities (Eurostat)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ec.europa.eu/eurostat/tgm/table.do?tab=table&amp;plugin=1&amp;language=en&amp;pcode=ten00117","accessed":{"date-parts":[["2018","10","15"]]},"author":[{"dropping-particle":"","family":"Eurostat","given":"","non-dropping-particle":"","parse-names":false,"suffix":""}],"id":"ITEM-1","issued":{"date-parts":[["2018"]]},"title":"Electricity prices by type of user","type":"webpage"},"uris":["http://www.mendeley.com/documents/?uuid=e83e3ef6-66d4-4b62-af91-118a977e5fb5"]}],"mendeley":{"formattedCitation":"(Eurostat, 2018)","plainTextFormattedCitation":"(Eurostat, 2018)","previouslyFormattedCitation":"(Eurostat,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(Eurostat, 2018)</w:t>
            </w:r>
            <w:r w:rsidRPr="008C3B50">
              <w:rPr>
                <w:rFonts w:ascii="Times New Roman" w:hAnsi="Times New Roman"/>
                <w:sz w:val="22"/>
                <w:szCs w:val="22"/>
                <w:lang w:val="en-US"/>
              </w:rPr>
              <w:fldChar w:fldCharType="end"/>
            </w:r>
            <w:r w:rsidRPr="008C3B50">
              <w:rPr>
                <w:rFonts w:ascii="Times New Roman" w:hAnsi="Times New Roman"/>
                <w:sz w:val="22"/>
                <w:szCs w:val="22"/>
                <w:lang w:val="en-US"/>
              </w:rPr>
              <w:t>, Statista</w:t>
            </w:r>
          </w:p>
        </w:tc>
      </w:tr>
      <w:tr w:rsidR="00DC3288" w:rsidRPr="0066304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BEV models available</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Number of models</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Number of models available on the market by the end of 2016; assumption: geographical markets such as Europe and North America share the same level of model availability. For China, South Korea and Japan, the model availability is determined separately.</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BEV databases, such as Kelley Blue Book or Wattev2buy; online car magazines such as Autobild.de, Autozeitung.de, Topspeed.com, Topgear.com, automotive statistics websites</w:t>
            </w:r>
          </w:p>
        </w:tc>
      </w:tr>
      <w:tr w:rsidR="00DC3288" w:rsidRPr="00E906DD" w:rsidTr="00BB104F">
        <w:tc>
          <w:tcPr>
            <w:tcW w:w="1271"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Interest score</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A number from 0 to 100</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The average popularity score of a search query ‘electric car’ measured weakly for each country by Google Trends. </w:t>
            </w:r>
            <w:r w:rsidRPr="008C3B50">
              <w:rPr>
                <w:rFonts w:ascii="Times New Roman" w:hAnsi="Times New Roman"/>
                <w:sz w:val="22"/>
                <w:szCs w:val="22"/>
                <w:lang w:val="en-US"/>
              </w:rPr>
              <w:lastRenderedPageBreak/>
              <w:t xml:space="preserve">‘Electric car’ was translated into </w:t>
            </w:r>
            <w:r>
              <w:rPr>
                <w:rFonts w:ascii="Times New Roman" w:hAnsi="Times New Roman"/>
                <w:sz w:val="22"/>
                <w:szCs w:val="22"/>
                <w:lang w:val="en-US"/>
              </w:rPr>
              <w:t>each</w:t>
            </w:r>
            <w:r w:rsidRPr="008C3B50">
              <w:rPr>
                <w:rFonts w:ascii="Times New Roman" w:hAnsi="Times New Roman"/>
                <w:sz w:val="22"/>
                <w:szCs w:val="22"/>
                <w:lang w:val="en-US"/>
              </w:rPr>
              <w:t xml:space="preserve"> country’s language </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lastRenderedPageBreak/>
              <w:t>Google Trends</w:t>
            </w:r>
          </w:p>
        </w:tc>
      </w:tr>
      <w:tr w:rsidR="00DC3288" w:rsidRPr="00E906DD" w:rsidTr="00BB104F">
        <w:tc>
          <w:tcPr>
            <w:tcW w:w="1271" w:type="dxa"/>
          </w:tcPr>
          <w:p w:rsidR="00DC3288" w:rsidRPr="008C3B50" w:rsidRDefault="00F201CD" w:rsidP="00587276">
            <w:pPr>
              <w:rPr>
                <w:rFonts w:ascii="Times New Roman" w:hAnsi="Times New Roman"/>
                <w:sz w:val="22"/>
                <w:szCs w:val="22"/>
                <w:lang w:val="en-US"/>
              </w:rPr>
            </w:pPr>
            <w:r>
              <w:rPr>
                <w:rFonts w:ascii="Times New Roman" w:hAnsi="Times New Roman"/>
                <w:sz w:val="22"/>
                <w:szCs w:val="22"/>
                <w:lang w:val="en-US"/>
              </w:rPr>
              <w:t xml:space="preserve">HOV/Bus </w:t>
            </w:r>
            <w:r w:rsidR="00DC3288" w:rsidRPr="008C3B50">
              <w:rPr>
                <w:rFonts w:ascii="Times New Roman" w:hAnsi="Times New Roman"/>
                <w:sz w:val="22"/>
                <w:szCs w:val="22"/>
                <w:lang w:val="en-US"/>
              </w:rPr>
              <w:t xml:space="preserve">lane access </w:t>
            </w:r>
          </w:p>
        </w:tc>
        <w:tc>
          <w:tcPr>
            <w:tcW w:w="1276"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0 or 1</w:t>
            </w:r>
          </w:p>
        </w:tc>
        <w:tc>
          <w:tcPr>
            <w:tcW w:w="3118"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t xml:space="preserve">Dummy variable identifying countries where bus lane access was provided by policy makers </w:t>
            </w:r>
          </w:p>
        </w:tc>
        <w:tc>
          <w:tcPr>
            <w:tcW w:w="3119" w:type="dxa"/>
          </w:tcPr>
          <w:p w:rsidR="00DC3288" w:rsidRPr="008C3B50" w:rsidRDefault="00DC3288" w:rsidP="00587276">
            <w:pPr>
              <w:rPr>
                <w:rFonts w:ascii="Times New Roman" w:hAnsi="Times New Roman"/>
                <w:sz w:val="22"/>
                <w:szCs w:val="22"/>
                <w:lang w:val="en-US"/>
              </w:rPr>
            </w:pP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acea.be/statistics/article/interactive-map-electric-vehicle-incentives-per-country-in-europe","accessed":{"date-parts":[["2018","10","15"]]},"author":[{"dropping-particle":"","family":"ACEA","given":"","non-dropping-particle":"","parse-names":false,"suffix":""}],"id":"ITEM-1","issued":{"date-parts":[["2017"]]},"title":"Interactive map: Electric vehicle incentives per country in Europe","type":"webpage"},"uris":["http://www.mendeley.com/documents/?uuid=ea144016-c058-400a-a07c-315f8475b5e4"]}],"mendeley":{"formattedCitation":"(ACEA, 2017a)","manualFormatting":"(ACEA, 2017a)","plainTextFormattedCitation":"(ACEA, 2017a)","previouslyFormattedCitation":"(ACEA, 2017a)"},"properties":{"noteIndex":0},"schema":"https://github.com/citation-style-language/schema/raw/master/csl-citation.json"}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(ACEA, 2017a)</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eafo.eu/countries/","accessed":{"date-parts":[["2018","10","15"]]},"author":[{"dropping-particle":"","family":"EAFO","given":"","non-dropping-particle":"","parse-names":false,"suffix":""}],"id":"ITEM-1","issued":{"date-parts":[["2018"]]},"title":"No Title","type":"webpage"},"uris":["http://www.mendeley.com/documents/?uuid=4c1e5d66-00a7-47c9-9dac-f7072c4d0379"]}],"mendeley":{"formattedCitation":"(EAFO, 2018b)","plainTextFormattedCitation":"(EAFO, 2018b)","previouslyFormattedCitation":"(EAFO, 2018b)"},"properties":{"noteIndex":0},"schema":"https://github.com/citation-style-language/schema/raw/master/csl-citation.json"}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(EAFO, 2018b)</w:t>
            </w:r>
            <w:r w:rsidRPr="008C3B50">
              <w:rPr>
                <w:rFonts w:ascii="Times New Roman" w:hAnsi="Times New Roman"/>
                <w:sz w:val="22"/>
                <w:szCs w:val="22"/>
                <w:lang w:val="en-US"/>
              </w:rPr>
              <w:fldChar w:fldCharType="end"/>
            </w:r>
            <w:r w:rsidRPr="008C3B50">
              <w:rPr>
                <w:rFonts w:ascii="Times New Roman" w:hAnsi="Times New Roman"/>
                <w:sz w:val="22"/>
                <w:szCs w:val="22"/>
                <w:lang w:val="en-US"/>
              </w:rPr>
              <w:t xml:space="preserve">, </w:t>
            </w:r>
            <w:r w:rsidRPr="008C3B50">
              <w:rPr>
                <w:rFonts w:ascii="Times New Roman" w:hAnsi="Times New Roman"/>
                <w:sz w:val="22"/>
                <w:szCs w:val="22"/>
                <w:lang w:val="en-US"/>
              </w:rPr>
              <w:fldChar w:fldCharType="begin" w:fldLock="1"/>
            </w:r>
            <w:r w:rsidRPr="008C3B50">
              <w:rPr>
                <w:rFonts w:ascii="Times New Roman" w:hAnsi="Times New Roman"/>
                <w:sz w:val="22"/>
                <w:szCs w:val="22"/>
                <w:lang w:val="en-US"/>
              </w:rPr>
              <w:instrText>ADDIN CSL_CITATION {"citationItems":[{"id":"ITEM-1","itemData":{"URL":"https://www.eesi.org/articles/view/comparing-u.s.-and-chinese-electric-vehicle-policies","accessed":{"date-parts":[["2018","10","15"]]},"author":[{"dropping-particle":"","family":"EESI","given":"","non-dropping-particle":"","parse-names":false,"suffix":""}],"id":"ITEM-1","issued":{"date-parts":[["2018"]]},"title":"Comparing U.S. and Chinese Electric Vehicle Policies","type":"webpage"},"uris":["http://www.mendeley.com/documents/?uuid=2c3cc218-1ca5-49a8-bdf0-5795d0818f27"]}],"mendeley":{"formattedCitation":"(EESI, 2018)","plainTextFormattedCitation":"(EESI, 2018)","previouslyFormattedCitation":"(EESI, 2018)"},"properties":{"noteIndex":0},"schema":"https://github.com/citation-style-language/schema/raw/master/csl-citation.json"}</w:instrText>
            </w:r>
            <w:r w:rsidRPr="008C3B50">
              <w:rPr>
                <w:rFonts w:ascii="Times New Roman" w:hAnsi="Times New Roman"/>
                <w:sz w:val="22"/>
                <w:szCs w:val="22"/>
                <w:lang w:val="en-US"/>
              </w:rPr>
              <w:fldChar w:fldCharType="separate"/>
            </w:r>
            <w:r w:rsidRPr="008C3B50">
              <w:rPr>
                <w:rFonts w:ascii="Times New Roman" w:hAnsi="Times New Roman"/>
                <w:noProof/>
                <w:sz w:val="22"/>
                <w:szCs w:val="22"/>
                <w:lang w:val="en-US"/>
              </w:rPr>
              <w:t>(EESI, 2018)</w:t>
            </w:r>
            <w:r w:rsidRPr="008C3B50">
              <w:rPr>
                <w:rFonts w:ascii="Times New Roman" w:hAnsi="Times New Roman"/>
                <w:sz w:val="22"/>
                <w:szCs w:val="22"/>
                <w:lang w:val="en-US"/>
              </w:rPr>
              <w:fldChar w:fldCharType="end"/>
            </w:r>
            <w:r w:rsidRPr="008C3B50">
              <w:rPr>
                <w:rFonts w:ascii="Times New Roman" w:hAnsi="Times New Roman"/>
                <w:sz w:val="22"/>
                <w:szCs w:val="22"/>
                <w:lang w:val="en-US"/>
              </w:rPr>
              <w:t>, national government websites</w:t>
            </w:r>
          </w:p>
        </w:tc>
      </w:tr>
    </w:tbl>
    <w:p w:rsidR="00DC3288" w:rsidRDefault="00DC3288" w:rsidP="00DC3288">
      <w:pPr>
        <w:spacing w:after="120" w:line="360" w:lineRule="auto"/>
        <w:rPr>
          <w:rFonts w:ascii="Times New Roman" w:hAnsi="Times New Roman"/>
          <w:b/>
          <w:lang w:val="en-US"/>
        </w:rPr>
      </w:pPr>
      <w:r>
        <w:rPr>
          <w:rFonts w:ascii="Times New Roman" w:hAnsi="Times New Roman"/>
          <w:b/>
          <w:lang w:val="en-US"/>
        </w:rPr>
        <w:t>Table 1. Model variables: descriptions and sources</w:t>
      </w:r>
    </w:p>
    <w:p w:rsidR="00DC3288" w:rsidRDefault="00DC3288" w:rsidP="00DC3288">
      <w:pPr>
        <w:rPr>
          <w:rFonts w:ascii="Times New Roman" w:hAnsi="Times New Roman"/>
          <w:b/>
          <w:lang w:val="en-US"/>
        </w:rPr>
      </w:pPr>
    </w:p>
    <w:tbl>
      <w:tblPr>
        <w:tblStyle w:val="afa"/>
        <w:tblW w:w="8784" w:type="dxa"/>
        <w:tblLayout w:type="fixed"/>
        <w:tblLook w:val="04A0" w:firstRow="1" w:lastRow="0" w:firstColumn="1" w:lastColumn="0" w:noHBand="0" w:noVBand="1"/>
      </w:tblPr>
      <w:tblGrid>
        <w:gridCol w:w="1129"/>
        <w:gridCol w:w="1843"/>
        <w:gridCol w:w="1418"/>
        <w:gridCol w:w="1275"/>
        <w:gridCol w:w="1276"/>
        <w:gridCol w:w="709"/>
        <w:gridCol w:w="1134"/>
      </w:tblGrid>
      <w:tr w:rsidR="00DC3288" w:rsidTr="000B3EF9">
        <w:tc>
          <w:tcPr>
            <w:tcW w:w="1129" w:type="dxa"/>
          </w:tcPr>
          <w:p w:rsidR="00DC3288" w:rsidRPr="00217F03" w:rsidRDefault="00DC3288" w:rsidP="00587276">
            <w:pPr>
              <w:rPr>
                <w:rFonts w:ascii="Times New Roman" w:hAnsi="Times New Roman"/>
                <w:b/>
                <w:sz w:val="22"/>
                <w:szCs w:val="22"/>
                <w:lang w:val="en-US"/>
              </w:rPr>
            </w:pPr>
            <w:r w:rsidRPr="00217F03">
              <w:rPr>
                <w:rFonts w:ascii="Times New Roman" w:hAnsi="Times New Roman"/>
                <w:b/>
                <w:sz w:val="22"/>
                <w:szCs w:val="22"/>
                <w:lang w:val="en-US"/>
              </w:rPr>
              <w:t>Country</w:t>
            </w:r>
          </w:p>
        </w:tc>
        <w:tc>
          <w:tcPr>
            <w:tcW w:w="1843" w:type="dxa"/>
          </w:tcPr>
          <w:p w:rsidR="00DC3288" w:rsidRPr="00217F03" w:rsidRDefault="00DC3288" w:rsidP="00587276">
            <w:pPr>
              <w:rPr>
                <w:rFonts w:ascii="Times New Roman" w:hAnsi="Times New Roman"/>
                <w:b/>
                <w:sz w:val="22"/>
                <w:szCs w:val="22"/>
                <w:lang w:val="en-US"/>
              </w:rPr>
            </w:pPr>
            <w:r w:rsidRPr="00217F03">
              <w:rPr>
                <w:rFonts w:ascii="Times New Roman" w:hAnsi="Times New Roman"/>
                <w:b/>
                <w:sz w:val="22"/>
                <w:szCs w:val="22"/>
                <w:lang w:val="en-US"/>
              </w:rPr>
              <w:t>Purchase subsidy/grant</w:t>
            </w:r>
          </w:p>
        </w:tc>
        <w:tc>
          <w:tcPr>
            <w:tcW w:w="1418" w:type="dxa"/>
          </w:tcPr>
          <w:p w:rsidR="00DC3288" w:rsidRPr="00217F03" w:rsidRDefault="00DC3288" w:rsidP="00587276">
            <w:pPr>
              <w:rPr>
                <w:rFonts w:ascii="Times New Roman" w:hAnsi="Times New Roman"/>
                <w:b/>
                <w:sz w:val="22"/>
                <w:szCs w:val="22"/>
                <w:lang w:val="en-US"/>
              </w:rPr>
            </w:pPr>
            <w:r w:rsidRPr="00217F03">
              <w:rPr>
                <w:rFonts w:ascii="Times New Roman" w:hAnsi="Times New Roman"/>
                <w:b/>
                <w:sz w:val="22"/>
                <w:szCs w:val="22"/>
                <w:lang w:val="en-US"/>
              </w:rPr>
              <w:t>Annual circulation tax</w:t>
            </w:r>
          </w:p>
        </w:tc>
        <w:tc>
          <w:tcPr>
            <w:tcW w:w="1275" w:type="dxa"/>
          </w:tcPr>
          <w:p w:rsidR="00DC3288" w:rsidRPr="00217F03" w:rsidRDefault="00DC3288" w:rsidP="00587276">
            <w:pPr>
              <w:rPr>
                <w:rFonts w:ascii="Times New Roman" w:hAnsi="Times New Roman"/>
                <w:b/>
                <w:sz w:val="22"/>
                <w:szCs w:val="22"/>
                <w:lang w:val="en-US"/>
              </w:rPr>
            </w:pPr>
            <w:r w:rsidRPr="00217F03">
              <w:rPr>
                <w:rFonts w:ascii="Times New Roman" w:hAnsi="Times New Roman"/>
                <w:b/>
                <w:sz w:val="22"/>
                <w:szCs w:val="22"/>
                <w:lang w:val="en-US"/>
              </w:rPr>
              <w:t>Purchase tax</w:t>
            </w:r>
          </w:p>
        </w:tc>
        <w:tc>
          <w:tcPr>
            <w:tcW w:w="1276" w:type="dxa"/>
          </w:tcPr>
          <w:p w:rsidR="00DC3288" w:rsidRPr="00217F03" w:rsidRDefault="00DC3288" w:rsidP="00587276">
            <w:pPr>
              <w:rPr>
                <w:rFonts w:ascii="Times New Roman" w:hAnsi="Times New Roman"/>
                <w:b/>
                <w:sz w:val="22"/>
                <w:szCs w:val="22"/>
                <w:lang w:val="en-US"/>
              </w:rPr>
            </w:pPr>
            <w:r w:rsidRPr="00217F03">
              <w:rPr>
                <w:rFonts w:ascii="Times New Roman" w:hAnsi="Times New Roman"/>
                <w:b/>
                <w:sz w:val="22"/>
                <w:szCs w:val="22"/>
                <w:lang w:val="en-US"/>
              </w:rPr>
              <w:t>Company car tax</w:t>
            </w:r>
          </w:p>
        </w:tc>
        <w:tc>
          <w:tcPr>
            <w:tcW w:w="709" w:type="dxa"/>
          </w:tcPr>
          <w:p w:rsidR="00DC3288" w:rsidRPr="00217F03" w:rsidRDefault="00DC3288" w:rsidP="00587276">
            <w:pPr>
              <w:rPr>
                <w:rFonts w:ascii="Times New Roman" w:hAnsi="Times New Roman"/>
                <w:b/>
                <w:sz w:val="22"/>
                <w:szCs w:val="22"/>
                <w:lang w:val="en-US"/>
              </w:rPr>
            </w:pPr>
            <w:r w:rsidRPr="00217F03">
              <w:rPr>
                <w:rFonts w:ascii="Times New Roman" w:hAnsi="Times New Roman"/>
                <w:b/>
                <w:sz w:val="22"/>
                <w:szCs w:val="22"/>
                <w:lang w:val="en-US"/>
              </w:rPr>
              <w:t>VAT</w:t>
            </w:r>
          </w:p>
        </w:tc>
        <w:tc>
          <w:tcPr>
            <w:tcW w:w="1134" w:type="dxa"/>
          </w:tcPr>
          <w:p w:rsidR="00DC3288" w:rsidRPr="00217F03" w:rsidRDefault="00F201CD" w:rsidP="00587276">
            <w:pPr>
              <w:rPr>
                <w:rFonts w:ascii="Times New Roman" w:hAnsi="Times New Roman"/>
                <w:b/>
                <w:sz w:val="22"/>
                <w:szCs w:val="22"/>
                <w:lang w:val="en-US"/>
              </w:rPr>
            </w:pPr>
            <w:r>
              <w:rPr>
                <w:rFonts w:ascii="Times New Roman" w:hAnsi="Times New Roman"/>
                <w:b/>
                <w:sz w:val="22"/>
                <w:szCs w:val="22"/>
                <w:lang w:val="en-US"/>
              </w:rPr>
              <w:t xml:space="preserve">HOV/Bus </w:t>
            </w:r>
            <w:r w:rsidR="00DC3288" w:rsidRPr="00217F03">
              <w:rPr>
                <w:rFonts w:ascii="Times New Roman" w:hAnsi="Times New Roman"/>
                <w:b/>
                <w:sz w:val="22"/>
                <w:szCs w:val="22"/>
                <w:lang w:val="en-US"/>
              </w:rPr>
              <w:t xml:space="preserve">lane access </w:t>
            </w:r>
          </w:p>
        </w:tc>
      </w:tr>
      <w:tr w:rsidR="00DC3288" w:rsidRPr="002E6929"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China</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Up to 55,000 Renminbi (RMB) depending on the range (U.S. $8,736)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eesi.org/articles/view/comparing-u.s.-and-chinese-electric-vehicle-policies","accessed":{"date-parts":[["2018","10","15"]]},"author":[{"dropping-particle":"","family":"EESI","given":"","non-dropping-particle":"","parse-names":false,"suffix":""}],"id":"ITEM-1","issued":{"date-parts":[["2018"]]},"title":"Comparing U.S. and Chinese Electric Vehicle Policies","type":"webpage"},"uris":["http://www.mendeley.com/documents/?uuid=2c3cc218-1ca5-49a8-bdf0-5795d0818f27"]}],"mendeley":{"formattedCitation":"(EESI, 2018)","plainTextFormattedCitation":"(EESI, 2018)","previouslyFormattedCitation":"(EESI, 2018)"},"properties":{"noteIndex":0},"schema":"https://github.com/citation-style-language/schema/raw/master/csl-citation.json"}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(EESI, 2018)</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17%</w:t>
            </w:r>
          </w:p>
        </w:tc>
        <w:tc>
          <w:tcPr>
            <w:tcW w:w="1134"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In some provinces and cities in China,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eesi.org/articles/view/comparing-u.s.-and-chinese-electric-vehicle-policies","accessed":{"date-parts":[["2018","10","15"]]},"author":[{"dropping-particle":"","family":"EESI","given":"","non-dropping-particle":"","parse-names":false,"suffix":""}],"id":"ITEM-1","issued":{"date-parts":[["2018"]]},"title":"Comparing U.S. and Chinese Electric Vehicle Policies","type":"webpage"},"uris":["http://www.mendeley.com/documents/?uuid=2c3cc218-1ca5-49a8-bdf0-5795d0818f27"]}],"mendeley":{"formattedCitation":"(EESI, 2018)","plainTextFormattedCitation":"(EESI, 2018)","previouslyFormattedCitation":"(EESI, 2018)"},"properties":{"noteIndex":0},"schema":"https://github.com/citation-style-language/schema/raw/master/csl-citation.json"}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(EESI, 2018)</w:t>
            </w:r>
            <w:r w:rsidRPr="00217F03">
              <w:rPr>
                <w:rFonts w:ascii="Times New Roman" w:hAnsi="Times New Roman"/>
                <w:sz w:val="22"/>
                <w:szCs w:val="22"/>
                <w:lang w:val="en-US"/>
              </w:rPr>
              <w:fldChar w:fldCharType="end"/>
            </w:r>
          </w:p>
        </w:tc>
      </w:tr>
      <w:tr w:rsidR="00DC3288" w:rsidRPr="00105F6F"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United States of America</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U.S. $2,500-$7,500 tax credit depending on the battery capacity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eesi.org/articles/view/comparing-u.s.-and-chinese-electric-vehicle-policies","accessed":{"date-parts":[["2018","10","15"]]},"author":[{"dropping-particle":"","family":"EESI","given":"","non-dropping-particle":"","parse-names":false,"suffix":""}],"id":"ITEM-1","issued":{"date-parts":[["2018"]]},"title":"Comparing U.S. and Chinese Electric Vehicle Policies","type":"webpage"},"uris":["http://www.mendeley.com/documents/?uuid=2c3cc218-1ca5-49a8-bdf0-5795d0818f27"]}],"mendeley":{"formattedCitation":"(EESI, 2018)","plainTextFormattedCitation":"(EESI, 2018)","previouslyFormattedCitation":"(EESI, 2018)"},"properties":{"noteIndex":0},"schema":"https://github.com/citation-style-language/schema/raw/master/csl-citation.json"}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(EESI, 2018)</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7,3%</w:t>
            </w:r>
          </w:p>
        </w:tc>
        <w:tc>
          <w:tcPr>
            <w:tcW w:w="1134"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More than 10 states, including California</w:t>
            </w:r>
            <w:r w:rsidR="00C65BE4">
              <w:rPr>
                <w:rFonts w:ascii="Times New Roman" w:hAnsi="Times New Roman"/>
                <w:sz w:val="22"/>
                <w:szCs w:val="22"/>
                <w:lang w:val="en-US"/>
              </w:rPr>
              <w:t>,</w:t>
            </w:r>
            <w:r w:rsidR="00C65BE4" w:rsidRPr="00217F03">
              <w:rPr>
                <w:rFonts w:ascii="Times New Roman" w:hAnsi="Times New Roman"/>
                <w:sz w:val="22"/>
                <w:szCs w:val="22"/>
                <w:lang w:val="en-US"/>
              </w:rPr>
              <w:t xml:space="preserve"> Florida</w:t>
            </w:r>
            <w:r w:rsidRPr="00217F03">
              <w:rPr>
                <w:rFonts w:ascii="Times New Roman" w:hAnsi="Times New Roman"/>
                <w:sz w:val="22"/>
                <w:szCs w:val="22"/>
                <w:lang w:val="en-US"/>
              </w:rPr>
              <w:t xml:space="preserve">, Colorado, and New York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eesi.org/articles/view/comparing-u.s.-and-chinese-electric-vehicle-policies","accessed":{"date-parts":[["2018","10","15"]]},"author":[{"dropping-particle":"","family":"EESI","given":"","non-dropping-particle":"","parse-names":false,"suffix":""}],"id":"ITEM-1","issued":{"date-parts":[["2018"]]},"title":"Comparing U.S. and Chinese Electric Vehicle Policies","type":"webpage"},"uris":["http://www.mendeley.com/documents/?uuid=2c3cc218-1ca5-49a8-bdf0-5795d0818f27"]}],"mendeley":{"formattedCitation":"(EESI, 2018)","plainTextFormattedCitation":"(EESI, 2018)","previouslyFormattedCitation":"(EESI, 2018)"},"properties":{"noteIndex":0},"schema":"https://github.com/citation-style-language/schema/raw/master/csl-citation.json"}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(EESI, 2018)</w:t>
            </w:r>
            <w:r w:rsidRPr="00217F03">
              <w:rPr>
                <w:rFonts w:ascii="Times New Roman" w:hAnsi="Times New Roman"/>
                <w:sz w:val="22"/>
                <w:szCs w:val="22"/>
                <w:lang w:val="en-US"/>
              </w:rPr>
              <w:fldChar w:fldCharType="end"/>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Germany</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€4,000 for BEVs up to €60,000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cleantechnica.com/2017/09/02/electric-car-incentives-norway-uk-france-germany-netherlands-belgium/","accessed":{"date-parts":[["2018","10","15"]]},"author":[{"dropping-particle":"","family":"Pressman","given":"Matt","non-dropping-particle":"","parse-names":false,"suffix":""}],"container-title":"Cleantechnica","id":"ITEM-1","issued":{"date-parts":[["2017"]]},"title":"Electric Car Incentives In Norway, UK, France, Germany, Netherlands, &amp; Belgium","type":"webpage"},"uris":["http://www.mendeley.com/documents/?uuid=b5de2fd9-09bd-40aa-91c6-8ff43159c5ed"]}],"mendeley":{"formattedCitation":"(Pressman, 2017)","plainTextFormattedCitation":"(Pressman, 2017)","previouslyFormattedCitation":"(Pressman, 2017)"},"properties":{"noteIndex":0},"schema":"https://github.com/citation-style-language/schema/raw/master/csl-citation.json"}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(Pressman, 2017)</w:t>
            </w:r>
            <w:r w:rsidRPr="00217F03">
              <w:rPr>
                <w:rFonts w:ascii="Times New Roman" w:hAnsi="Times New Roman"/>
                <w:sz w:val="22"/>
                <w:szCs w:val="22"/>
                <w:lang w:val="en-US"/>
              </w:rPr>
              <w:fldChar w:fldCharType="end"/>
            </w:r>
            <w:r w:rsidRPr="00217F03">
              <w:rPr>
                <w:rFonts w:ascii="Times New Roman" w:hAnsi="Times New Roman"/>
                <w:sz w:val="22"/>
                <w:szCs w:val="22"/>
                <w:lang w:val="en-US"/>
              </w:rPr>
              <w:t xml:space="preserve"> </w:t>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19 %</w:t>
            </w:r>
          </w:p>
        </w:tc>
        <w:tc>
          <w:tcPr>
            <w:tcW w:w="1134"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United Kingdom</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£4,500 </w:t>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7% instead of 18%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{"citationItems":[{"id":"ITEM-1","itemData":{"URL":"https://pod-point.com/landing-pages/company-electric-car-tax","abstract":"The ultimate guide to company electric car tax, covering what a company and employee need to contribute.","author":[{"dropping-particle":"","family":"Pod point","given":"","non-dropping-particle":"","parse-names":false,"suffix":""}],"id":"ITEM-1","issued":{"date-parts":[["2018"]]},"title":"Company Electric Car Tax","type":"webpage"},"uris":["http://www.mendeley.com/documents/?uuid=206ca984-da63-4729-9e80-5aec0d633010"]}],"mendeley":{"formattedCitation":"(Pod point, 2018)","plainTextFormattedCitation":"(Pod point, 2018)","previouslyFormattedCitation":"(Pod point, 2018)"},"properties":{"noteIndex":0},"schema":"https://github.com/citation-style-language/schema/raw/master/csl-citation.json"}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(Pod point, 2018)</w:t>
            </w:r>
            <w:r w:rsidRPr="00217F03">
              <w:rPr>
                <w:rFonts w:ascii="Times New Roman" w:hAnsi="Times New Roman"/>
                <w:sz w:val="22"/>
                <w:szCs w:val="22"/>
                <w:lang w:val="en-US"/>
              </w:rPr>
              <w:fldChar w:fldCharType="end"/>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20%</w:t>
            </w:r>
          </w:p>
        </w:tc>
        <w:tc>
          <w:tcPr>
            <w:tcW w:w="1134"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Norway</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Average car: Norwegian Krones (NOK) 2820- 3382; BEV: NOK 455 </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cesifo-group.de/ifoHome/facts/DICE/Infrastructure/Transportation/General-Transport-Policy/overview-vehicle-taxation-scheme/fileBinary/Overview-vehicle-taxation-schemes.pdf","accessed":{"date-parts":[["2018","10","15"]]},"author":[{"dropping-particle":"","family":"ICCT","given":"","non-dropping-particle":"","parse-names":false,"suffix":""}],"id":"ITEM-1","issued":{"date-parts":[["2014"]]},"page":"1-5","title":"Overview of vehicle taxation schemes (including incentives for electric vehicles)","type":"webpage"},"uris":["http://www.mendeley.com/documents/?uuid=b30beb01-80a8-4c18-a5fe-e3a13ce09c8f"]},{"id":"ITEM-2","itemData":{"URL":"https://cleantechnica.com/2017/09/02/electric-car-incentives-norway-uk-france-germany-netherlands-belgium/","accessed":{"date-parts":[["2018","10","15"]]},"author":[{"dropping-particle":"","family":"Pressman","given":"Matt","non-dropping-particle":"","parse-names":false,"suffix":""}],"container-title":"Cleantechnica","id":"ITEM-2","issued":{"date-parts":[["2017"]]},"title":"Electric Car Incentives In Norway, UK, France, Germany, Netherlands, &amp; Belgium","type":"webpage"},"uris":["http://www.mendeley.com/documents/?uuid=b5de2fd9-09bd-40aa-91c6-8ff43159c5ed"]}],"mendeley":{"formattedCitation":"(ICCT, 2014; Pressman, 2017)","plainTextFormattedCitation":"(ICCT, 2014; Pressman, 2017)","previouslyFormattedCitation":"(ICCT, 2014; Pressman, 2017)"},"properties":{"noteIndex":0},"schema":"https://github.com/citation-style-language/schema/raw/master/csl-citation.json"}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(ICCT, 2014; Pressman, 2017)</w:t>
            </w:r>
            <w:r w:rsidRPr="00217F03">
              <w:rPr>
                <w:rFonts w:ascii="Times New Roman" w:hAnsi="Times New Roman"/>
                <w:sz w:val="22"/>
                <w:szCs w:val="22"/>
                <w:lang w:val="en-US"/>
              </w:rPr>
              <w:fldChar w:fldCharType="end"/>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50% discount</w:t>
            </w:r>
          </w:p>
        </w:tc>
        <w:tc>
          <w:tcPr>
            <w:tcW w:w="70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0%</w:t>
            </w:r>
          </w:p>
        </w:tc>
        <w:tc>
          <w:tcPr>
            <w:tcW w:w="1134"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In the whole country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{"citationItems":[{"id":"ITEM-1","itemData":{"DOI":"10.1016/j.trd.2015.12.002","ISBN":"13619209","ISSN":"13619209","abstract":"Norway has become a global forerunner in the field of electromobility and the BEV market share is far higher than in any other country. One likely reason for this is strong incentives for promoting purchase and ownership of BEVs. The purpose of this study is to describe the role of incentives for promoting BEVs, and to determine what incentives are critical for deciding to buy a BEV and what groups of buyers respond to different types of incentives. The questions are answered with data from a survey among nearly 3400 BEV owners in Norway.Exemptions from purchase tax and VAT are critical incentives for more than 80% of the respondents. This is very much in line with previous research, which suggests that up-front price reduction is the most powerful incentive in promoting EV adoption. To a substantial number of BEV owners, however, exemption from road tolling or bus lane access is the only decisive factor.Analyses show that there are clear delineations between incentive groups, both in terms of age, gender, and education. Income is a less prominent predictor, which probably results from the competitive price of BEVs in the Norwegian market. Perhaps most interesting is the assumed relation between incentives and character of transport systems the respondents engage in.","author":[{"dropping-particle":"","family":"Bjerkan","given":"Kristin Ystmark","non-dropping-particle":"","parse-names":false,"suffix":""},{"dropping-particle":"","family":"Nørbech","given":"Tom E.","non-dropping-particle":"","parse-names":false,"suffix":""},{"dropping-particle":"","family":"Nordtømme","given":"Marianne Elvsaas","non-dropping-particle":"","parse-names":false,"suffix":""}],"container-title":"Transportation Research Part D: Transport and Environment","id":"ITEM-1","issued":{"date-parts":[["2016"]]},"page":"169-180","publisher":"Elsevier Ltd","title":"Incentives for promoting Battery Electric Vehicle (BEV) adoption in Norway","type":"article-journal","volume":"43"},"uris":["http://www.mendeley.com/documents/?uuid=76bf32d9-12a3-4d9e-9aa0-1b8ff0aca370"]}],"mendeley":{"formattedCitation":"(Bjerkan et al., 2016)","plainTextFormattedCitation":"(Bjerkan et al., 2016)","previouslyFormattedCitation":"(Bjerkan et al., 2016)"},"properties":{"noteIndex":0},"schema":"https://github.com/citation-style-language/schema/raw/master/csl-citation.json"}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(Bjerkan et al., 2016)</w:t>
            </w:r>
            <w:r w:rsidRPr="00217F03">
              <w:rPr>
                <w:rFonts w:ascii="Times New Roman" w:hAnsi="Times New Roman"/>
                <w:sz w:val="22"/>
                <w:szCs w:val="22"/>
                <w:lang w:val="en-US"/>
              </w:rPr>
              <w:fldChar w:fldCharType="end"/>
            </w:r>
            <w:r w:rsidRPr="00217F03">
              <w:rPr>
                <w:rFonts w:ascii="Times New Roman" w:hAnsi="Times New Roman"/>
                <w:sz w:val="22"/>
                <w:szCs w:val="22"/>
                <w:lang w:val="en-US"/>
              </w:rPr>
              <w:t xml:space="preserve"> </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Finland</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€ 2,000 for a BEV up to €50,000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eafo.eu/countries/","accessed":{"date-parts":[["2018","10","15"]]},"author":[{"dropping-particle":"","family":"EAFO","given":"","non-dropping-particle":"","parse-names":false,"suffix":""}],"id":"ITEM-1","issued":{"date-parts":[["2018"]]},"title":"No Title","type":"webpage"},"uris":["http://www.mendeley.com/documents/?uuid=4c1e5d66-00a7-47c9-9dac-f7072c4d0379"]}],"mendeley":{"formattedCitation":"(EAFO, 2018b)","plainTextFormattedCitation":"(EAFO, 2018b)","previouslyFormattedCitation":"(EAFO, 2018b)"},"properties":{"noteIndex":0},"schema":"https://github.com/citation-style-language/schema/raw/master/csl-citation.json"}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(EAFO, 2018b)</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Average car: €0.535 per day, BEV: €0</w:t>
            </w:r>
            <w:r w:rsidR="00C65BE4">
              <w:rPr>
                <w:rFonts w:ascii="Times New Roman" w:hAnsi="Times New Roman"/>
                <w:sz w:val="22"/>
                <w:szCs w:val="22"/>
                <w:lang w:val="en-US"/>
              </w:rPr>
              <w:t>.</w:t>
            </w:r>
            <w:r w:rsidRPr="00217F03">
              <w:rPr>
                <w:rFonts w:ascii="Times New Roman" w:hAnsi="Times New Roman"/>
                <w:sz w:val="22"/>
                <w:szCs w:val="22"/>
                <w:lang w:val="en-US"/>
              </w:rPr>
              <w:t>118 per day</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pwc.com/gx/en/automotive/pdf/pwc-global-automotive-tax-guide-2015.pdf","accessed":{"date-parts":[["2018","10","15"]]},"author":[{"dropping-particle":"","family":"PWC","given":"","non-dropping-particle":"","parse-names":false,"suffix":""}],"id":"ITEM-1","issued":{"date-parts":[["2015"]]},"page":"1-569","title":"2015 Global Automotive Tax Guide","type":"webpage"},"uris":["http://www.mendeley.com/documents/?uuid=3e27e240-44e5-4bb7-a4cf-bacc8df700fd"]}],"mendeley":{"formattedCitation":"(PWC, 2015)","plainTextFormattedCitation":"(PWC, 2015)","previouslyFormattedCitation":"(PWC, 2015)"},"properties":{"noteIndex":0},"schema":"https://github.com/citation-style-language/schema/raw/master/csl-citation.json"}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(PWC, 2015)</w:t>
            </w:r>
            <w:r w:rsidRPr="00217F03">
              <w:rPr>
                <w:rFonts w:ascii="Times New Roman" w:hAnsi="Times New Roman"/>
                <w:sz w:val="22"/>
                <w:szCs w:val="22"/>
                <w:lang w:val="en-US"/>
              </w:rPr>
              <w:fldChar w:fldCharType="end"/>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Average car: 33,4 %; BEV:</w:t>
            </w:r>
            <w:r w:rsidR="000B3EF9" w:rsidRPr="00217F03">
              <w:rPr>
                <w:rFonts w:ascii="Times New Roman" w:hAnsi="Times New Roman"/>
                <w:sz w:val="22"/>
                <w:szCs w:val="22"/>
                <w:lang w:val="en-US"/>
              </w:rPr>
              <w:t xml:space="preserve"> </w:t>
            </w:r>
            <w:r w:rsidRPr="00217F03">
              <w:rPr>
                <w:rFonts w:ascii="Times New Roman" w:hAnsi="Times New Roman"/>
                <w:sz w:val="22"/>
                <w:szCs w:val="22"/>
                <w:lang w:val="en-US"/>
              </w:rPr>
              <w:t>2,5%</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pwc.com/gx/en/automotive/pdf/pwc-global-automotive-tax-guide-2015.pdf","accessed":{"date-parts":[["2018","10","15"]]},"author":[{"dropping-particle":"","family":"PWC","given":"","non-dropping-particle":"","parse-names":false,"suffix":""}],"id":"ITEM-1","issued":{"date-parts":[["2015"]]},"page":"1-569","title":"2015 Global Automotive Tax Guide","type":"webpage"},"uris":["http://www.mendeley.com/documents/?uuid=3e27e240-44e5-4bb7-a4cf-bacc8df700fd"]},{"id":"ITEM-2","itemData":{"URL":"https://www.cesifo-group.de/ifoHome/facts/DICE/Infrastructure/Transportation/General-Transport-Policy/overview-vehicle-taxation-scheme/fileBinary/Overview-vehicle-taxation-schemes.pdf","accessed":{"date-parts":[["2018","10","15"]]},"author":[{"dropping-particle":"","family":"ICCT","given":"","non-dropping-particle":"","parse-names":false,"suffix":""}],"id":"ITEM-2","issued":{"date-parts":[["2014"]]},"page":"1-5","title":"Overview of vehicle taxation schemes (including incentives for electric vehicles)","type":"webpage"},"uris":["http://www.mendeley.com/documents/?uuid=b30beb01-80a8-4c18-a5fe-e3a13ce09c8f"]}],"mendeley":{"formattedCitation":"(ICCT, 2014; PWC, 2015)","plainTextFormattedCitation":"(ICCT, 2014; PWC, 2015)","previouslyFormattedCitation":"(ICCT, 2014; PWC, 2015)"},"properties":{"noteIndex":0},"schema":"https://github.com/citation-style-language/schema/raw/master/csl-citation.json"}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(ICCT, 2014; PWC, 2015)</w:t>
            </w:r>
            <w:r w:rsidRPr="00217F03">
              <w:rPr>
                <w:rFonts w:ascii="Times New Roman" w:hAnsi="Times New Roman"/>
                <w:sz w:val="22"/>
                <w:szCs w:val="22"/>
                <w:lang w:val="en-US"/>
              </w:rPr>
              <w:fldChar w:fldCharType="end"/>
            </w:r>
            <w:r w:rsidRPr="00217F03">
              <w:rPr>
                <w:rFonts w:ascii="Times New Roman" w:hAnsi="Times New Roman"/>
                <w:sz w:val="22"/>
                <w:szCs w:val="22"/>
                <w:lang w:val="en-US"/>
              </w:rPr>
              <w:t xml:space="preserve"> </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24%</w:t>
            </w:r>
          </w:p>
        </w:tc>
        <w:tc>
          <w:tcPr>
            <w:tcW w:w="1134"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Nether-lands</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none</w:t>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Average car: 25%; BEV:4%</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pwc.com/gx/en/automotive/pdf/pwc-global-automotive-tax-guide-2015.pdf","accessed":{"date-parts":[["2018","10","15"]]},"author":[{"dropping-particle":"","family":"PWC","given":"","non-dropping-particle":"","parse-names":false,"suffix":""}],"id":"ITEM-1","issued":{"date-parts":[["2015"]]},"page":"1-569","title":"2015 Global Automotive Tax Guide","type":"webpage"},"uris":["http://www.mendeley.com/documents/?uuid=3e27e240-44e5-4bb7-a4cf-bacc8df700fd"]},{"id":"ITEM-2","itemData":{"URL":"https://www.acea.be/statistics/article/interactive-map-electric-vehicle-incentives-per-country-in-europe","accessed":{"date-parts":[["2018","10","15"]]},"author":[{"dropping-particle":"","family":"ACEA","given":"","non-dropping-particle":"","parse-names":false,"suffix":""}],"id":"ITEM-2","issued":{"date-parts":[["2017"]]},"title":"Interactive map: Electric vehicle incentives per country in Europe","type":"webpage"},"uris":["http://www.mendeley.com/documents/?uuid=ea144016-c058-400a-a07c-315f8475b5e4"]}],"mendeley":{"formattedCitation":"(ACEA, 2017a; PWC, 2015)","plainTextFormattedCitation":"(ACEA, 2017a; PWC, 2015)","previouslyFormattedCitation":"(ACEA, 2017a; PWC, 2015)"},"properties":{"noteIndex":0},"schema":"https://github.com/citation-style-language/schema/raw/master/csl-citation.json"}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(A</w:t>
            </w:r>
            <w:r w:rsidRPr="00217F03">
              <w:rPr>
                <w:rFonts w:ascii="Times New Roman" w:hAnsi="Times New Roman"/>
                <w:noProof/>
                <w:sz w:val="22"/>
                <w:szCs w:val="22"/>
                <w:lang w:val="en-US"/>
              </w:rPr>
              <w:lastRenderedPageBreak/>
              <w:t>CEA, 2017a; PWC, 2015)</w:t>
            </w:r>
            <w:r w:rsidRPr="00217F03">
              <w:rPr>
                <w:rFonts w:ascii="Times New Roman" w:hAnsi="Times New Roman"/>
                <w:sz w:val="22"/>
                <w:szCs w:val="22"/>
                <w:lang w:val="en-US"/>
              </w:rPr>
              <w:fldChar w:fldCharType="end"/>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lastRenderedPageBreak/>
              <w:t>21%</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France</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€6,300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acea.be/statistics/article/interactive-map-electric-vehicle-incentives-per-country-in-europe","accessed":{"date-parts":[["2018","10","15"]]},"author":[{"dropping-particle":"","family":"ACEA","given":"","non-dropping-particle":"","parse-names":false,"suffix":""}],"id":"ITEM-1","issued":{"date-parts":[["2017"]]},"title":"Interactive map: Electric vehicle incentives per country in Europe","type":"webpage"},"uris":["http://www.mendeley.com/documents/?uuid=ea144016-c058-400a-a07c-315f8475b5e4"]}],"mendeley":{"formattedCitation":"(ACEA, 2017a)","plainTextFormattedCitation":"(ACEA, 2017a)","previouslyFormattedCitation":"(ACEA, 2017a)"},"properties":{"noteIndex":0},"schema":"https://github.com/citation-style-language/schema/raw/master/csl-citation.json"}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(ACEA, 2017a)</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20%</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Sweden</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40,000 Sweden Krones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eafo.eu/countries/","accessed":{"date-parts":[["2018","10","15"]]},"author":[{"dropping-particle":"","family":"EAFO","given":"","non-dropping-particle":"","parse-names":false,"suffix":""}],"id":"ITEM-1","issued":{"date-parts":[["2018"]]},"title":"No Title","type":"webpage"},"uris":["http://www.mendeley.com/documents/?uuid=4c1e5d66-00a7-47c9-9dac-f7072c4d0379"]}],"mendeley":{"formattedCitation":"(EAFO, 2018b)","plainTextFormattedCitation":"(EAFO, 2018b)","previouslyFormattedCitation":"(EAFO, 2018b)"},"properties":{"noteIndex":0},"schema":"https://github.com/citation-style-language/schema/raw/master/csl-citation.json"}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(EAFO, 2018b)</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none</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40% reduction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acea.be/statistics/article/interactive-map-electric-vehicle-incentives-per-country-in-europe","accessed":{"date-parts":[["2018","10","15"]]},"author":[{"dropping-particle":"","family":"ACEA","given":"","non-dropping-particle":"","parse-names":false,"suffix":""}],"id":"ITEM-1","issued":{"date-parts":[["2017"]]},"title":"Interactive map: Electric vehicle incentives per country in Europe","type":"webpage"},"uris":["http://www.mendeley.com/documents/?uuid=ea144016-c058-400a-a07c-315f8475b5e4"]}],"mendeley":{"formattedCitation":"(ACEA, 2017a)","plainTextFormattedCitation":"(ACEA, 2017a)","previouslyFormattedCitation":"(ACEA, 2017a)"},"properties":{"noteIndex":0},"schema":"https://github.com/citation-style-language/schema/raw/master/csl-citation.json"}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(ACEA, 2017a)</w:t>
            </w:r>
            <w:r w:rsidRPr="00217F03">
              <w:rPr>
                <w:rFonts w:ascii="Times New Roman" w:hAnsi="Times New Roman"/>
                <w:sz w:val="22"/>
                <w:szCs w:val="22"/>
                <w:lang w:val="en-US"/>
              </w:rPr>
              <w:fldChar w:fldCharType="end"/>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25%</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Denmark</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40,000 Danish Krones </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insideevs.com/denmark-electric-car-sales-tank-as-subsidies-vanish/","accessed":{"date-parts":[["2018","10","15"]]},"author":[{"dropping-particle":"","family":"Kane","given":"Mark","non-dropping-particle":"","parse-names":false,"suffix":""}],"container-title":"Inside EVs","id":"ITEM-1","issued":{"date-parts":[["2017"]]},"title":"Denmark Plug-In Vehicles Sales Tank As Subsidies Vanish","type":"webpage"},"uris":["http://www.mendeley.com/documents/?uuid=4dfbeeb6-38f2-4404-b92a-4ccbed2ad974"]}],"mendeley":{"formattedCitation":"(Kane, 2017)","plainTextFormattedCitation":"(Kane, 2017)","previouslyFormattedCitation":"(Kane, 2017)"},"properties":{"noteIndex":0},"schema":"https://github.com/citation-style-language/schema/raw/master/csl-citation.json"}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(Kane, 2017)</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none</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80% reduction</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cleantechnica.com/2018/04/25/it-would-be-virtually-cost-neutral-to-lower-the-car-taxes-in-denmark-to-below-current-madness/","accessed":{"date-parts":[["2018","10","15"]]},"author":[{"dropping-particle":"","family":"Berggreen","given":"Jesper","non-dropping-particle":"","parse-names":false,"suffix":""}],"container-title":"Cleantechnica","id":"ITEM-1","issued":{"date-parts":[["2018"]]},"title":"It Would Be Virtually Cost Neutral To Lower The Car Taxes In Denmark To Below Current Madness","type":"webpage"},"uris":["http://www.mendeley.com/documents/?uuid=cd5f7047-f9e6-46d1-b7ba-734e31fb1183"]}],"mendeley":{"formattedCitation":"(Berggreen, 2018)","plainTextFormattedCitation":"(Berggreen, 2018)","previouslyFormattedCitation":"(Berggreen, 2018)"},"properties":{"noteIndex":0},"schema":"https://github.com/citation-style-language/schema/raw/master/csl-citation.json"}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(Berggreen, 2018)</w:t>
            </w:r>
            <w:r w:rsidRPr="00217F03">
              <w:rPr>
                <w:rFonts w:ascii="Times New Roman" w:hAnsi="Times New Roman"/>
                <w:sz w:val="22"/>
                <w:szCs w:val="22"/>
                <w:lang w:val="en-US"/>
              </w:rPr>
              <w:fldChar w:fldCharType="end"/>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none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25%</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Belgium</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€ 4,000 for BEVs &lt; €31,000, </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€ 3,500 for BEVs &lt; €41,000, </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€ 2,500 for BEVs &lt; €61,000, </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€ 2,000 for BEVs above €61,000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eafo.eu/countries/","accessed":{"date-parts":[["2018","10","15"]]},"author":[{"dropping-particle":"","family":"EAFO","given":"","non-dropping-particle":"","parse-names":false,"suffix":""}],"id":"ITEM-1","issued":{"date-parts":[["2018"]]},"title":"No Title","type":"webpage"},"uris":["http://www.mendeley.com/documents/?uuid=4c1e5d66-00a7-47c9-9dac-f7072c4d0379"]}],"mendeley":{"formattedCitation":"(EAFO, 2018b)","plainTextFormattedCitation":"(EAFO, 2018b)","previouslyFormattedCitation":"(EAFO, 2018b)"},"properties":{"noteIndex":0},"schema":"https://github.com/citation-style-language/schema/raw/master/csl-citation.json"}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(EAFO, 2018b)</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Minimum tax of around €74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www.acea.be/statistics/article/interactive-map-electric-vehicle-incentives-per-country-in-europe","accessed":{"date-parts":[["2018","10","15"]]},"author":[{"dropping-particle":"","family":"ACEA","given":"","non-dropping-particle":"","parse-names":false,"suffix":""}],"id":"ITEM-1","issued":{"date-parts":[["2017"]]},"title":"Interactive map: Electric vehicle incentives per country in Europe","type":"webpage"},"uris":["http://www.mendeley.com/documents/?uuid=ea144016-c058-400a-a07c-315f8475b5e4"]}],"mendeley":{"formattedCitation":"(ACEA, 2017a)","plainTextFormattedCitation":"(ACEA, 2017a)","previouslyFormattedCitation":"(ACEA, 2017a)"},"properties":{"noteIndex":0},"schema":"https://github.com/citation-style-language/schema/raw/master/csl-citation.json"}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(ACEA, 2017a)</w:t>
            </w:r>
            <w:r w:rsidRPr="00217F03">
              <w:rPr>
                <w:rFonts w:ascii="Times New Roman" w:hAnsi="Times New Roman"/>
                <w:sz w:val="22"/>
                <w:szCs w:val="22"/>
                <w:lang w:val="en-US"/>
              </w:rPr>
              <w:fldChar w:fldCharType="end"/>
            </w:r>
            <w:r w:rsidRPr="00217F03">
              <w:rPr>
                <w:rFonts w:ascii="Times New Roman" w:hAnsi="Times New Roman"/>
                <w:sz w:val="22"/>
                <w:szCs w:val="22"/>
                <w:lang w:val="en-US"/>
              </w:rPr>
              <w:t xml:space="preserve"> </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xml:space="preserve">Average car: 7%; BEV:4% </w:t>
            </w:r>
            <w:r w:rsidRPr="00217F03">
              <w:rPr>
                <w:rFonts w:ascii="Times New Roman" w:hAnsi="Times New Roman"/>
                <w:sz w:val="22"/>
                <w:szCs w:val="22"/>
                <w:lang w:val="en-US"/>
              </w:rPr>
              <w:fldChar w:fldCharType="begin" w:fldLock="1"/>
            </w:r>
            <w:r w:rsidRPr="00217F03">
              <w:rPr>
                <w:rFonts w:ascii="Times New Roman" w:hAnsi="Times New Roman"/>
                <w:sz w:val="22"/>
                <w:szCs w:val="22"/>
                <w:lang w:val="en-US"/>
              </w:rPr>
              <w:instrText>ADDIN CSL_CITATION {"citationItems":[{"id":"ITEM-1","itemData":{"URL":"https://news.pwc.be/company-car-benefit-in-kind-calculation/","accessed":{"date-parts":[["2018","10","15"]]},"author":[{"dropping-particle":"","family":"PWC","given":"","non-dropping-particle":"","parse-names":false,"suffix":""}],"id":"ITEM-1","issued":{"date-parts":[["2017"]]},"title":"Company car benefit in kind calculation","type":"webpage"},"uris":["http://www.mendeley.com/documents/?uuid=61ff520f-8013-46f7-ab5b-66a3a44c24ff"]}],"mendeley":{"formattedCitation":"(PWC, 2017)","plainTextFormattedCitation":"(PWC, 2017)","previouslyFormattedCitation":"(PWC, 2017)"},"properties":{"noteIndex":0},"schema":"https://github.com/citation-style-language/schema/raw/master/csl-citation.json"}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(PWC, 2017)</w:t>
            </w:r>
            <w:r w:rsidRPr="00217F03">
              <w:rPr>
                <w:rFonts w:ascii="Times New Roman" w:hAnsi="Times New Roman"/>
                <w:sz w:val="22"/>
                <w:szCs w:val="22"/>
                <w:lang w:val="en-US"/>
              </w:rPr>
              <w:fldChar w:fldCharType="end"/>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21%</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Austria</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€ 4,000 for BEVs up to €50,000</w:t>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20%</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Switzer-land</w:t>
            </w:r>
          </w:p>
        </w:tc>
        <w:tc>
          <w:tcPr>
            <w:tcW w:w="1843"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1418"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1275"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1276"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7,7%</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Default="00DC3288" w:rsidP="00587276">
            <w:pPr>
              <w:rPr>
                <w:rFonts w:ascii="Times New Roman" w:hAnsi="Times New Roman"/>
                <w:sz w:val="22"/>
                <w:szCs w:val="22"/>
                <w:lang w:val="en-US"/>
              </w:rPr>
            </w:pPr>
            <w:r w:rsidRPr="00217F03">
              <w:rPr>
                <w:rFonts w:ascii="Times New Roman" w:hAnsi="Times New Roman"/>
                <w:sz w:val="22"/>
                <w:szCs w:val="22"/>
                <w:lang w:val="en-US"/>
              </w:rPr>
              <w:t>Iceland</w:t>
            </w:r>
          </w:p>
          <w:p w:rsidR="00DC3288" w:rsidRPr="00217F03" w:rsidRDefault="00DC3288" w:rsidP="00587276">
            <w:pPr>
              <w:rPr>
                <w:rFonts w:ascii="Times New Roman" w:hAnsi="Times New Roman"/>
                <w:sz w:val="22"/>
                <w:szCs w:val="22"/>
                <w:lang w:val="en-US"/>
              </w:rPr>
            </w:pP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no measure</w:t>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70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0%</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Japan</w:t>
            </w:r>
          </w:p>
        </w:tc>
        <w:tc>
          <w:tcPr>
            <w:tcW w:w="1843"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Up to JPY 850,000, depending on the range (U.S.$7,700).</w:t>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50% reduction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5%</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South Korea</w:t>
            </w:r>
          </w:p>
        </w:tc>
        <w:tc>
          <w:tcPr>
            <w:tcW w:w="1843" w:type="dxa"/>
          </w:tcPr>
          <w:p w:rsidR="00DC3288" w:rsidRPr="00217F03" w:rsidRDefault="00506DE0" w:rsidP="00587276">
            <w:pPr>
              <w:rPr>
                <w:rFonts w:ascii="Times New Roman" w:hAnsi="Times New Roman"/>
                <w:sz w:val="22"/>
                <w:szCs w:val="22"/>
                <w:lang w:val="en-US"/>
              </w:rPr>
            </w:pPr>
            <w:hyperlink r:id="rId25" w:history="1">
              <w:r w:rsidR="00DC3288" w:rsidRPr="00217F03">
                <w:rPr>
                  <w:rFonts w:ascii="Times New Roman" w:hAnsi="Times New Roman"/>
                  <w:sz w:val="22"/>
                  <w:szCs w:val="22"/>
                  <w:lang w:val="en-US"/>
                </w:rPr>
                <w:t>14 million won</w:t>
              </w:r>
            </w:hyperlink>
            <w:r w:rsidR="00DC3288" w:rsidRPr="00217F03">
              <w:rPr>
                <w:rFonts w:ascii="Times New Roman" w:hAnsi="Times New Roman"/>
                <w:sz w:val="22"/>
                <w:szCs w:val="22"/>
                <w:lang w:val="en-US"/>
              </w:rPr>
              <w:t xml:space="preserve"> (around U.S.$12,100) </w:t>
            </w:r>
          </w:p>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fldChar w:fldCharType="begin" w:fldLock="1"/>
            </w:r>
            <w:r>
              <w:rPr>
                <w:rFonts w:ascii="Times New Roman" w:hAnsi="Times New Roman"/>
                <w:sz w:val="22"/>
                <w:szCs w:val="22"/>
                <w:lang w:val="en-US"/>
              </w:rPr>
              <w:instrText>ADDIN CSL_CITATION {"citationItems":[{"id":"ITEM-1","itemData":{"URL":"https://www.theicct.org/blogs/staff/promoting-electric-vehicles-in-korea","accessed":{"date-parts":[["2018","10","15"]]},"author":[{"dropping-particle":"","family":"Kim","given":"Siyou","non-dropping-particle":"","parse-names":false,"suffix":""},{"dropping-particle":"","family":"Yang","given":"Zifei","non-dropping-particle":"","parse-names":false,"suffix":""}],"container-title":"ICCT","id":"ITEM-1","issued":{"date-parts":[["2016"]]},"title":"Promoting electric vehicles in Korea","type":"webpage"},"uris":["http://www.mendeley.com/documents/?uuid=8ee09324-378f-49fc-9dbe-6e1f79ab35a7"]}],"mendeley":{"formattedCitation":"(Kim &amp; Yang, 2016)","plainTextFormattedCitation":"(Kim &amp; Yang, 2016)","previouslyFormattedCitation":"(Kim &amp; Yang, 2016)"},"properties":{"noteIndex":0},"schema":"https://github.com/citation-style-language/schema/raw/master/csl-citation.json"}</w:instrText>
            </w:r>
            <w:r w:rsidRPr="00217F03">
              <w:rPr>
                <w:rFonts w:ascii="Times New Roman" w:hAnsi="Times New Roman"/>
                <w:sz w:val="22"/>
                <w:szCs w:val="22"/>
                <w:lang w:val="en-US"/>
              </w:rPr>
              <w:fldChar w:fldCharType="separate"/>
            </w:r>
            <w:r w:rsidRPr="00217F03">
              <w:rPr>
                <w:rFonts w:ascii="Times New Roman" w:hAnsi="Times New Roman"/>
                <w:noProof/>
                <w:sz w:val="22"/>
                <w:szCs w:val="22"/>
                <w:lang w:val="en-US"/>
              </w:rPr>
              <w:t>(Kim &amp; Yang, 2016)</w:t>
            </w:r>
            <w:r w:rsidRPr="00217F03">
              <w:rPr>
                <w:rFonts w:ascii="Times New Roman" w:hAnsi="Times New Roman"/>
                <w:sz w:val="22"/>
                <w:szCs w:val="22"/>
                <w:lang w:val="en-US"/>
              </w:rPr>
              <w:fldChar w:fldCharType="end"/>
            </w:r>
          </w:p>
        </w:tc>
        <w:tc>
          <w:tcPr>
            <w:tcW w:w="1418"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5" w:type="dxa"/>
          </w:tcPr>
          <w:p w:rsidR="00DC3288" w:rsidRPr="00217F03" w:rsidRDefault="00DC3288" w:rsidP="00587276">
            <w:pPr>
              <w:rPr>
                <w:rFonts w:ascii="Times New Roman" w:hAnsi="Times New Roman"/>
                <w:sz w:val="22"/>
                <w:szCs w:val="22"/>
                <w:lang w:val="en-US"/>
              </w:rPr>
            </w:pPr>
            <w:r w:rsidRPr="00217F03">
              <w:rPr>
                <w:rFonts w:ascii="Times New Roman" w:hAnsi="Times New Roman"/>
                <w:sz w:val="22"/>
                <w:szCs w:val="22"/>
                <w:lang w:val="en-US"/>
              </w:rPr>
              <w:t>Exemption</w:t>
            </w:r>
          </w:p>
        </w:tc>
        <w:tc>
          <w:tcPr>
            <w:tcW w:w="1276"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709" w:type="dxa"/>
          </w:tcPr>
          <w:p w:rsidR="00DC3288" w:rsidRPr="00217F03" w:rsidRDefault="00BB104F" w:rsidP="00587276">
            <w:pPr>
              <w:rPr>
                <w:rFonts w:ascii="Times New Roman" w:hAnsi="Times New Roman"/>
                <w:sz w:val="22"/>
                <w:szCs w:val="22"/>
                <w:lang w:val="en-US"/>
              </w:rPr>
            </w:pPr>
            <w:r>
              <w:rPr>
                <w:rFonts w:ascii="Times New Roman" w:hAnsi="Times New Roman"/>
                <w:sz w:val="22"/>
                <w:szCs w:val="22"/>
                <w:lang w:val="en-US"/>
              </w:rPr>
              <w:t>1</w:t>
            </w:r>
            <w:r w:rsidR="000B3EF9">
              <w:rPr>
                <w:rFonts w:ascii="Times New Roman" w:hAnsi="Times New Roman"/>
                <w:sz w:val="22"/>
                <w:szCs w:val="22"/>
                <w:lang w:val="en-US"/>
              </w:rPr>
              <w:t>0</w:t>
            </w:r>
            <w:r>
              <w:rPr>
                <w:rFonts w:ascii="Times New Roman" w:hAnsi="Times New Roman"/>
                <w:sz w:val="22"/>
                <w:szCs w:val="22"/>
                <w:lang w:val="en-US"/>
              </w:rPr>
              <w:t>%</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r w:rsidR="00DC3288" w:rsidTr="000B3EF9">
        <w:tc>
          <w:tcPr>
            <w:tcW w:w="1129" w:type="dxa"/>
          </w:tcPr>
          <w:p w:rsidR="00DC3288" w:rsidRDefault="00DC3288" w:rsidP="00587276">
            <w:pPr>
              <w:rPr>
                <w:rFonts w:ascii="Times New Roman" w:hAnsi="Times New Roman"/>
                <w:sz w:val="22"/>
                <w:szCs w:val="22"/>
                <w:lang w:val="en-US"/>
              </w:rPr>
            </w:pPr>
            <w:r w:rsidRPr="00217F03">
              <w:rPr>
                <w:rFonts w:ascii="Times New Roman" w:hAnsi="Times New Roman"/>
                <w:sz w:val="22"/>
                <w:szCs w:val="22"/>
                <w:lang w:val="en-US"/>
              </w:rPr>
              <w:t>Canada</w:t>
            </w:r>
          </w:p>
          <w:p w:rsidR="00DC3288" w:rsidRPr="00217F03" w:rsidRDefault="00DC3288" w:rsidP="00587276">
            <w:pPr>
              <w:rPr>
                <w:rFonts w:ascii="Times New Roman" w:hAnsi="Times New Roman"/>
                <w:sz w:val="22"/>
                <w:szCs w:val="22"/>
                <w:lang w:val="en-US"/>
              </w:rPr>
            </w:pPr>
          </w:p>
        </w:tc>
        <w:tc>
          <w:tcPr>
            <w:tcW w:w="1843"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1418"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1275"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1276"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c>
          <w:tcPr>
            <w:tcW w:w="709" w:type="dxa"/>
          </w:tcPr>
          <w:p w:rsidR="00DC3288" w:rsidRPr="00217F03" w:rsidRDefault="000B3EF9" w:rsidP="00587276">
            <w:pPr>
              <w:rPr>
                <w:rFonts w:ascii="Times New Roman" w:hAnsi="Times New Roman"/>
                <w:sz w:val="22"/>
                <w:szCs w:val="22"/>
                <w:lang w:val="en-US"/>
              </w:rPr>
            </w:pPr>
            <w:r>
              <w:rPr>
                <w:rFonts w:ascii="Times New Roman" w:hAnsi="Times New Roman"/>
                <w:sz w:val="22"/>
                <w:szCs w:val="22"/>
                <w:lang w:val="en-US"/>
              </w:rPr>
              <w:t>7%</w:t>
            </w:r>
          </w:p>
        </w:tc>
        <w:tc>
          <w:tcPr>
            <w:tcW w:w="1134" w:type="dxa"/>
          </w:tcPr>
          <w:p w:rsidR="00DC3288" w:rsidRPr="00217F03" w:rsidRDefault="00DC3288" w:rsidP="00587276">
            <w:pPr>
              <w:rPr>
                <w:sz w:val="22"/>
                <w:szCs w:val="22"/>
              </w:rPr>
            </w:pPr>
            <w:r w:rsidRPr="00217F03">
              <w:rPr>
                <w:rFonts w:ascii="Times New Roman" w:hAnsi="Times New Roman"/>
                <w:sz w:val="22"/>
                <w:szCs w:val="22"/>
                <w:lang w:val="en-US"/>
              </w:rPr>
              <w:t>no measure</w:t>
            </w:r>
          </w:p>
        </w:tc>
      </w:tr>
    </w:tbl>
    <w:p w:rsidR="00DC3288" w:rsidRDefault="00DC3288" w:rsidP="00DC3288">
      <w:pPr>
        <w:spacing w:after="120" w:line="360" w:lineRule="auto"/>
        <w:rPr>
          <w:rFonts w:ascii="Times New Roman" w:hAnsi="Times New Roman"/>
          <w:b/>
          <w:lang w:val="en-US"/>
        </w:rPr>
      </w:pPr>
      <w:r>
        <w:rPr>
          <w:rFonts w:ascii="Times New Roman" w:hAnsi="Times New Roman"/>
          <w:b/>
          <w:lang w:val="en-US"/>
        </w:rPr>
        <w:t>Table 2. Summary: EV promotion policies worldwide in 2016</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10"/>
        <w:gridCol w:w="1985"/>
      </w:tblGrid>
      <w:tr w:rsidR="00DC3288" w:rsidRPr="00217F03" w:rsidTr="00587276">
        <w:tc>
          <w:tcPr>
            <w:tcW w:w="2410"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217F03" w:rsidRDefault="00DC3288" w:rsidP="00587276">
            <w:pPr>
              <w:spacing w:before="90"/>
              <w:rPr>
                <w:rFonts w:ascii="Times New Roman" w:hAnsi="Times New Roman"/>
                <w:b/>
                <w:sz w:val="22"/>
                <w:szCs w:val="22"/>
              </w:rPr>
            </w:pPr>
            <w:r w:rsidRPr="00217F03">
              <w:rPr>
                <w:rFonts w:ascii="Times New Roman" w:hAnsi="Times New Roman"/>
                <w:b/>
                <w:sz w:val="22"/>
                <w:szCs w:val="22"/>
              </w:rPr>
              <w:t>Regressor</w:t>
            </w:r>
          </w:p>
        </w:tc>
        <w:tc>
          <w:tcPr>
            <w:tcW w:w="1985"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217F03" w:rsidRDefault="00DC3288" w:rsidP="00587276">
            <w:pPr>
              <w:spacing w:before="90"/>
              <w:rPr>
                <w:rFonts w:ascii="Times New Roman" w:hAnsi="Times New Roman"/>
                <w:b/>
                <w:sz w:val="22"/>
                <w:szCs w:val="22"/>
              </w:rPr>
            </w:pPr>
            <w:proofErr w:type="spellStart"/>
            <w:r w:rsidRPr="00217F03">
              <w:rPr>
                <w:rFonts w:ascii="Times New Roman" w:hAnsi="Times New Roman"/>
                <w:b/>
                <w:sz w:val="22"/>
                <w:szCs w:val="22"/>
              </w:rPr>
              <w:t>Coefficient</w:t>
            </w:r>
            <w:proofErr w:type="spellEnd"/>
          </w:p>
        </w:tc>
      </w:tr>
      <w:tr w:rsidR="00DC3288" w:rsidRPr="00217F03" w:rsidTr="00587276">
        <w:tc>
          <w:tcPr>
            <w:tcW w:w="2410"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 xml:space="preserve">Government </w:t>
            </w:r>
            <w:proofErr w:type="spellStart"/>
            <w:r w:rsidRPr="00217F03">
              <w:rPr>
                <w:rFonts w:ascii="Times New Roman" w:hAnsi="Times New Roman"/>
                <w:sz w:val="22"/>
                <w:szCs w:val="22"/>
              </w:rPr>
              <w:t>grant</w:t>
            </w:r>
            <w:proofErr w:type="spellEnd"/>
            <w:r w:rsidRPr="00217F03">
              <w:rPr>
                <w:rFonts w:ascii="Times New Roman" w:hAnsi="Times New Roman"/>
                <w:sz w:val="22"/>
                <w:szCs w:val="22"/>
              </w:rPr>
              <w:t xml:space="preserve"> </w:t>
            </w:r>
          </w:p>
        </w:tc>
        <w:tc>
          <w:tcPr>
            <w:tcW w:w="1985"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0,000221**</w:t>
            </w:r>
          </w:p>
        </w:tc>
      </w:tr>
      <w:tr w:rsidR="00DC3288" w:rsidRPr="00217F03" w:rsidTr="00587276">
        <w:tc>
          <w:tcPr>
            <w:tcW w:w="2410"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 xml:space="preserve">Government </w:t>
            </w:r>
            <w:proofErr w:type="spellStart"/>
            <w:r w:rsidRPr="00217F03">
              <w:rPr>
                <w:rFonts w:ascii="Times New Roman" w:hAnsi="Times New Roman"/>
                <w:sz w:val="22"/>
                <w:szCs w:val="22"/>
              </w:rPr>
              <w:t>grant</w:t>
            </w:r>
            <w:proofErr w:type="spellEnd"/>
            <w:r w:rsidRPr="00217F03">
              <w:rPr>
                <w:rFonts w:ascii="Times New Roman" w:hAnsi="Times New Roman"/>
                <w:sz w:val="22"/>
                <w:szCs w:val="22"/>
              </w:rPr>
              <w:t xml:space="preserve"> </w:t>
            </w:r>
            <w:proofErr w:type="spellStart"/>
            <w:r w:rsidRPr="00217F03">
              <w:rPr>
                <w:rFonts w:ascii="Times New Roman" w:hAnsi="Times New Roman"/>
                <w:sz w:val="22"/>
                <w:szCs w:val="22"/>
              </w:rPr>
              <w:t>sq</w:t>
            </w:r>
            <w:proofErr w:type="spellEnd"/>
          </w:p>
        </w:tc>
        <w:tc>
          <w:tcPr>
            <w:tcW w:w="1985"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0,000000</w:t>
            </w:r>
          </w:p>
        </w:tc>
      </w:tr>
      <w:tr w:rsidR="00DC3288" w:rsidRPr="00217F03" w:rsidTr="00587276">
        <w:tc>
          <w:tcPr>
            <w:tcW w:w="2410" w:type="dxa"/>
            <w:tcBorders>
              <w:top w:val="single" w:sz="2" w:space="0" w:color="auto"/>
              <w:bottom w:val="single" w:sz="12" w:space="0" w:color="auto"/>
            </w:tcBorders>
            <w:shd w:val="clear" w:color="auto" w:fill="FFFFFF"/>
            <w:noWrap/>
            <w:tcMar>
              <w:top w:w="15" w:type="dxa"/>
              <w:left w:w="105" w:type="dxa"/>
              <w:bottom w:w="15" w:type="dxa"/>
              <w:right w:w="105" w:type="dxa"/>
            </w:tcMar>
          </w:tcPr>
          <w:p w:rsidR="00DC3288" w:rsidRPr="00217F03" w:rsidRDefault="00DC3288" w:rsidP="00587276">
            <w:pPr>
              <w:spacing w:before="90"/>
              <w:rPr>
                <w:rFonts w:ascii="Times New Roman" w:hAnsi="Times New Roman"/>
                <w:sz w:val="22"/>
                <w:szCs w:val="22"/>
              </w:rPr>
            </w:pPr>
          </w:p>
        </w:tc>
        <w:tc>
          <w:tcPr>
            <w:tcW w:w="1985" w:type="dxa"/>
            <w:tcBorders>
              <w:top w:val="single" w:sz="2" w:space="0" w:color="auto"/>
              <w:bottom w:val="single" w:sz="12" w:space="0" w:color="auto"/>
            </w:tcBorders>
            <w:shd w:val="clear" w:color="auto" w:fill="FFFFFF"/>
            <w:noWrap/>
            <w:tcMar>
              <w:top w:w="15" w:type="dxa"/>
              <w:left w:w="105" w:type="dxa"/>
              <w:bottom w:w="15" w:type="dxa"/>
              <w:right w:w="105" w:type="dxa"/>
            </w:tcMar>
          </w:tcPr>
          <w:p w:rsidR="00DC3288" w:rsidRPr="00217F03" w:rsidRDefault="00DC3288" w:rsidP="00587276">
            <w:pPr>
              <w:spacing w:before="90"/>
              <w:rPr>
                <w:rFonts w:ascii="Times New Roman" w:hAnsi="Times New Roman"/>
                <w:sz w:val="22"/>
                <w:szCs w:val="22"/>
              </w:rPr>
            </w:pPr>
          </w:p>
        </w:tc>
      </w:tr>
      <w:tr w:rsidR="00DC3288" w:rsidRPr="00217F03" w:rsidTr="00587276">
        <w:tc>
          <w:tcPr>
            <w:tcW w:w="2410"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b/>
                <w:sz w:val="22"/>
                <w:szCs w:val="22"/>
              </w:rPr>
            </w:pPr>
            <w:r w:rsidRPr="00217F03">
              <w:rPr>
                <w:rFonts w:ascii="Times New Roman" w:hAnsi="Times New Roman"/>
                <w:b/>
                <w:sz w:val="22"/>
                <w:szCs w:val="22"/>
              </w:rPr>
              <w:t xml:space="preserve">Summary </w:t>
            </w:r>
            <w:proofErr w:type="spellStart"/>
            <w:r w:rsidRPr="00217F03">
              <w:rPr>
                <w:rFonts w:ascii="Times New Roman" w:hAnsi="Times New Roman"/>
                <w:b/>
                <w:sz w:val="22"/>
                <w:szCs w:val="22"/>
              </w:rPr>
              <w:t>Statistics</w:t>
            </w:r>
            <w:proofErr w:type="spellEnd"/>
          </w:p>
        </w:tc>
        <w:tc>
          <w:tcPr>
            <w:tcW w:w="1985"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 xml:space="preserve">  </w:t>
            </w:r>
          </w:p>
        </w:tc>
      </w:tr>
      <w:tr w:rsidR="00DC3288" w:rsidRPr="00217F03" w:rsidTr="00587276">
        <w:tc>
          <w:tcPr>
            <w:tcW w:w="2410"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S</w:t>
            </w:r>
            <w:r>
              <w:rPr>
                <w:rFonts w:ascii="Times New Roman" w:hAnsi="Times New Roman"/>
                <w:sz w:val="22"/>
                <w:szCs w:val="22"/>
              </w:rPr>
              <w:t>ER</w:t>
            </w:r>
          </w:p>
        </w:tc>
        <w:tc>
          <w:tcPr>
            <w:tcW w:w="1985" w:type="dxa"/>
            <w:tcBorders>
              <w:top w:val="single" w:sz="12" w:space="0" w:color="auto"/>
              <w:left w:val="nil"/>
              <w:bottom w:val="single" w:sz="2" w:space="0" w:color="auto"/>
              <w:right w:val="nil"/>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1,79130</w:t>
            </w:r>
          </w:p>
        </w:tc>
      </w:tr>
      <w:tr w:rsidR="00DC3288" w:rsidRPr="00217F03" w:rsidTr="00587276">
        <w:tc>
          <w:tcPr>
            <w:tcW w:w="2410"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R-</w:t>
            </w:r>
            <w:proofErr w:type="spellStart"/>
            <w:r w:rsidRPr="00217F03">
              <w:rPr>
                <w:rFonts w:ascii="Times New Roman" w:hAnsi="Times New Roman"/>
                <w:sz w:val="22"/>
                <w:szCs w:val="22"/>
              </w:rPr>
              <w:t>sq</w:t>
            </w:r>
            <w:proofErr w:type="spellEnd"/>
          </w:p>
        </w:tc>
        <w:tc>
          <w:tcPr>
            <w:tcW w:w="1985" w:type="dxa"/>
            <w:tcBorders>
              <w:top w:val="single" w:sz="2" w:space="0" w:color="auto"/>
              <w:left w:val="nil"/>
              <w:bottom w:val="single" w:sz="2" w:space="0" w:color="auto"/>
              <w:right w:val="nil"/>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24,52%</w:t>
            </w:r>
          </w:p>
        </w:tc>
      </w:tr>
      <w:tr w:rsidR="00DC3288" w:rsidRPr="00217F03" w:rsidTr="00587276">
        <w:tc>
          <w:tcPr>
            <w:tcW w:w="2410" w:type="dxa"/>
            <w:tcBorders>
              <w:top w:val="single" w:sz="2" w:space="0" w:color="auto"/>
              <w:bottom w:val="single" w:sz="12" w:space="0" w:color="auto"/>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lastRenderedPageBreak/>
              <w:t>R-</w:t>
            </w:r>
            <w:proofErr w:type="spellStart"/>
            <w:r w:rsidRPr="00217F03">
              <w:rPr>
                <w:rFonts w:ascii="Times New Roman" w:hAnsi="Times New Roman"/>
                <w:sz w:val="22"/>
                <w:szCs w:val="22"/>
              </w:rPr>
              <w:t>sq</w:t>
            </w:r>
            <w:proofErr w:type="spellEnd"/>
            <w:r w:rsidRPr="00217F03">
              <w:rPr>
                <w:rFonts w:ascii="Times New Roman" w:hAnsi="Times New Roman"/>
                <w:sz w:val="22"/>
                <w:szCs w:val="22"/>
              </w:rPr>
              <w:t>(</w:t>
            </w:r>
            <w:proofErr w:type="spellStart"/>
            <w:r w:rsidRPr="00217F03">
              <w:rPr>
                <w:rFonts w:ascii="Times New Roman" w:hAnsi="Times New Roman"/>
                <w:sz w:val="22"/>
                <w:szCs w:val="22"/>
              </w:rPr>
              <w:t>adj</w:t>
            </w:r>
            <w:proofErr w:type="spellEnd"/>
            <w:r w:rsidRPr="00217F03">
              <w:rPr>
                <w:rFonts w:ascii="Times New Roman" w:hAnsi="Times New Roman"/>
                <w:sz w:val="22"/>
                <w:szCs w:val="22"/>
              </w:rPr>
              <w:t>)</w:t>
            </w:r>
          </w:p>
        </w:tc>
        <w:tc>
          <w:tcPr>
            <w:tcW w:w="1985" w:type="dxa"/>
            <w:tcBorders>
              <w:top w:val="single" w:sz="2" w:space="0" w:color="auto"/>
              <w:left w:val="nil"/>
              <w:bottom w:val="single" w:sz="12" w:space="0" w:color="auto"/>
              <w:right w:val="nil"/>
            </w:tcBorders>
            <w:shd w:val="clear" w:color="auto" w:fill="FFFFFF"/>
            <w:noWrap/>
            <w:tcMar>
              <w:top w:w="15" w:type="dxa"/>
              <w:left w:w="105" w:type="dxa"/>
              <w:bottom w:w="15" w:type="dxa"/>
              <w:right w:w="105" w:type="dxa"/>
            </w:tcMar>
            <w:hideMark/>
          </w:tcPr>
          <w:p w:rsidR="00DC3288" w:rsidRPr="00217F03" w:rsidRDefault="00DC3288" w:rsidP="00587276">
            <w:pPr>
              <w:spacing w:before="90"/>
              <w:rPr>
                <w:rFonts w:ascii="Times New Roman" w:hAnsi="Times New Roman"/>
                <w:sz w:val="22"/>
                <w:szCs w:val="22"/>
              </w:rPr>
            </w:pPr>
            <w:r w:rsidRPr="00217F03">
              <w:rPr>
                <w:rFonts w:ascii="Times New Roman" w:hAnsi="Times New Roman"/>
                <w:sz w:val="22"/>
                <w:szCs w:val="22"/>
              </w:rPr>
              <w:t>23,80%</w:t>
            </w:r>
          </w:p>
        </w:tc>
      </w:tr>
    </w:tbl>
    <w:p w:rsidR="00DC3288" w:rsidRPr="00451DEE" w:rsidRDefault="00DC3288" w:rsidP="00DC3288">
      <w:pPr>
        <w:shd w:val="clear" w:color="auto" w:fill="FFFFFF"/>
        <w:spacing w:after="75"/>
        <w:rPr>
          <w:rFonts w:ascii="Times New Roman" w:hAnsi="Times New Roman"/>
          <w:vanish/>
        </w:rPr>
      </w:pPr>
      <w:bookmarkStart w:id="35" w:name="_Hlk535276519"/>
      <w:r w:rsidRPr="00451DEE">
        <w:rPr>
          <w:rFonts w:ascii="Times New Roman" w:hAnsi="Times New Roman"/>
          <w:b/>
          <w:vanish/>
        </w:rPr>
        <w:t>^</w:t>
      </w:r>
      <w:r w:rsidRPr="00451DEE">
        <w:rPr>
          <w:rFonts w:ascii="Times New Roman" w:hAnsi="Times New Roman"/>
          <w:vanish/>
        </w:rPr>
        <w:t xml:space="preserve"> P</w:t>
      </w:r>
      <w:r>
        <w:rPr>
          <w:rFonts w:ascii="Times New Roman" w:hAnsi="Times New Roman"/>
          <w:vanish/>
        </w:rPr>
        <w:t xml:space="preserve"> </w:t>
      </w:r>
      <w:r w:rsidRPr="00451DEE">
        <w:rPr>
          <w:rFonts w:ascii="Times New Roman" w:hAnsi="Times New Roman"/>
          <w:vanish/>
        </w:rPr>
        <w:t>&lt;</w:t>
      </w:r>
      <w:r>
        <w:rPr>
          <w:rFonts w:ascii="Times New Roman" w:hAnsi="Times New Roman"/>
          <w:vanish/>
        </w:rPr>
        <w:t xml:space="preserve"> </w:t>
      </w:r>
      <w:r w:rsidRPr="00451DEE">
        <w:rPr>
          <w:rFonts w:ascii="Times New Roman" w:hAnsi="Times New Roman"/>
          <w:vanish/>
        </w:rPr>
        <w:t>0</w:t>
      </w:r>
      <w:r>
        <w:rPr>
          <w:rFonts w:ascii="Times New Roman" w:hAnsi="Times New Roman"/>
          <w:vanish/>
        </w:rPr>
        <w:t>,</w:t>
      </w:r>
      <w:r w:rsidRPr="00451DEE">
        <w:rPr>
          <w:rFonts w:ascii="Times New Roman" w:hAnsi="Times New Roman"/>
          <w:vanish/>
        </w:rPr>
        <w:t>1; * P&lt;0</w:t>
      </w:r>
      <w:r>
        <w:rPr>
          <w:rFonts w:ascii="Times New Roman" w:hAnsi="Times New Roman"/>
          <w:vanish/>
        </w:rPr>
        <w:t>,</w:t>
      </w:r>
      <w:r w:rsidRPr="00451DEE">
        <w:rPr>
          <w:rFonts w:ascii="Times New Roman" w:hAnsi="Times New Roman"/>
          <w:vanish/>
        </w:rPr>
        <w:t>05; ** P&lt;0</w:t>
      </w:r>
      <w:r>
        <w:rPr>
          <w:rFonts w:ascii="Times New Roman" w:hAnsi="Times New Roman"/>
          <w:vanish/>
        </w:rPr>
        <w:t>,</w:t>
      </w:r>
      <w:r w:rsidRPr="00451DEE">
        <w:rPr>
          <w:rFonts w:ascii="Times New Roman" w:hAnsi="Times New Roman"/>
          <w:vanish/>
        </w:rPr>
        <w:t>01</w:t>
      </w:r>
    </w:p>
    <w:bookmarkEnd w:id="35"/>
    <w:p w:rsidR="00DC3288" w:rsidRDefault="00DC3288" w:rsidP="00DC3288">
      <w:pPr>
        <w:spacing w:after="120" w:line="360" w:lineRule="auto"/>
        <w:rPr>
          <w:rFonts w:ascii="Times New Roman" w:hAnsi="Times New Roman"/>
          <w:b/>
          <w:lang w:val="en-US"/>
        </w:rPr>
      </w:pPr>
      <w:r w:rsidRPr="00217F03">
        <w:rPr>
          <w:rFonts w:ascii="Times New Roman" w:hAnsi="Times New Roman"/>
          <w:b/>
          <w:sz w:val="22"/>
          <w:szCs w:val="22"/>
          <w:lang w:val="en-US"/>
        </w:rPr>
        <w:t>Table 3. Regression output: linear vs polynomial model</w:t>
      </w:r>
    </w:p>
    <w:p w:rsidR="00DC3288" w:rsidRPr="00FA259A" w:rsidRDefault="00DC3288" w:rsidP="00DC3288">
      <w:pPr>
        <w:shd w:val="clear" w:color="auto" w:fill="FFFFFF"/>
        <w:spacing w:after="75"/>
        <w:rPr>
          <w:rFonts w:ascii="Times New Roman" w:hAnsi="Times New Roman"/>
          <w:b/>
          <w:sz w:val="24"/>
          <w:szCs w:val="24"/>
        </w:rPr>
      </w:pPr>
      <w:r w:rsidRPr="00FA259A">
        <w:rPr>
          <w:rFonts w:ascii="Times New Roman" w:hAnsi="Times New Roman"/>
          <w:b/>
          <w:sz w:val="24"/>
          <w:szCs w:val="24"/>
        </w:rPr>
        <w:t>Method</w:t>
      </w:r>
    </w:p>
    <w:tbl>
      <w:tblPr>
        <w:tblW w:w="0" w:type="auto"/>
        <w:tblCellMar>
          <w:top w:w="15" w:type="dxa"/>
          <w:left w:w="15" w:type="dxa"/>
          <w:bottom w:w="15" w:type="dxa"/>
          <w:right w:w="15" w:type="dxa"/>
        </w:tblCellMar>
        <w:tblLook w:val="04A0" w:firstRow="1" w:lastRow="0" w:firstColumn="1" w:lastColumn="0" w:noHBand="0" w:noVBand="1"/>
      </w:tblPr>
      <w:tblGrid>
        <w:gridCol w:w="2196"/>
        <w:gridCol w:w="2287"/>
      </w:tblGrid>
      <w:tr w:rsidR="00DC3288" w:rsidRPr="000822C1" w:rsidTr="00587276">
        <w:tc>
          <w:tcPr>
            <w:tcW w:w="0" w:type="auto"/>
            <w:tcBorders>
              <w:top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Null </w:t>
            </w:r>
            <w:proofErr w:type="spellStart"/>
            <w:r w:rsidRPr="000822C1">
              <w:rPr>
                <w:rFonts w:ascii="Times New Roman" w:hAnsi="Times New Roman"/>
                <w:sz w:val="22"/>
                <w:szCs w:val="22"/>
              </w:rPr>
              <w:t>hypothesis</w:t>
            </w:r>
            <w:proofErr w:type="spellEnd"/>
          </w:p>
        </w:tc>
        <w:tc>
          <w:tcPr>
            <w:tcW w:w="0" w:type="auto"/>
            <w:tcBorders>
              <w:top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All </w:t>
            </w:r>
            <w:proofErr w:type="spellStart"/>
            <w:r w:rsidRPr="000822C1">
              <w:rPr>
                <w:rFonts w:ascii="Times New Roman" w:hAnsi="Times New Roman"/>
                <w:sz w:val="22"/>
                <w:szCs w:val="22"/>
              </w:rPr>
              <w:t>means</w:t>
            </w:r>
            <w:proofErr w:type="spellEnd"/>
            <w:r w:rsidRPr="000822C1">
              <w:rPr>
                <w:rFonts w:ascii="Times New Roman" w:hAnsi="Times New Roman"/>
                <w:sz w:val="22"/>
                <w:szCs w:val="22"/>
              </w:rPr>
              <w:t xml:space="preserve"> </w:t>
            </w:r>
            <w:proofErr w:type="spellStart"/>
            <w:r w:rsidRPr="000822C1">
              <w:rPr>
                <w:rFonts w:ascii="Times New Roman" w:hAnsi="Times New Roman"/>
                <w:sz w:val="22"/>
                <w:szCs w:val="22"/>
              </w:rPr>
              <w:t>are</w:t>
            </w:r>
            <w:proofErr w:type="spellEnd"/>
            <w:r w:rsidRPr="000822C1">
              <w:rPr>
                <w:rFonts w:ascii="Times New Roman" w:hAnsi="Times New Roman"/>
                <w:sz w:val="22"/>
                <w:szCs w:val="22"/>
              </w:rPr>
              <w:t xml:space="preserve"> </w:t>
            </w:r>
            <w:proofErr w:type="spellStart"/>
            <w:r w:rsidRPr="000822C1">
              <w:rPr>
                <w:rFonts w:ascii="Times New Roman" w:hAnsi="Times New Roman"/>
                <w:sz w:val="22"/>
                <w:szCs w:val="22"/>
              </w:rPr>
              <w:t>equal</w:t>
            </w:r>
            <w:proofErr w:type="spellEnd"/>
          </w:p>
        </w:tc>
      </w:tr>
      <w:tr w:rsidR="00DC3288" w:rsidRPr="0066304D" w:rsidTr="00587276">
        <w:tc>
          <w:tcPr>
            <w:tcW w:w="0" w:type="auto"/>
            <w:tcBorders>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Alternative </w:t>
            </w:r>
            <w:proofErr w:type="spellStart"/>
            <w:r w:rsidRPr="000822C1">
              <w:rPr>
                <w:rFonts w:ascii="Times New Roman" w:hAnsi="Times New Roman"/>
                <w:sz w:val="22"/>
                <w:szCs w:val="22"/>
              </w:rPr>
              <w:t>hypothesis</w:t>
            </w:r>
            <w:proofErr w:type="spellEnd"/>
          </w:p>
        </w:tc>
        <w:tc>
          <w:tcPr>
            <w:tcW w:w="0" w:type="auto"/>
            <w:tcBorders>
              <w:bottom w:val="single" w:sz="2" w:space="0" w:color="auto"/>
            </w:tcBorders>
            <w:shd w:val="clear" w:color="auto" w:fill="FFFFFF"/>
            <w:noWrap/>
            <w:tcMar>
              <w:top w:w="15" w:type="dxa"/>
              <w:left w:w="105" w:type="dxa"/>
              <w:bottom w:w="15" w:type="dxa"/>
              <w:right w:w="105" w:type="dxa"/>
            </w:tcMar>
            <w:hideMark/>
          </w:tcPr>
          <w:p w:rsidR="00DC3288" w:rsidRPr="003163AE" w:rsidRDefault="00DC3288" w:rsidP="00587276">
            <w:pPr>
              <w:spacing w:before="90"/>
              <w:rPr>
                <w:rFonts w:ascii="Times New Roman" w:hAnsi="Times New Roman"/>
                <w:sz w:val="22"/>
                <w:szCs w:val="22"/>
                <w:lang w:val="en-US"/>
              </w:rPr>
            </w:pPr>
            <w:r w:rsidRPr="003163AE">
              <w:rPr>
                <w:rFonts w:ascii="Times New Roman" w:hAnsi="Times New Roman"/>
                <w:sz w:val="22"/>
                <w:szCs w:val="22"/>
                <w:lang w:val="en-US"/>
              </w:rPr>
              <w:t>Not all means are equal</w:t>
            </w:r>
          </w:p>
        </w:tc>
      </w:tr>
    </w:tbl>
    <w:p w:rsidR="00DC3288" w:rsidRPr="008945DE" w:rsidRDefault="00DC3288" w:rsidP="00DC3288">
      <w:pPr>
        <w:shd w:val="clear" w:color="auto" w:fill="FFFFFF"/>
        <w:spacing w:after="75"/>
        <w:rPr>
          <w:rFonts w:ascii="Times New Roman" w:hAnsi="Times New Roman"/>
          <w:i/>
          <w:iCs/>
          <w:lang w:val="en-US"/>
        </w:rPr>
      </w:pPr>
      <w:r w:rsidRPr="008945DE">
        <w:rPr>
          <w:rFonts w:ascii="Times New Roman" w:hAnsi="Times New Roman"/>
          <w:i/>
          <w:iCs/>
          <w:lang w:val="en-US"/>
        </w:rPr>
        <w:t>Equal variances were assumed for the analysis.</w:t>
      </w:r>
    </w:p>
    <w:p w:rsidR="00DC3288" w:rsidRPr="00FA259A" w:rsidRDefault="00DC3288" w:rsidP="00DC3288">
      <w:pPr>
        <w:shd w:val="clear" w:color="auto" w:fill="FFFFFF"/>
        <w:spacing w:after="75"/>
        <w:rPr>
          <w:rFonts w:ascii="Times New Roman" w:hAnsi="Times New Roman"/>
          <w:b/>
          <w:sz w:val="24"/>
          <w:szCs w:val="24"/>
        </w:rPr>
      </w:pPr>
      <w:r w:rsidRPr="00FA259A">
        <w:rPr>
          <w:rFonts w:ascii="Times New Roman" w:hAnsi="Times New Roman"/>
          <w:b/>
          <w:sz w:val="24"/>
          <w:szCs w:val="24"/>
        </w:rPr>
        <w:t xml:space="preserve">Analysis </w:t>
      </w:r>
      <w:proofErr w:type="spellStart"/>
      <w:r w:rsidRPr="00FA259A">
        <w:rPr>
          <w:rFonts w:ascii="Times New Roman" w:hAnsi="Times New Roman"/>
          <w:b/>
          <w:sz w:val="24"/>
          <w:szCs w:val="24"/>
        </w:rPr>
        <w:t>of</w:t>
      </w:r>
      <w:proofErr w:type="spellEnd"/>
      <w:r w:rsidRPr="00FA259A">
        <w:rPr>
          <w:rFonts w:ascii="Times New Roman" w:hAnsi="Times New Roman"/>
          <w:b/>
          <w:sz w:val="24"/>
          <w:szCs w:val="24"/>
        </w:rPr>
        <w:t xml:space="preserve"> </w:t>
      </w:r>
      <w:proofErr w:type="spellStart"/>
      <w:r w:rsidRPr="00FA259A">
        <w:rPr>
          <w:rFonts w:ascii="Times New Roman" w:hAnsi="Times New Roman"/>
          <w:b/>
          <w:sz w:val="24"/>
          <w:szCs w:val="24"/>
        </w:rPr>
        <w:t>Variance</w:t>
      </w:r>
      <w:proofErr w:type="spellEnd"/>
    </w:p>
    <w:tbl>
      <w:tblPr>
        <w:tblW w:w="0" w:type="auto"/>
        <w:tblLayout w:type="fixed"/>
        <w:tblCellMar>
          <w:top w:w="15" w:type="dxa"/>
          <w:left w:w="15" w:type="dxa"/>
          <w:bottom w:w="15" w:type="dxa"/>
          <w:right w:w="15" w:type="dxa"/>
        </w:tblCellMar>
        <w:tblLook w:val="04A0" w:firstRow="1" w:lastRow="0" w:firstColumn="1" w:lastColumn="0" w:noHBand="0" w:noVBand="1"/>
      </w:tblPr>
      <w:tblGrid>
        <w:gridCol w:w="932"/>
        <w:gridCol w:w="628"/>
        <w:gridCol w:w="1275"/>
        <w:gridCol w:w="1276"/>
        <w:gridCol w:w="1134"/>
        <w:gridCol w:w="1276"/>
      </w:tblGrid>
      <w:tr w:rsidR="00DC3288" w:rsidRPr="00FA259A" w:rsidTr="00587276">
        <w:tc>
          <w:tcPr>
            <w:tcW w:w="932"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0822C1" w:rsidRDefault="00DC3288" w:rsidP="00587276">
            <w:pPr>
              <w:spacing w:before="90"/>
              <w:rPr>
                <w:rFonts w:ascii="Times New Roman" w:hAnsi="Times New Roman"/>
                <w:b/>
                <w:sz w:val="22"/>
                <w:szCs w:val="22"/>
              </w:rPr>
            </w:pPr>
            <w:r w:rsidRPr="000822C1">
              <w:rPr>
                <w:rFonts w:ascii="Times New Roman" w:hAnsi="Times New Roman"/>
                <w:b/>
                <w:sz w:val="22"/>
                <w:szCs w:val="22"/>
              </w:rPr>
              <w:t>Source</w:t>
            </w:r>
          </w:p>
        </w:tc>
        <w:tc>
          <w:tcPr>
            <w:tcW w:w="628"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0822C1" w:rsidRDefault="00DC3288" w:rsidP="00587276">
            <w:pPr>
              <w:spacing w:before="90"/>
              <w:rPr>
                <w:rFonts w:ascii="Times New Roman" w:hAnsi="Times New Roman"/>
                <w:b/>
                <w:sz w:val="22"/>
                <w:szCs w:val="22"/>
              </w:rPr>
            </w:pPr>
            <w:r w:rsidRPr="000822C1">
              <w:rPr>
                <w:rFonts w:ascii="Times New Roman" w:hAnsi="Times New Roman"/>
                <w:b/>
                <w:sz w:val="22"/>
                <w:szCs w:val="22"/>
              </w:rPr>
              <w:t>DF</w:t>
            </w:r>
          </w:p>
        </w:tc>
        <w:tc>
          <w:tcPr>
            <w:tcW w:w="1275"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0822C1" w:rsidRDefault="00DC3288" w:rsidP="00587276">
            <w:pPr>
              <w:spacing w:before="90"/>
              <w:rPr>
                <w:rFonts w:ascii="Times New Roman" w:hAnsi="Times New Roman"/>
                <w:b/>
                <w:sz w:val="22"/>
                <w:szCs w:val="22"/>
              </w:rPr>
            </w:pPr>
            <w:proofErr w:type="spellStart"/>
            <w:r w:rsidRPr="000822C1">
              <w:rPr>
                <w:rFonts w:ascii="Times New Roman" w:hAnsi="Times New Roman"/>
                <w:b/>
                <w:sz w:val="22"/>
                <w:szCs w:val="22"/>
              </w:rPr>
              <w:t>Adj</w:t>
            </w:r>
            <w:proofErr w:type="spellEnd"/>
            <w:r w:rsidRPr="000822C1">
              <w:rPr>
                <w:rFonts w:ascii="Times New Roman" w:hAnsi="Times New Roman"/>
                <w:b/>
                <w:sz w:val="22"/>
                <w:szCs w:val="22"/>
              </w:rPr>
              <w:t xml:space="preserve"> SS</w:t>
            </w:r>
          </w:p>
        </w:tc>
        <w:tc>
          <w:tcPr>
            <w:tcW w:w="1276"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0822C1" w:rsidRDefault="00DC3288" w:rsidP="00587276">
            <w:pPr>
              <w:spacing w:before="90"/>
              <w:rPr>
                <w:rFonts w:ascii="Times New Roman" w:hAnsi="Times New Roman"/>
                <w:b/>
                <w:sz w:val="22"/>
                <w:szCs w:val="22"/>
              </w:rPr>
            </w:pPr>
            <w:proofErr w:type="spellStart"/>
            <w:r w:rsidRPr="000822C1">
              <w:rPr>
                <w:rFonts w:ascii="Times New Roman" w:hAnsi="Times New Roman"/>
                <w:b/>
                <w:sz w:val="22"/>
                <w:szCs w:val="22"/>
              </w:rPr>
              <w:t>Adj</w:t>
            </w:r>
            <w:proofErr w:type="spellEnd"/>
            <w:r w:rsidRPr="000822C1">
              <w:rPr>
                <w:rFonts w:ascii="Times New Roman" w:hAnsi="Times New Roman"/>
                <w:b/>
                <w:sz w:val="22"/>
                <w:szCs w:val="22"/>
              </w:rPr>
              <w:t xml:space="preserve"> MS</w:t>
            </w:r>
          </w:p>
        </w:tc>
        <w:tc>
          <w:tcPr>
            <w:tcW w:w="1134"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0822C1" w:rsidRDefault="00DC3288" w:rsidP="00587276">
            <w:pPr>
              <w:spacing w:before="90"/>
              <w:rPr>
                <w:rFonts w:ascii="Times New Roman" w:hAnsi="Times New Roman"/>
                <w:b/>
                <w:sz w:val="22"/>
                <w:szCs w:val="22"/>
              </w:rPr>
            </w:pPr>
            <w:r w:rsidRPr="000822C1">
              <w:rPr>
                <w:rFonts w:ascii="Times New Roman" w:hAnsi="Times New Roman"/>
                <w:b/>
                <w:sz w:val="22"/>
                <w:szCs w:val="22"/>
              </w:rPr>
              <w:t>F-Value</w:t>
            </w:r>
          </w:p>
        </w:tc>
        <w:tc>
          <w:tcPr>
            <w:tcW w:w="1276"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DC3288" w:rsidRPr="000822C1" w:rsidRDefault="00DC3288" w:rsidP="00587276">
            <w:pPr>
              <w:spacing w:before="90"/>
              <w:rPr>
                <w:rFonts w:ascii="Times New Roman" w:hAnsi="Times New Roman"/>
                <w:b/>
                <w:sz w:val="22"/>
                <w:szCs w:val="22"/>
              </w:rPr>
            </w:pPr>
            <w:r w:rsidRPr="000822C1">
              <w:rPr>
                <w:rFonts w:ascii="Times New Roman" w:hAnsi="Times New Roman"/>
                <w:b/>
                <w:sz w:val="22"/>
                <w:szCs w:val="22"/>
              </w:rPr>
              <w:t>P-Value</w:t>
            </w:r>
          </w:p>
        </w:tc>
      </w:tr>
      <w:tr w:rsidR="00DC3288" w:rsidRPr="00FA259A" w:rsidTr="00587276">
        <w:tc>
          <w:tcPr>
            <w:tcW w:w="932"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Country</w:t>
            </w:r>
          </w:p>
        </w:tc>
        <w:tc>
          <w:tcPr>
            <w:tcW w:w="628"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16</w:t>
            </w:r>
          </w:p>
        </w:tc>
        <w:tc>
          <w:tcPr>
            <w:tcW w:w="1275"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0,000744</w:t>
            </w:r>
          </w:p>
        </w:tc>
        <w:tc>
          <w:tcPr>
            <w:tcW w:w="1276"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0,000046</w:t>
            </w:r>
          </w:p>
        </w:tc>
        <w:tc>
          <w:tcPr>
            <w:tcW w:w="1134"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8,14</w:t>
            </w:r>
          </w:p>
        </w:tc>
        <w:tc>
          <w:tcPr>
            <w:tcW w:w="1276" w:type="dxa"/>
            <w:tcBorders>
              <w:top w:val="single" w:sz="1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0,000</w:t>
            </w:r>
          </w:p>
        </w:tc>
      </w:tr>
      <w:tr w:rsidR="00DC3288" w:rsidRPr="00FA259A" w:rsidTr="00587276">
        <w:tc>
          <w:tcPr>
            <w:tcW w:w="932"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Error</w:t>
            </w:r>
          </w:p>
        </w:tc>
        <w:tc>
          <w:tcPr>
            <w:tcW w:w="628"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212</w:t>
            </w:r>
          </w:p>
        </w:tc>
        <w:tc>
          <w:tcPr>
            <w:tcW w:w="1275"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0,001210</w:t>
            </w:r>
          </w:p>
        </w:tc>
        <w:tc>
          <w:tcPr>
            <w:tcW w:w="1276"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0,000006</w:t>
            </w:r>
          </w:p>
        </w:tc>
        <w:tc>
          <w:tcPr>
            <w:tcW w:w="1134" w:type="dxa"/>
            <w:tcBorders>
              <w:top w:val="single" w:sz="2" w:space="0" w:color="auto"/>
              <w:left w:val="nil"/>
              <w:bottom w:val="single" w:sz="2" w:space="0" w:color="auto"/>
              <w:right w:val="nil"/>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  </w:t>
            </w:r>
          </w:p>
        </w:tc>
        <w:tc>
          <w:tcPr>
            <w:tcW w:w="1276" w:type="dxa"/>
            <w:tcBorders>
              <w:top w:val="single" w:sz="2" w:space="0" w:color="auto"/>
              <w:left w:val="nil"/>
              <w:bottom w:val="single" w:sz="2" w:space="0" w:color="auto"/>
              <w:right w:val="nil"/>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  </w:t>
            </w:r>
          </w:p>
        </w:tc>
      </w:tr>
      <w:tr w:rsidR="00DC3288" w:rsidRPr="00FA259A" w:rsidTr="00587276">
        <w:tc>
          <w:tcPr>
            <w:tcW w:w="932"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Total</w:t>
            </w:r>
          </w:p>
        </w:tc>
        <w:tc>
          <w:tcPr>
            <w:tcW w:w="628"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228</w:t>
            </w:r>
          </w:p>
        </w:tc>
        <w:tc>
          <w:tcPr>
            <w:tcW w:w="1275" w:type="dxa"/>
            <w:tcBorders>
              <w:top w:val="single" w:sz="2" w:space="0" w:color="auto"/>
              <w:bottom w:val="single" w:sz="2" w:space="0" w:color="auto"/>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0,001954</w:t>
            </w:r>
          </w:p>
        </w:tc>
        <w:tc>
          <w:tcPr>
            <w:tcW w:w="1276" w:type="dxa"/>
            <w:tcBorders>
              <w:top w:val="single" w:sz="2" w:space="0" w:color="auto"/>
              <w:left w:val="nil"/>
              <w:bottom w:val="single" w:sz="2" w:space="0" w:color="auto"/>
              <w:right w:val="nil"/>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  </w:t>
            </w:r>
          </w:p>
        </w:tc>
        <w:tc>
          <w:tcPr>
            <w:tcW w:w="1134" w:type="dxa"/>
            <w:tcBorders>
              <w:top w:val="single" w:sz="2" w:space="0" w:color="auto"/>
              <w:left w:val="nil"/>
              <w:bottom w:val="single" w:sz="2" w:space="0" w:color="auto"/>
              <w:right w:val="nil"/>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  </w:t>
            </w:r>
          </w:p>
        </w:tc>
        <w:tc>
          <w:tcPr>
            <w:tcW w:w="1276" w:type="dxa"/>
            <w:tcBorders>
              <w:top w:val="single" w:sz="2" w:space="0" w:color="auto"/>
              <w:left w:val="nil"/>
              <w:bottom w:val="single" w:sz="2" w:space="0" w:color="auto"/>
              <w:right w:val="nil"/>
            </w:tcBorders>
            <w:shd w:val="clear" w:color="auto" w:fill="FFFFFF"/>
            <w:noWrap/>
            <w:tcMar>
              <w:top w:w="15" w:type="dxa"/>
              <w:left w:w="105" w:type="dxa"/>
              <w:bottom w:w="15" w:type="dxa"/>
              <w:right w:w="105" w:type="dxa"/>
            </w:tcMar>
            <w:hideMark/>
          </w:tcPr>
          <w:p w:rsidR="00DC3288" w:rsidRPr="000822C1" w:rsidRDefault="00DC3288" w:rsidP="00587276">
            <w:pPr>
              <w:spacing w:before="90"/>
              <w:rPr>
                <w:rFonts w:ascii="Times New Roman" w:hAnsi="Times New Roman"/>
                <w:sz w:val="22"/>
                <w:szCs w:val="22"/>
              </w:rPr>
            </w:pPr>
            <w:r w:rsidRPr="000822C1">
              <w:rPr>
                <w:rFonts w:ascii="Times New Roman" w:hAnsi="Times New Roman"/>
                <w:sz w:val="22"/>
                <w:szCs w:val="22"/>
              </w:rPr>
              <w:t xml:space="preserve">  </w:t>
            </w:r>
          </w:p>
        </w:tc>
      </w:tr>
    </w:tbl>
    <w:p w:rsidR="00DC3288" w:rsidRPr="007A762B" w:rsidRDefault="00DC3288" w:rsidP="00DC3288">
      <w:pPr>
        <w:spacing w:after="120" w:line="360" w:lineRule="auto"/>
        <w:rPr>
          <w:rFonts w:ascii="Times New Roman" w:hAnsi="Times New Roman"/>
          <w:b/>
          <w:lang w:val="en-US"/>
        </w:rPr>
      </w:pPr>
      <w:r>
        <w:rPr>
          <w:rFonts w:ascii="Times New Roman" w:hAnsi="Times New Roman"/>
          <w:b/>
          <w:lang w:val="en-US"/>
        </w:rPr>
        <w:t xml:space="preserve">Table 4. </w:t>
      </w:r>
      <w:proofErr w:type="spellStart"/>
      <w:r w:rsidRPr="00D034E4">
        <w:rPr>
          <w:rFonts w:ascii="Times New Roman" w:hAnsi="Times New Roman"/>
          <w:b/>
          <w:lang w:val="en-US"/>
        </w:rPr>
        <w:t>Levene’s</w:t>
      </w:r>
      <w:proofErr w:type="spellEnd"/>
      <w:r w:rsidRPr="00D034E4">
        <w:rPr>
          <w:rFonts w:ascii="Times New Roman" w:hAnsi="Times New Roman"/>
          <w:b/>
          <w:lang w:val="en-US"/>
        </w:rPr>
        <w:t xml:space="preserve"> test calculation</w:t>
      </w:r>
    </w:p>
    <w:p w:rsidR="00DC3288" w:rsidRDefault="00DC3288" w:rsidP="00DC3288">
      <w:pPr>
        <w:rPr>
          <w:lang w:val="en-US"/>
        </w:rPr>
      </w:pPr>
      <w:r w:rsidRPr="00E324C3">
        <w:rPr>
          <w:rFonts w:ascii="Times New Roman" w:hAnsi="Times New Roman"/>
          <w:noProof/>
          <w:sz w:val="24"/>
          <w:szCs w:val="24"/>
        </w:rPr>
        <w:drawing>
          <wp:inline distT="0" distB="0" distL="0" distR="0" wp14:anchorId="7E54D72A" wp14:editId="17CF6E08">
            <wp:extent cx="2746800" cy="1828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6800" cy="1828800"/>
                    </a:xfrm>
                    <a:prstGeom prst="rect">
                      <a:avLst/>
                    </a:prstGeom>
                    <a:noFill/>
                    <a:ln>
                      <a:noFill/>
                    </a:ln>
                  </pic:spPr>
                </pic:pic>
              </a:graphicData>
            </a:graphic>
          </wp:inline>
        </w:drawing>
      </w:r>
      <w:r w:rsidRPr="00E324C3">
        <w:rPr>
          <w:rFonts w:ascii="Times New Roman" w:hAnsi="Times New Roman"/>
          <w:noProof/>
          <w:sz w:val="24"/>
          <w:szCs w:val="24"/>
        </w:rPr>
        <w:drawing>
          <wp:inline distT="0" distB="0" distL="0" distR="0" wp14:anchorId="0BBCE17B" wp14:editId="6822E47A">
            <wp:extent cx="2746800" cy="183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800" cy="1832400"/>
                    </a:xfrm>
                    <a:prstGeom prst="rect">
                      <a:avLst/>
                    </a:prstGeom>
                    <a:noFill/>
                    <a:ln>
                      <a:noFill/>
                    </a:ln>
                  </pic:spPr>
                </pic:pic>
              </a:graphicData>
            </a:graphic>
          </wp:inline>
        </w:drawing>
      </w:r>
    </w:p>
    <w:p w:rsidR="00DC3288" w:rsidRDefault="00DC3288" w:rsidP="00DC3288">
      <w:pPr>
        <w:rPr>
          <w:rFonts w:ascii="Times New Roman" w:hAnsi="Times New Roman"/>
          <w:b/>
          <w:lang w:val="en-US"/>
        </w:rPr>
      </w:pPr>
      <w:r>
        <w:rPr>
          <w:rFonts w:ascii="Times New Roman" w:hAnsi="Times New Roman"/>
          <w:b/>
          <w:lang w:val="en-US"/>
        </w:rPr>
        <w:t>Graph 1</w:t>
      </w:r>
      <w:r w:rsidRPr="00997685">
        <w:rPr>
          <w:rFonts w:ascii="Times New Roman" w:hAnsi="Times New Roman"/>
          <w:b/>
          <w:lang w:val="en-US"/>
        </w:rPr>
        <w:t>.</w:t>
      </w:r>
      <w:r>
        <w:rPr>
          <w:rFonts w:ascii="Times New Roman" w:hAnsi="Times New Roman"/>
          <w:b/>
          <w:lang w:val="en-US"/>
        </w:rPr>
        <w:t>1 Histogram of ‘BEV registrations’</w:t>
      </w:r>
      <w:r w:rsidRPr="00715D54">
        <w:rPr>
          <w:rFonts w:ascii="Times New Roman" w:hAnsi="Times New Roman"/>
          <w:b/>
          <w:lang w:val="en-US"/>
        </w:rPr>
        <w:t xml:space="preserve"> </w:t>
      </w:r>
      <w:r>
        <w:rPr>
          <w:rFonts w:ascii="Times New Roman" w:hAnsi="Times New Roman"/>
          <w:b/>
          <w:lang w:val="en-US"/>
        </w:rPr>
        <w:tab/>
        <w:t xml:space="preserve"> Graph 1</w:t>
      </w:r>
      <w:r w:rsidRPr="00997685">
        <w:rPr>
          <w:rFonts w:ascii="Times New Roman" w:hAnsi="Times New Roman"/>
          <w:b/>
          <w:lang w:val="en-US"/>
        </w:rPr>
        <w:t>.</w:t>
      </w:r>
      <w:r>
        <w:rPr>
          <w:rFonts w:ascii="Times New Roman" w:hAnsi="Times New Roman"/>
          <w:b/>
          <w:lang w:val="en-US"/>
        </w:rPr>
        <w:t>2 Probability plot of ‘BEV registrations’</w:t>
      </w:r>
    </w:p>
    <w:p w:rsidR="00DC3288" w:rsidRDefault="00DC3288" w:rsidP="00DC3288">
      <w:pPr>
        <w:rPr>
          <w:rFonts w:ascii="Times New Roman" w:hAnsi="Times New Roman"/>
          <w:b/>
          <w:lang w:val="en-US"/>
        </w:rPr>
      </w:pPr>
    </w:p>
    <w:p w:rsidR="00DC3288" w:rsidRDefault="00DC3288" w:rsidP="00DC3288">
      <w:pPr>
        <w:jc w:val="center"/>
        <w:rPr>
          <w:lang w:val="en-US"/>
        </w:rPr>
      </w:pPr>
      <w:r w:rsidRPr="00D40415">
        <w:rPr>
          <w:noProof/>
          <w:lang w:val="en-US"/>
        </w:rPr>
        <w:drawing>
          <wp:inline distT="0" distB="0" distL="0" distR="0" wp14:anchorId="1DA41063" wp14:editId="3A15674E">
            <wp:extent cx="4237200" cy="2818800"/>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7200" cy="2818800"/>
                    </a:xfrm>
                    <a:prstGeom prst="rect">
                      <a:avLst/>
                    </a:prstGeom>
                    <a:noFill/>
                    <a:ln>
                      <a:noFill/>
                    </a:ln>
                  </pic:spPr>
                </pic:pic>
              </a:graphicData>
            </a:graphic>
          </wp:inline>
        </w:drawing>
      </w:r>
    </w:p>
    <w:p w:rsidR="00DC3288" w:rsidRPr="00333DCF" w:rsidRDefault="00DC3288" w:rsidP="00DC3288">
      <w:pPr>
        <w:jc w:val="center"/>
        <w:rPr>
          <w:lang w:val="en-US"/>
        </w:rPr>
      </w:pPr>
      <w:r>
        <w:rPr>
          <w:rFonts w:ascii="Times New Roman" w:hAnsi="Times New Roman"/>
          <w:b/>
          <w:lang w:val="en-US"/>
        </w:rPr>
        <w:t>Graph 1</w:t>
      </w:r>
      <w:r w:rsidRPr="00997685">
        <w:rPr>
          <w:rFonts w:ascii="Times New Roman" w:hAnsi="Times New Roman"/>
          <w:b/>
          <w:lang w:val="en-US"/>
        </w:rPr>
        <w:t>.</w:t>
      </w:r>
      <w:r>
        <w:rPr>
          <w:rFonts w:ascii="Times New Roman" w:hAnsi="Times New Roman"/>
          <w:b/>
          <w:lang w:val="en-US"/>
        </w:rPr>
        <w:t>3 Box-Cox Plot of ‘BEV registrations’</w:t>
      </w:r>
    </w:p>
    <w:p w:rsidR="00DC3288" w:rsidRDefault="00DC3288" w:rsidP="00DC3288">
      <w:pPr>
        <w:rPr>
          <w:rFonts w:ascii="Times New Roman" w:hAnsi="Times New Roman"/>
          <w:b/>
          <w:lang w:val="en-US"/>
        </w:rPr>
      </w:pPr>
      <w:r w:rsidRPr="00097960">
        <w:rPr>
          <w:noProof/>
          <w:lang w:val="en-US"/>
        </w:rPr>
        <w:lastRenderedPageBreak/>
        <w:drawing>
          <wp:inline distT="0" distB="0" distL="0" distR="0" wp14:anchorId="6228DDCC" wp14:editId="54D1B95E">
            <wp:extent cx="2746800" cy="18312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6800" cy="1831200"/>
                    </a:xfrm>
                    <a:prstGeom prst="rect">
                      <a:avLst/>
                    </a:prstGeom>
                    <a:noFill/>
                    <a:ln>
                      <a:noFill/>
                    </a:ln>
                  </pic:spPr>
                </pic:pic>
              </a:graphicData>
            </a:graphic>
          </wp:inline>
        </w:drawing>
      </w:r>
      <w:r w:rsidRPr="00AB1AE8">
        <w:rPr>
          <w:noProof/>
          <w:lang w:val="en-US"/>
        </w:rPr>
        <w:drawing>
          <wp:inline distT="0" distB="0" distL="0" distR="0" wp14:anchorId="0CC13853" wp14:editId="6B9A6E37">
            <wp:extent cx="2743200" cy="1828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DC3288" w:rsidRDefault="00DC3288" w:rsidP="00DC3288">
      <w:pPr>
        <w:rPr>
          <w:rFonts w:ascii="Times New Roman" w:hAnsi="Times New Roman"/>
          <w:b/>
          <w:lang w:val="en-US"/>
        </w:rPr>
      </w:pPr>
      <w:r>
        <w:rPr>
          <w:rFonts w:ascii="Times New Roman" w:hAnsi="Times New Roman"/>
          <w:b/>
          <w:lang w:val="en-US"/>
        </w:rPr>
        <w:t>Graph 1</w:t>
      </w:r>
      <w:r w:rsidRPr="00997685">
        <w:rPr>
          <w:rFonts w:ascii="Times New Roman" w:hAnsi="Times New Roman"/>
          <w:b/>
          <w:lang w:val="en-US"/>
        </w:rPr>
        <w:t>.</w:t>
      </w:r>
      <w:r>
        <w:rPr>
          <w:rFonts w:ascii="Times New Roman" w:hAnsi="Times New Roman"/>
          <w:b/>
          <w:lang w:val="en-US"/>
        </w:rPr>
        <w:t>4 Histogram of ‘ln BEV registrations’</w:t>
      </w:r>
      <w:r w:rsidRPr="00715D54">
        <w:rPr>
          <w:rFonts w:ascii="Times New Roman" w:hAnsi="Times New Roman"/>
          <w:b/>
          <w:lang w:val="en-US"/>
        </w:rPr>
        <w:t xml:space="preserve"> </w:t>
      </w:r>
      <w:proofErr w:type="gramStart"/>
      <w:r>
        <w:rPr>
          <w:rFonts w:ascii="Times New Roman" w:hAnsi="Times New Roman"/>
          <w:b/>
          <w:lang w:val="en-US"/>
        </w:rPr>
        <w:tab/>
        <w:t xml:space="preserve">  Graph</w:t>
      </w:r>
      <w:proofErr w:type="gramEnd"/>
      <w:r>
        <w:rPr>
          <w:rFonts w:ascii="Times New Roman" w:hAnsi="Times New Roman"/>
          <w:b/>
          <w:lang w:val="en-US"/>
        </w:rPr>
        <w:t xml:space="preserve"> 1</w:t>
      </w:r>
      <w:r w:rsidRPr="00997685">
        <w:rPr>
          <w:rFonts w:ascii="Times New Roman" w:hAnsi="Times New Roman"/>
          <w:b/>
          <w:lang w:val="en-US"/>
        </w:rPr>
        <w:t>.</w:t>
      </w:r>
      <w:r>
        <w:rPr>
          <w:rFonts w:ascii="Times New Roman" w:hAnsi="Times New Roman"/>
          <w:b/>
          <w:lang w:val="en-US"/>
        </w:rPr>
        <w:t>5 Probability plot of ‘ln BEV registrations’</w:t>
      </w:r>
    </w:p>
    <w:p w:rsidR="00DC3288" w:rsidRDefault="00DC3288" w:rsidP="00DC3288">
      <w:pPr>
        <w:rPr>
          <w:rFonts w:ascii="Times New Roman" w:hAnsi="Times New Roman"/>
          <w:b/>
          <w:lang w:val="en-US"/>
        </w:rPr>
      </w:pPr>
    </w:p>
    <w:p w:rsidR="00DC3288" w:rsidRDefault="00DC3288" w:rsidP="00DC3288">
      <w:pPr>
        <w:jc w:val="center"/>
        <w:rPr>
          <w:rFonts w:ascii="Times New Roman" w:hAnsi="Times New Roman"/>
          <w:b/>
          <w:lang w:val="en-US"/>
        </w:rPr>
      </w:pPr>
      <w:r w:rsidRPr="002E66B0">
        <w:rPr>
          <w:noProof/>
          <w:lang w:val="en-US"/>
        </w:rPr>
        <w:drawing>
          <wp:inline distT="0" distB="0" distL="0" distR="0" wp14:anchorId="1E831850" wp14:editId="264870EF">
            <wp:extent cx="4644000" cy="3096000"/>
            <wp:effectExtent l="0" t="0" r="444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4000" cy="3096000"/>
                    </a:xfrm>
                    <a:prstGeom prst="rect">
                      <a:avLst/>
                    </a:prstGeom>
                    <a:noFill/>
                    <a:ln>
                      <a:noFill/>
                    </a:ln>
                  </pic:spPr>
                </pic:pic>
              </a:graphicData>
            </a:graphic>
          </wp:inline>
        </w:drawing>
      </w:r>
    </w:p>
    <w:p w:rsidR="00DC3288" w:rsidRDefault="00DC3288" w:rsidP="00DC3288">
      <w:pPr>
        <w:jc w:val="center"/>
        <w:rPr>
          <w:rFonts w:ascii="Times New Roman" w:hAnsi="Times New Roman"/>
          <w:b/>
          <w:lang w:val="en-US"/>
        </w:rPr>
      </w:pPr>
      <w:r>
        <w:rPr>
          <w:rFonts w:ascii="Times New Roman" w:hAnsi="Times New Roman"/>
          <w:b/>
          <w:lang w:val="en-US"/>
        </w:rPr>
        <w:t>Graph 1</w:t>
      </w:r>
      <w:r w:rsidRPr="00997685">
        <w:rPr>
          <w:rFonts w:ascii="Times New Roman" w:hAnsi="Times New Roman"/>
          <w:b/>
          <w:lang w:val="en-US"/>
        </w:rPr>
        <w:t>.</w:t>
      </w:r>
      <w:r>
        <w:rPr>
          <w:rFonts w:ascii="Times New Roman" w:hAnsi="Times New Roman"/>
          <w:b/>
          <w:lang w:val="en-US"/>
        </w:rPr>
        <w:t>6 Residual plots for ‘BEV registrations’</w:t>
      </w:r>
    </w:p>
    <w:p w:rsidR="00DC3288" w:rsidRDefault="00DC3288" w:rsidP="00DC3288">
      <w:pPr>
        <w:jc w:val="center"/>
        <w:rPr>
          <w:lang w:val="en-US"/>
        </w:rPr>
      </w:pPr>
    </w:p>
    <w:p w:rsidR="00DC3288" w:rsidRDefault="00DC3288" w:rsidP="00DC3288">
      <w:pPr>
        <w:jc w:val="center"/>
        <w:rPr>
          <w:lang w:val="en-US"/>
        </w:rPr>
      </w:pPr>
      <w:r w:rsidRPr="00DA4E49">
        <w:rPr>
          <w:noProof/>
          <w:lang w:val="en-US"/>
        </w:rPr>
        <w:drawing>
          <wp:inline distT="0" distB="0" distL="0" distR="0" wp14:anchorId="44213952" wp14:editId="49A0D6FB">
            <wp:extent cx="4644000" cy="3096000"/>
            <wp:effectExtent l="0" t="0" r="444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4000" cy="3096000"/>
                    </a:xfrm>
                    <a:prstGeom prst="rect">
                      <a:avLst/>
                    </a:prstGeom>
                    <a:noFill/>
                    <a:ln>
                      <a:noFill/>
                    </a:ln>
                  </pic:spPr>
                </pic:pic>
              </a:graphicData>
            </a:graphic>
          </wp:inline>
        </w:drawing>
      </w:r>
    </w:p>
    <w:p w:rsidR="00DC3288" w:rsidRDefault="00DC3288" w:rsidP="00DC3288">
      <w:pPr>
        <w:jc w:val="center"/>
        <w:rPr>
          <w:lang w:val="en-US"/>
        </w:rPr>
      </w:pPr>
      <w:r>
        <w:rPr>
          <w:rFonts w:ascii="Times New Roman" w:hAnsi="Times New Roman"/>
          <w:b/>
          <w:lang w:val="en-US"/>
        </w:rPr>
        <w:t>Graph 1</w:t>
      </w:r>
      <w:r w:rsidRPr="00997685">
        <w:rPr>
          <w:rFonts w:ascii="Times New Roman" w:hAnsi="Times New Roman"/>
          <w:b/>
          <w:lang w:val="en-US"/>
        </w:rPr>
        <w:t>.</w:t>
      </w:r>
      <w:r>
        <w:rPr>
          <w:rFonts w:ascii="Times New Roman" w:hAnsi="Times New Roman"/>
          <w:b/>
          <w:lang w:val="en-US"/>
        </w:rPr>
        <w:t>7 Residual plots for ‘ln BEV registrations’</w:t>
      </w:r>
    </w:p>
    <w:p w:rsidR="00DC3288" w:rsidRDefault="00DC3288" w:rsidP="00DC3288">
      <w:pPr>
        <w:spacing w:after="120" w:line="360" w:lineRule="auto"/>
        <w:jc w:val="both"/>
        <w:rPr>
          <w:rFonts w:ascii="Times New Roman" w:hAnsi="Times New Roman"/>
          <w:b/>
          <w:sz w:val="24"/>
          <w:szCs w:val="24"/>
          <w:lang w:val="en-US"/>
        </w:rPr>
        <w:sectPr w:rsidR="00DC3288" w:rsidSect="00BB42B8">
          <w:pgSz w:w="11906" w:h="16838"/>
          <w:pgMar w:top="1418" w:right="1418" w:bottom="1418" w:left="1701" w:header="709" w:footer="709" w:gutter="0"/>
          <w:cols w:space="708"/>
          <w:docGrid w:linePitch="360"/>
        </w:sectPr>
      </w:pPr>
    </w:p>
    <w:p w:rsidR="00FA15B1" w:rsidRDefault="00FA15B1" w:rsidP="00CE182C">
      <w:pPr>
        <w:pStyle w:val="2"/>
        <w:jc w:val="both"/>
        <w:rPr>
          <w:lang w:val="en-US"/>
        </w:rPr>
      </w:pPr>
      <w:r>
        <w:rPr>
          <w:lang w:val="en-US"/>
        </w:rPr>
        <w:lastRenderedPageBreak/>
        <w:t>Appendix:</w:t>
      </w:r>
      <w:bookmarkEnd w:id="34"/>
      <w:r>
        <w:rPr>
          <w:lang w:val="en-US"/>
        </w:rPr>
        <w:t xml:space="preserve"> </w:t>
      </w:r>
    </w:p>
    <w:p w:rsidR="00F25025" w:rsidRPr="008C3B50" w:rsidRDefault="00F25025" w:rsidP="00F25025">
      <w:pPr>
        <w:shd w:val="clear" w:color="auto" w:fill="FFFFFF"/>
        <w:spacing w:after="75"/>
        <w:rPr>
          <w:rFonts w:ascii="Times New Roman" w:hAnsi="Times New Roman"/>
          <w:b/>
          <w:sz w:val="26"/>
          <w:szCs w:val="26"/>
        </w:rPr>
      </w:pPr>
      <w:proofErr w:type="spellStart"/>
      <w:proofErr w:type="gramStart"/>
      <w:r w:rsidRPr="008C3B50">
        <w:rPr>
          <w:rFonts w:ascii="Times New Roman" w:hAnsi="Times New Roman"/>
          <w:b/>
          <w:sz w:val="26"/>
          <w:szCs w:val="26"/>
        </w:rPr>
        <w:t>Welch’s</w:t>
      </w:r>
      <w:proofErr w:type="spellEnd"/>
      <w:proofErr w:type="gramEnd"/>
      <w:r w:rsidRPr="008C3B50">
        <w:rPr>
          <w:rFonts w:ascii="Times New Roman" w:hAnsi="Times New Roman"/>
          <w:b/>
          <w:sz w:val="26"/>
          <w:szCs w:val="26"/>
        </w:rPr>
        <w:t xml:space="preserve"> Test</w:t>
      </w:r>
    </w:p>
    <w:tbl>
      <w:tblPr>
        <w:tblW w:w="0" w:type="auto"/>
        <w:tblCellMar>
          <w:top w:w="15" w:type="dxa"/>
          <w:left w:w="15" w:type="dxa"/>
          <w:bottom w:w="15" w:type="dxa"/>
          <w:right w:w="15" w:type="dxa"/>
        </w:tblCellMar>
        <w:tblLook w:val="04A0" w:firstRow="1" w:lastRow="0" w:firstColumn="1" w:lastColumn="0" w:noHBand="0" w:noVBand="1"/>
      </w:tblPr>
      <w:tblGrid>
        <w:gridCol w:w="993"/>
        <w:gridCol w:w="1701"/>
        <w:gridCol w:w="1984"/>
        <w:gridCol w:w="1134"/>
        <w:gridCol w:w="1418"/>
      </w:tblGrid>
      <w:tr w:rsidR="00F25025" w:rsidRPr="008C3B50" w:rsidTr="00942FB5">
        <w:tc>
          <w:tcPr>
            <w:tcW w:w="993"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25025" w:rsidRPr="00942FB5" w:rsidRDefault="00F25025" w:rsidP="008C3B50">
            <w:pPr>
              <w:spacing w:before="90"/>
              <w:rPr>
                <w:rFonts w:ascii="Times New Roman" w:hAnsi="Times New Roman"/>
                <w:b/>
                <w:sz w:val="22"/>
                <w:szCs w:val="22"/>
              </w:rPr>
            </w:pPr>
            <w:r w:rsidRPr="00942FB5">
              <w:rPr>
                <w:rFonts w:ascii="Times New Roman" w:hAnsi="Times New Roman"/>
                <w:b/>
                <w:sz w:val="22"/>
                <w:szCs w:val="22"/>
              </w:rPr>
              <w:t>Source</w:t>
            </w:r>
          </w:p>
        </w:tc>
        <w:tc>
          <w:tcPr>
            <w:tcW w:w="1701"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25025" w:rsidRPr="00942FB5" w:rsidRDefault="00F25025" w:rsidP="008C3B50">
            <w:pPr>
              <w:spacing w:before="90"/>
              <w:rPr>
                <w:rFonts w:ascii="Times New Roman" w:hAnsi="Times New Roman"/>
                <w:b/>
                <w:sz w:val="22"/>
                <w:szCs w:val="22"/>
              </w:rPr>
            </w:pPr>
            <w:r w:rsidRPr="00942FB5">
              <w:rPr>
                <w:rFonts w:ascii="Times New Roman" w:hAnsi="Times New Roman"/>
                <w:b/>
                <w:sz w:val="22"/>
                <w:szCs w:val="22"/>
              </w:rPr>
              <w:t xml:space="preserve">DF </w:t>
            </w:r>
            <w:proofErr w:type="spellStart"/>
            <w:r w:rsidRPr="00942FB5">
              <w:rPr>
                <w:rFonts w:ascii="Times New Roman" w:hAnsi="Times New Roman"/>
                <w:b/>
                <w:sz w:val="22"/>
                <w:szCs w:val="22"/>
              </w:rPr>
              <w:t>Num</w:t>
            </w:r>
            <w:r w:rsidR="00217F03" w:rsidRPr="00942FB5">
              <w:rPr>
                <w:rFonts w:ascii="Times New Roman" w:hAnsi="Times New Roman"/>
                <w:b/>
                <w:sz w:val="22"/>
                <w:szCs w:val="22"/>
              </w:rPr>
              <w:t>erator</w:t>
            </w:r>
            <w:proofErr w:type="spellEnd"/>
          </w:p>
        </w:tc>
        <w:tc>
          <w:tcPr>
            <w:tcW w:w="1984"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25025" w:rsidRPr="00942FB5" w:rsidRDefault="00F25025" w:rsidP="008C3B50">
            <w:pPr>
              <w:spacing w:before="90"/>
              <w:rPr>
                <w:rFonts w:ascii="Times New Roman" w:hAnsi="Times New Roman"/>
                <w:b/>
                <w:sz w:val="22"/>
                <w:szCs w:val="22"/>
              </w:rPr>
            </w:pPr>
            <w:r w:rsidRPr="00942FB5">
              <w:rPr>
                <w:rFonts w:ascii="Times New Roman" w:hAnsi="Times New Roman"/>
                <w:b/>
                <w:sz w:val="22"/>
                <w:szCs w:val="22"/>
              </w:rPr>
              <w:t xml:space="preserve">DF </w:t>
            </w:r>
            <w:proofErr w:type="spellStart"/>
            <w:r w:rsidRPr="00942FB5">
              <w:rPr>
                <w:rFonts w:ascii="Times New Roman" w:hAnsi="Times New Roman"/>
                <w:b/>
                <w:sz w:val="22"/>
                <w:szCs w:val="22"/>
              </w:rPr>
              <w:t>Den</w:t>
            </w:r>
            <w:r w:rsidR="00217F03" w:rsidRPr="00942FB5">
              <w:rPr>
                <w:rFonts w:ascii="Times New Roman" w:hAnsi="Times New Roman"/>
                <w:b/>
                <w:sz w:val="22"/>
                <w:szCs w:val="22"/>
              </w:rPr>
              <w:t>umerator</w:t>
            </w:r>
            <w:proofErr w:type="spellEnd"/>
          </w:p>
        </w:tc>
        <w:tc>
          <w:tcPr>
            <w:tcW w:w="1134"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25025" w:rsidRPr="00942FB5" w:rsidRDefault="00F25025" w:rsidP="008C3B50">
            <w:pPr>
              <w:spacing w:before="90"/>
              <w:rPr>
                <w:rFonts w:ascii="Times New Roman" w:hAnsi="Times New Roman"/>
                <w:b/>
                <w:sz w:val="22"/>
                <w:szCs w:val="22"/>
              </w:rPr>
            </w:pPr>
            <w:r w:rsidRPr="00942FB5">
              <w:rPr>
                <w:rFonts w:ascii="Times New Roman" w:hAnsi="Times New Roman"/>
                <w:b/>
                <w:sz w:val="22"/>
                <w:szCs w:val="22"/>
              </w:rPr>
              <w:t>F-Value</w:t>
            </w:r>
          </w:p>
        </w:tc>
        <w:tc>
          <w:tcPr>
            <w:tcW w:w="1418"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25025" w:rsidRPr="00942FB5" w:rsidRDefault="00F25025" w:rsidP="008C3B50">
            <w:pPr>
              <w:spacing w:before="90"/>
              <w:rPr>
                <w:rFonts w:ascii="Times New Roman" w:hAnsi="Times New Roman"/>
                <w:b/>
                <w:sz w:val="22"/>
                <w:szCs w:val="22"/>
              </w:rPr>
            </w:pPr>
            <w:r w:rsidRPr="00942FB5">
              <w:rPr>
                <w:rFonts w:ascii="Times New Roman" w:hAnsi="Times New Roman"/>
                <w:b/>
                <w:sz w:val="22"/>
                <w:szCs w:val="22"/>
              </w:rPr>
              <w:t>P-Value</w:t>
            </w:r>
          </w:p>
        </w:tc>
      </w:tr>
      <w:tr w:rsidR="00F25025" w:rsidRPr="008C3B50" w:rsidTr="00942FB5">
        <w:tc>
          <w:tcPr>
            <w:tcW w:w="0" w:type="auto"/>
            <w:tcBorders>
              <w:top w:val="single" w:sz="12" w:space="0" w:color="auto"/>
              <w:bottom w:val="single" w:sz="4" w:space="0" w:color="auto"/>
            </w:tcBorders>
            <w:shd w:val="clear" w:color="auto" w:fill="FFFFFF"/>
            <w:noWrap/>
            <w:tcMar>
              <w:top w:w="15" w:type="dxa"/>
              <w:left w:w="105" w:type="dxa"/>
              <w:bottom w:w="15" w:type="dxa"/>
              <w:right w:w="105" w:type="dxa"/>
            </w:tcMar>
            <w:hideMark/>
          </w:tcPr>
          <w:p w:rsidR="00F25025" w:rsidRPr="008C3B50" w:rsidRDefault="00F25025" w:rsidP="008C3B50">
            <w:pPr>
              <w:spacing w:before="90"/>
              <w:rPr>
                <w:rFonts w:ascii="Times New Roman" w:hAnsi="Times New Roman"/>
                <w:sz w:val="22"/>
                <w:szCs w:val="22"/>
              </w:rPr>
            </w:pPr>
            <w:r w:rsidRPr="008C3B50">
              <w:rPr>
                <w:rFonts w:ascii="Times New Roman" w:hAnsi="Times New Roman"/>
                <w:sz w:val="22"/>
                <w:szCs w:val="22"/>
              </w:rPr>
              <w:t>Country</w:t>
            </w:r>
          </w:p>
        </w:tc>
        <w:tc>
          <w:tcPr>
            <w:tcW w:w="1701"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F25025" w:rsidRPr="008C3B50" w:rsidRDefault="00F25025" w:rsidP="008C3B50">
            <w:pPr>
              <w:spacing w:before="90"/>
              <w:rPr>
                <w:rFonts w:ascii="Times New Roman" w:hAnsi="Times New Roman"/>
                <w:sz w:val="22"/>
                <w:szCs w:val="22"/>
              </w:rPr>
            </w:pPr>
            <w:r w:rsidRPr="008C3B50">
              <w:rPr>
                <w:rFonts w:ascii="Times New Roman" w:hAnsi="Times New Roman"/>
                <w:sz w:val="22"/>
                <w:szCs w:val="22"/>
              </w:rPr>
              <w:t>16</w:t>
            </w:r>
          </w:p>
        </w:tc>
        <w:tc>
          <w:tcPr>
            <w:tcW w:w="1984"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F25025" w:rsidRPr="008C3B50" w:rsidRDefault="00F25025" w:rsidP="008C3B50">
            <w:pPr>
              <w:spacing w:before="90"/>
              <w:rPr>
                <w:rFonts w:ascii="Times New Roman" w:hAnsi="Times New Roman"/>
                <w:sz w:val="22"/>
                <w:szCs w:val="22"/>
              </w:rPr>
            </w:pPr>
            <w:r w:rsidRPr="008C3B50">
              <w:rPr>
                <w:rFonts w:ascii="Times New Roman" w:hAnsi="Times New Roman"/>
                <w:sz w:val="22"/>
                <w:szCs w:val="22"/>
              </w:rPr>
              <w:t>67,7082</w:t>
            </w:r>
          </w:p>
        </w:tc>
        <w:tc>
          <w:tcPr>
            <w:tcW w:w="1134"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F25025" w:rsidRPr="008C3B50" w:rsidRDefault="00F25025" w:rsidP="008C3B50">
            <w:pPr>
              <w:spacing w:before="90"/>
              <w:rPr>
                <w:rFonts w:ascii="Times New Roman" w:hAnsi="Times New Roman"/>
                <w:sz w:val="22"/>
                <w:szCs w:val="22"/>
              </w:rPr>
            </w:pPr>
            <w:r w:rsidRPr="008C3B50">
              <w:rPr>
                <w:rFonts w:ascii="Times New Roman" w:hAnsi="Times New Roman"/>
                <w:sz w:val="22"/>
                <w:szCs w:val="22"/>
              </w:rPr>
              <w:t>2,58</w:t>
            </w:r>
          </w:p>
        </w:tc>
        <w:tc>
          <w:tcPr>
            <w:tcW w:w="1418"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F25025" w:rsidRPr="008C3B50" w:rsidRDefault="00F25025" w:rsidP="008C3B50">
            <w:pPr>
              <w:spacing w:before="90"/>
              <w:rPr>
                <w:rFonts w:ascii="Times New Roman" w:hAnsi="Times New Roman"/>
                <w:sz w:val="22"/>
                <w:szCs w:val="22"/>
              </w:rPr>
            </w:pPr>
            <w:r w:rsidRPr="008C3B50">
              <w:rPr>
                <w:rFonts w:ascii="Times New Roman" w:hAnsi="Times New Roman"/>
                <w:sz w:val="22"/>
                <w:szCs w:val="22"/>
              </w:rPr>
              <w:t>0,004</w:t>
            </w:r>
          </w:p>
        </w:tc>
      </w:tr>
    </w:tbl>
    <w:p w:rsidR="00D034E4" w:rsidRDefault="00F25025" w:rsidP="00D034E4">
      <w:pPr>
        <w:rPr>
          <w:rFonts w:ascii="Times New Roman" w:hAnsi="Times New Roman"/>
          <w:b/>
          <w:lang w:val="en-US"/>
        </w:rPr>
      </w:pPr>
      <w:r>
        <w:rPr>
          <w:rFonts w:ascii="Times New Roman" w:hAnsi="Times New Roman"/>
          <w:b/>
          <w:lang w:val="en-US"/>
        </w:rPr>
        <w:t xml:space="preserve">Table 5. </w:t>
      </w:r>
      <w:r w:rsidR="00DC3288">
        <w:rPr>
          <w:rFonts w:ascii="Times New Roman" w:hAnsi="Times New Roman"/>
          <w:b/>
          <w:lang w:val="en-US"/>
        </w:rPr>
        <w:t>Welch’s test</w:t>
      </w:r>
    </w:p>
    <w:p w:rsidR="00A80EF6" w:rsidRPr="00D034E4" w:rsidRDefault="00A80EF6" w:rsidP="00D034E4">
      <w:pPr>
        <w:rPr>
          <w:rFonts w:ascii="Times New Roman" w:hAnsi="Times New Roman"/>
          <w:b/>
          <w:lang w:val="en-US"/>
        </w:rPr>
      </w:pPr>
    </w:p>
    <w:p w:rsidR="00A80EF6" w:rsidRPr="003163AE" w:rsidRDefault="00A80EF6" w:rsidP="00A80EF6">
      <w:pPr>
        <w:shd w:val="clear" w:color="auto" w:fill="FFFFFF"/>
        <w:spacing w:after="75"/>
        <w:rPr>
          <w:rFonts w:ascii="Times New Roman" w:hAnsi="Times New Roman"/>
          <w:b/>
          <w:sz w:val="26"/>
          <w:szCs w:val="26"/>
          <w:lang w:val="en-US"/>
        </w:rPr>
      </w:pPr>
      <w:r w:rsidRPr="003163AE">
        <w:rPr>
          <w:rFonts w:ascii="Times New Roman" w:hAnsi="Times New Roman"/>
          <w:b/>
          <w:sz w:val="26"/>
          <w:szCs w:val="26"/>
          <w:lang w:val="en-US"/>
        </w:rPr>
        <w:t>Grouping Information Using the Games-Howell Method and 95% Confidence</w:t>
      </w:r>
    </w:p>
    <w:tbl>
      <w:tblPr>
        <w:tblW w:w="0" w:type="auto"/>
        <w:tblCellMar>
          <w:top w:w="15" w:type="dxa"/>
          <w:left w:w="15" w:type="dxa"/>
          <w:bottom w:w="15" w:type="dxa"/>
          <w:right w:w="15" w:type="dxa"/>
        </w:tblCellMar>
        <w:tblLook w:val="04A0" w:firstRow="1" w:lastRow="0" w:firstColumn="1" w:lastColumn="0" w:noHBand="0" w:noVBand="1"/>
      </w:tblPr>
      <w:tblGrid>
        <w:gridCol w:w="1316"/>
        <w:gridCol w:w="669"/>
        <w:gridCol w:w="1276"/>
        <w:gridCol w:w="1127"/>
      </w:tblGrid>
      <w:tr w:rsidR="00A80EF6" w:rsidRPr="00B97409" w:rsidTr="008945DE">
        <w:tc>
          <w:tcPr>
            <w:tcW w:w="0" w:type="auto"/>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A80EF6" w:rsidRPr="00942FB5" w:rsidRDefault="00A80EF6" w:rsidP="008945DE">
            <w:pPr>
              <w:spacing w:before="90"/>
              <w:rPr>
                <w:rFonts w:ascii="Times New Roman" w:hAnsi="Times New Roman"/>
                <w:b/>
                <w:sz w:val="22"/>
                <w:szCs w:val="22"/>
              </w:rPr>
            </w:pPr>
            <w:r w:rsidRPr="00942FB5">
              <w:rPr>
                <w:rFonts w:ascii="Times New Roman" w:hAnsi="Times New Roman"/>
                <w:b/>
                <w:sz w:val="22"/>
                <w:szCs w:val="22"/>
              </w:rPr>
              <w:t>Country</w:t>
            </w:r>
          </w:p>
        </w:tc>
        <w:tc>
          <w:tcPr>
            <w:tcW w:w="669"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A80EF6" w:rsidRPr="00942FB5" w:rsidRDefault="00A80EF6" w:rsidP="008945DE">
            <w:pPr>
              <w:spacing w:before="90"/>
              <w:rPr>
                <w:rFonts w:ascii="Times New Roman" w:hAnsi="Times New Roman"/>
                <w:b/>
                <w:sz w:val="22"/>
                <w:szCs w:val="22"/>
              </w:rPr>
            </w:pPr>
            <w:r w:rsidRPr="00942FB5">
              <w:rPr>
                <w:rFonts w:ascii="Times New Roman" w:hAnsi="Times New Roman"/>
                <w:b/>
                <w:sz w:val="22"/>
                <w:szCs w:val="22"/>
              </w:rPr>
              <w:t>N</w:t>
            </w:r>
          </w:p>
        </w:tc>
        <w:tc>
          <w:tcPr>
            <w:tcW w:w="1276"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A80EF6" w:rsidRPr="00942FB5" w:rsidRDefault="00A80EF6" w:rsidP="008945DE">
            <w:pPr>
              <w:spacing w:before="90"/>
              <w:rPr>
                <w:rFonts w:ascii="Times New Roman" w:hAnsi="Times New Roman"/>
                <w:b/>
                <w:sz w:val="22"/>
                <w:szCs w:val="22"/>
              </w:rPr>
            </w:pPr>
            <w:r w:rsidRPr="00942FB5">
              <w:rPr>
                <w:rFonts w:ascii="Times New Roman" w:hAnsi="Times New Roman"/>
                <w:b/>
                <w:sz w:val="22"/>
                <w:szCs w:val="22"/>
              </w:rPr>
              <w:t>Mean</w:t>
            </w:r>
          </w:p>
        </w:tc>
        <w:tc>
          <w:tcPr>
            <w:tcW w:w="985"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A80EF6" w:rsidRPr="00942FB5" w:rsidRDefault="00A80EF6" w:rsidP="008945DE">
            <w:pPr>
              <w:spacing w:before="90"/>
              <w:rPr>
                <w:rFonts w:ascii="Times New Roman" w:hAnsi="Times New Roman"/>
                <w:b/>
                <w:sz w:val="22"/>
                <w:szCs w:val="22"/>
              </w:rPr>
            </w:pPr>
            <w:proofErr w:type="spellStart"/>
            <w:r w:rsidRPr="00942FB5">
              <w:rPr>
                <w:rFonts w:ascii="Times New Roman" w:hAnsi="Times New Roman"/>
                <w:b/>
                <w:sz w:val="22"/>
                <w:szCs w:val="22"/>
              </w:rPr>
              <w:t>Grouping</w:t>
            </w:r>
            <w:proofErr w:type="spellEnd"/>
          </w:p>
        </w:tc>
      </w:tr>
      <w:tr w:rsidR="00A80EF6" w:rsidRPr="00B97409" w:rsidTr="008945DE">
        <w:tc>
          <w:tcPr>
            <w:tcW w:w="0" w:type="auto"/>
            <w:tcBorders>
              <w:top w:val="single" w:sz="12"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proofErr w:type="spellStart"/>
            <w:r w:rsidRPr="008945DE">
              <w:rPr>
                <w:rFonts w:ascii="Times New Roman" w:hAnsi="Times New Roman"/>
                <w:sz w:val="22"/>
                <w:szCs w:val="22"/>
              </w:rPr>
              <w:t>Norway</w:t>
            </w:r>
            <w:proofErr w:type="spellEnd"/>
          </w:p>
        </w:tc>
        <w:tc>
          <w:tcPr>
            <w:tcW w:w="669"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20</w:t>
            </w:r>
          </w:p>
        </w:tc>
        <w:tc>
          <w:tcPr>
            <w:tcW w:w="1276"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0,00809</w:t>
            </w:r>
          </w:p>
        </w:tc>
        <w:tc>
          <w:tcPr>
            <w:tcW w:w="985"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Iceland</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9</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0,001486</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UK</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11</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0,001052</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USA</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14</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0,000889</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proofErr w:type="spellStart"/>
            <w:r w:rsidRPr="008945DE">
              <w:rPr>
                <w:rFonts w:ascii="Times New Roman" w:hAnsi="Times New Roman"/>
                <w:sz w:val="22"/>
                <w:szCs w:val="22"/>
              </w:rPr>
              <w:t>Netherlands</w:t>
            </w:r>
            <w:proofErr w:type="spellEnd"/>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14</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0,000807</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Austria</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17</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0,000715</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proofErr w:type="spellStart"/>
            <w:r w:rsidRPr="008945DE">
              <w:rPr>
                <w:rFonts w:ascii="Times New Roman" w:hAnsi="Times New Roman"/>
                <w:sz w:val="22"/>
                <w:szCs w:val="22"/>
              </w:rPr>
              <w:t>Switzerland</w:t>
            </w:r>
            <w:proofErr w:type="spellEnd"/>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17</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0,000679</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France</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20</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0,000674</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proofErr w:type="spellStart"/>
            <w:r w:rsidRPr="008945DE">
              <w:rPr>
                <w:rFonts w:ascii="Times New Roman" w:hAnsi="Times New Roman"/>
                <w:sz w:val="22"/>
                <w:szCs w:val="22"/>
              </w:rPr>
              <w:t>Sweden</w:t>
            </w:r>
            <w:proofErr w:type="spellEnd"/>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15</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0,000639</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proofErr w:type="spellStart"/>
            <w:r w:rsidRPr="008945DE">
              <w:rPr>
                <w:rFonts w:ascii="Times New Roman" w:hAnsi="Times New Roman"/>
                <w:sz w:val="22"/>
                <w:szCs w:val="22"/>
              </w:rPr>
              <w:t>Denmark</w:t>
            </w:r>
            <w:proofErr w:type="spellEnd"/>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9</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0,000636</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South Korea</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7</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0,000615</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Japan</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7</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0,000573</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China</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17</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0,000540</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proofErr w:type="spellStart"/>
            <w:r w:rsidRPr="008945DE">
              <w:rPr>
                <w:rFonts w:ascii="Times New Roman" w:hAnsi="Times New Roman"/>
                <w:sz w:val="22"/>
                <w:szCs w:val="22"/>
              </w:rPr>
              <w:t>Belgium</w:t>
            </w:r>
            <w:proofErr w:type="spellEnd"/>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16</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0,000284</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Germany</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16</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0,000282</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Canada</w:t>
            </w:r>
          </w:p>
        </w:tc>
        <w:tc>
          <w:tcPr>
            <w:tcW w:w="669"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11</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0,000242</w:t>
            </w:r>
          </w:p>
        </w:tc>
        <w:tc>
          <w:tcPr>
            <w:tcW w:w="985"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r w:rsidR="00A80EF6" w:rsidRPr="00B97409" w:rsidTr="008945DE">
        <w:tc>
          <w:tcPr>
            <w:tcW w:w="0" w:type="auto"/>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proofErr w:type="spellStart"/>
            <w:r w:rsidRPr="008945DE">
              <w:rPr>
                <w:rFonts w:ascii="Times New Roman" w:hAnsi="Times New Roman"/>
                <w:sz w:val="22"/>
                <w:szCs w:val="22"/>
              </w:rPr>
              <w:t>Finland</w:t>
            </w:r>
            <w:proofErr w:type="spellEnd"/>
          </w:p>
        </w:tc>
        <w:tc>
          <w:tcPr>
            <w:tcW w:w="669" w:type="dxa"/>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9</w:t>
            </w:r>
          </w:p>
        </w:tc>
        <w:tc>
          <w:tcPr>
            <w:tcW w:w="1276" w:type="dxa"/>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0,000222</w:t>
            </w:r>
          </w:p>
        </w:tc>
        <w:tc>
          <w:tcPr>
            <w:tcW w:w="985" w:type="dxa"/>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8945DE">
            <w:pPr>
              <w:spacing w:before="90"/>
              <w:rPr>
                <w:rFonts w:ascii="Times New Roman" w:hAnsi="Times New Roman"/>
                <w:sz w:val="22"/>
                <w:szCs w:val="22"/>
              </w:rPr>
            </w:pPr>
            <w:r w:rsidRPr="008945DE">
              <w:rPr>
                <w:rFonts w:ascii="Times New Roman" w:hAnsi="Times New Roman"/>
                <w:sz w:val="22"/>
                <w:szCs w:val="22"/>
              </w:rPr>
              <w:t>A</w:t>
            </w:r>
          </w:p>
        </w:tc>
      </w:tr>
    </w:tbl>
    <w:p w:rsidR="00A80EF6" w:rsidRPr="008945DE" w:rsidRDefault="00A80EF6" w:rsidP="00A80EF6">
      <w:pPr>
        <w:shd w:val="clear" w:color="auto" w:fill="FFFFFF"/>
        <w:spacing w:after="75"/>
        <w:rPr>
          <w:rFonts w:ascii="Times New Roman" w:hAnsi="Times New Roman"/>
          <w:i/>
          <w:iCs/>
          <w:lang w:val="en-US"/>
        </w:rPr>
      </w:pPr>
      <w:r w:rsidRPr="008945DE">
        <w:rPr>
          <w:rFonts w:ascii="Times New Roman" w:hAnsi="Times New Roman"/>
          <w:i/>
          <w:iCs/>
          <w:lang w:val="en-US"/>
        </w:rPr>
        <w:t>Means that do not share a letter are significantly different.</w:t>
      </w:r>
    </w:p>
    <w:p w:rsidR="00A80EF6" w:rsidRPr="003163AE" w:rsidRDefault="00A80EF6" w:rsidP="00A80EF6">
      <w:pPr>
        <w:shd w:val="clear" w:color="auto" w:fill="FFFFFF"/>
        <w:spacing w:after="75"/>
        <w:rPr>
          <w:rFonts w:ascii="Times New Roman" w:hAnsi="Times New Roman"/>
          <w:b/>
          <w:sz w:val="26"/>
          <w:szCs w:val="26"/>
          <w:lang w:val="en-US"/>
        </w:rPr>
      </w:pPr>
      <w:r w:rsidRPr="003163AE">
        <w:rPr>
          <w:rFonts w:ascii="Times New Roman" w:hAnsi="Times New Roman"/>
          <w:b/>
          <w:sz w:val="26"/>
          <w:szCs w:val="26"/>
          <w:lang w:val="en-US"/>
        </w:rPr>
        <w:t>Games-Howell Simultaneous Tests for Differences of Means</w:t>
      </w:r>
    </w:p>
    <w:tbl>
      <w:tblPr>
        <w:tblW w:w="0" w:type="auto"/>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1188"/>
        <w:gridCol w:w="1188"/>
        <w:gridCol w:w="2016"/>
        <w:gridCol w:w="980"/>
        <w:gridCol w:w="1066"/>
      </w:tblGrid>
      <w:tr w:rsidR="00A80EF6" w:rsidRPr="008945DE" w:rsidTr="000A3D18">
        <w:tc>
          <w:tcPr>
            <w:tcW w:w="0" w:type="auto"/>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A80EF6" w:rsidRPr="000A3D18" w:rsidRDefault="00A80EF6" w:rsidP="00A80EF6">
            <w:pPr>
              <w:spacing w:before="90"/>
              <w:rPr>
                <w:rFonts w:ascii="Times New Roman" w:hAnsi="Times New Roman"/>
                <w:b/>
                <w:sz w:val="22"/>
                <w:szCs w:val="22"/>
              </w:rPr>
            </w:pPr>
            <w:proofErr w:type="spellStart"/>
            <w:r w:rsidRPr="000A3D18">
              <w:rPr>
                <w:rFonts w:ascii="Times New Roman" w:hAnsi="Times New Roman"/>
                <w:b/>
                <w:sz w:val="22"/>
                <w:szCs w:val="22"/>
              </w:rPr>
              <w:t>Difference</w:t>
            </w:r>
            <w:proofErr w:type="spellEnd"/>
            <w:r w:rsidRPr="000A3D18">
              <w:rPr>
                <w:rFonts w:ascii="Times New Roman" w:hAnsi="Times New Roman"/>
                <w:b/>
                <w:sz w:val="22"/>
                <w:szCs w:val="22"/>
              </w:rPr>
              <w:t xml:space="preserve"> </w:t>
            </w:r>
            <w:proofErr w:type="spellStart"/>
            <w:r w:rsidRPr="000A3D18">
              <w:rPr>
                <w:rFonts w:ascii="Times New Roman" w:hAnsi="Times New Roman"/>
                <w:b/>
                <w:sz w:val="22"/>
                <w:szCs w:val="22"/>
              </w:rPr>
              <w:t>of</w:t>
            </w:r>
            <w:proofErr w:type="spellEnd"/>
            <w:r w:rsidRPr="000A3D18">
              <w:rPr>
                <w:rFonts w:ascii="Times New Roman" w:hAnsi="Times New Roman"/>
                <w:b/>
                <w:sz w:val="22"/>
                <w:szCs w:val="22"/>
              </w:rPr>
              <w:t xml:space="preserve"> Levels</w:t>
            </w:r>
          </w:p>
        </w:tc>
        <w:tc>
          <w:tcPr>
            <w:tcW w:w="0" w:type="auto"/>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A80EF6" w:rsidRPr="000A3D18" w:rsidRDefault="00A80EF6" w:rsidP="00A80EF6">
            <w:pPr>
              <w:spacing w:before="90"/>
              <w:jc w:val="right"/>
              <w:rPr>
                <w:rFonts w:ascii="Times New Roman" w:hAnsi="Times New Roman"/>
                <w:b/>
                <w:sz w:val="22"/>
                <w:szCs w:val="22"/>
              </w:rPr>
            </w:pPr>
            <w:proofErr w:type="spellStart"/>
            <w:r w:rsidRPr="000A3D18">
              <w:rPr>
                <w:rFonts w:ascii="Times New Roman" w:hAnsi="Times New Roman"/>
                <w:b/>
                <w:sz w:val="22"/>
                <w:szCs w:val="22"/>
              </w:rPr>
              <w:t>Difference</w:t>
            </w:r>
            <w:proofErr w:type="spellEnd"/>
            <w:r w:rsidRPr="000A3D18">
              <w:rPr>
                <w:rFonts w:ascii="Times New Roman" w:hAnsi="Times New Roman"/>
                <w:b/>
                <w:sz w:val="22"/>
                <w:szCs w:val="22"/>
              </w:rPr>
              <w:br/>
            </w:r>
            <w:proofErr w:type="spellStart"/>
            <w:r w:rsidRPr="000A3D18">
              <w:rPr>
                <w:rFonts w:ascii="Times New Roman" w:hAnsi="Times New Roman"/>
                <w:b/>
                <w:sz w:val="22"/>
                <w:szCs w:val="22"/>
              </w:rPr>
              <w:t>of</w:t>
            </w:r>
            <w:proofErr w:type="spellEnd"/>
            <w:r w:rsidRPr="000A3D18">
              <w:rPr>
                <w:rFonts w:ascii="Times New Roman" w:hAnsi="Times New Roman"/>
                <w:b/>
                <w:sz w:val="22"/>
                <w:szCs w:val="22"/>
              </w:rPr>
              <w:t xml:space="preserve"> </w:t>
            </w:r>
            <w:proofErr w:type="spellStart"/>
            <w:r w:rsidRPr="000A3D18">
              <w:rPr>
                <w:rFonts w:ascii="Times New Roman" w:hAnsi="Times New Roman"/>
                <w:b/>
                <w:sz w:val="22"/>
                <w:szCs w:val="22"/>
              </w:rPr>
              <w:t>Means</w:t>
            </w:r>
            <w:proofErr w:type="spellEnd"/>
          </w:p>
        </w:tc>
        <w:tc>
          <w:tcPr>
            <w:tcW w:w="0" w:type="auto"/>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A80EF6" w:rsidRPr="000A3D18" w:rsidRDefault="00A80EF6" w:rsidP="00A80EF6">
            <w:pPr>
              <w:spacing w:before="90"/>
              <w:jc w:val="right"/>
              <w:rPr>
                <w:rFonts w:ascii="Times New Roman" w:hAnsi="Times New Roman"/>
                <w:b/>
                <w:sz w:val="22"/>
                <w:szCs w:val="22"/>
              </w:rPr>
            </w:pPr>
            <w:r w:rsidRPr="000A3D18">
              <w:rPr>
                <w:rFonts w:ascii="Times New Roman" w:hAnsi="Times New Roman"/>
                <w:b/>
                <w:sz w:val="22"/>
                <w:szCs w:val="22"/>
              </w:rPr>
              <w:t xml:space="preserve">SE </w:t>
            </w:r>
            <w:proofErr w:type="spellStart"/>
            <w:r w:rsidRPr="000A3D18">
              <w:rPr>
                <w:rFonts w:ascii="Times New Roman" w:hAnsi="Times New Roman"/>
                <w:b/>
                <w:sz w:val="22"/>
                <w:szCs w:val="22"/>
              </w:rPr>
              <w:t>of</w:t>
            </w:r>
            <w:proofErr w:type="spellEnd"/>
            <w:r w:rsidRPr="000A3D18">
              <w:rPr>
                <w:rFonts w:ascii="Times New Roman" w:hAnsi="Times New Roman"/>
                <w:b/>
                <w:sz w:val="22"/>
                <w:szCs w:val="22"/>
              </w:rPr>
              <w:br/>
            </w:r>
            <w:proofErr w:type="spellStart"/>
            <w:r w:rsidRPr="000A3D18">
              <w:rPr>
                <w:rFonts w:ascii="Times New Roman" w:hAnsi="Times New Roman"/>
                <w:b/>
                <w:sz w:val="22"/>
                <w:szCs w:val="22"/>
              </w:rPr>
              <w:t>Difference</w:t>
            </w:r>
            <w:proofErr w:type="spellEnd"/>
          </w:p>
        </w:tc>
        <w:tc>
          <w:tcPr>
            <w:tcW w:w="0" w:type="auto"/>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A80EF6" w:rsidRPr="000A3D18" w:rsidRDefault="00A80EF6" w:rsidP="00A80EF6">
            <w:pPr>
              <w:spacing w:before="90"/>
              <w:jc w:val="center"/>
              <w:rPr>
                <w:rFonts w:ascii="Times New Roman" w:hAnsi="Times New Roman"/>
                <w:b/>
                <w:sz w:val="22"/>
                <w:szCs w:val="22"/>
              </w:rPr>
            </w:pPr>
            <w:r w:rsidRPr="000A3D18">
              <w:rPr>
                <w:rFonts w:ascii="Times New Roman" w:hAnsi="Times New Roman"/>
                <w:b/>
                <w:sz w:val="22"/>
                <w:szCs w:val="22"/>
              </w:rPr>
              <w:t>95% CI</w:t>
            </w:r>
          </w:p>
        </w:tc>
        <w:tc>
          <w:tcPr>
            <w:tcW w:w="0" w:type="auto"/>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A80EF6" w:rsidRPr="000A3D18" w:rsidRDefault="00A80EF6" w:rsidP="00A80EF6">
            <w:pPr>
              <w:spacing w:before="90"/>
              <w:jc w:val="right"/>
              <w:rPr>
                <w:rFonts w:ascii="Times New Roman" w:hAnsi="Times New Roman"/>
                <w:b/>
                <w:sz w:val="22"/>
                <w:szCs w:val="22"/>
              </w:rPr>
            </w:pPr>
            <w:r w:rsidRPr="000A3D18">
              <w:rPr>
                <w:rFonts w:ascii="Times New Roman" w:hAnsi="Times New Roman"/>
                <w:b/>
                <w:sz w:val="22"/>
                <w:szCs w:val="22"/>
              </w:rPr>
              <w:t>T-Value</w:t>
            </w:r>
          </w:p>
        </w:tc>
        <w:tc>
          <w:tcPr>
            <w:tcW w:w="0" w:type="auto"/>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A80EF6" w:rsidRPr="000A3D18" w:rsidRDefault="00A80EF6" w:rsidP="00A80EF6">
            <w:pPr>
              <w:spacing w:before="90"/>
              <w:jc w:val="right"/>
              <w:rPr>
                <w:rFonts w:ascii="Times New Roman" w:hAnsi="Times New Roman"/>
                <w:b/>
                <w:sz w:val="22"/>
                <w:szCs w:val="22"/>
              </w:rPr>
            </w:pPr>
            <w:proofErr w:type="spellStart"/>
            <w:r w:rsidRPr="000A3D18">
              <w:rPr>
                <w:rFonts w:ascii="Times New Roman" w:hAnsi="Times New Roman"/>
                <w:b/>
                <w:sz w:val="22"/>
                <w:szCs w:val="22"/>
              </w:rPr>
              <w:t>Adjusted</w:t>
            </w:r>
            <w:proofErr w:type="spellEnd"/>
            <w:r w:rsidRPr="000A3D18">
              <w:rPr>
                <w:rFonts w:ascii="Times New Roman" w:hAnsi="Times New Roman"/>
                <w:b/>
                <w:sz w:val="22"/>
                <w:szCs w:val="22"/>
              </w:rPr>
              <w:br/>
              <w:t>P-Value</w:t>
            </w:r>
          </w:p>
        </w:tc>
      </w:tr>
      <w:tr w:rsidR="00A80EF6" w:rsidRPr="008945DE" w:rsidTr="000A3D18">
        <w:tc>
          <w:tcPr>
            <w:tcW w:w="0" w:type="auto"/>
            <w:tcBorders>
              <w:top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Belgium</w:t>
            </w:r>
            <w:proofErr w:type="spellEnd"/>
            <w:r w:rsidRPr="008945DE">
              <w:rPr>
                <w:rFonts w:ascii="Times New Roman" w:hAnsi="Times New Roman"/>
              </w:rPr>
              <w:t xml:space="preserve"> - Austria</w:t>
            </w:r>
          </w:p>
        </w:tc>
        <w:tc>
          <w:tcPr>
            <w:tcW w:w="0" w:type="auto"/>
            <w:tcBorders>
              <w:top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-0,000432</w:t>
            </w:r>
          </w:p>
        </w:tc>
        <w:tc>
          <w:tcPr>
            <w:tcW w:w="0" w:type="auto"/>
            <w:tcBorders>
              <w:top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0,000219</w:t>
            </w:r>
          </w:p>
        </w:tc>
        <w:tc>
          <w:tcPr>
            <w:tcW w:w="0" w:type="auto"/>
            <w:tcBorders>
              <w:top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(-0,001280; 0,000417)</w:t>
            </w:r>
          </w:p>
        </w:tc>
        <w:tc>
          <w:tcPr>
            <w:tcW w:w="0" w:type="auto"/>
            <w:tcBorders>
              <w:top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-1,97</w:t>
            </w:r>
          </w:p>
        </w:tc>
        <w:tc>
          <w:tcPr>
            <w:tcW w:w="0" w:type="auto"/>
            <w:tcBorders>
              <w:top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0,837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Canada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-0,000474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(-0,001320; 0,000372)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-2,18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0,726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China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0,000205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(-0,000992; 0,000641)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Denmark</w:t>
            </w:r>
            <w:proofErr w:type="spellEnd"/>
            <w:r w:rsidRPr="008945DE">
              <w:rPr>
                <w:rFonts w:ascii="Times New Roman" w:hAnsi="Times New Roman"/>
              </w:rPr>
              <w:t xml:space="preserve">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-0,000079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(-0,001482; 0,001324)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Finland</w:t>
            </w:r>
            <w:proofErr w:type="spellEnd"/>
            <w:r w:rsidRPr="008945DE">
              <w:rPr>
                <w:rFonts w:ascii="Times New Roman" w:hAnsi="Times New Roman"/>
              </w:rPr>
              <w:t xml:space="preserve">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-0,000493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(-0,001342; 0,000356)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-2,26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0,675</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France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-0,000042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(-0,001349; 0,001265)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Germany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(-0,001260; 0,000393)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-2,07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0,787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Iceland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0,000770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(-0,002335; 0,003875)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1,11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lastRenderedPageBreak/>
              <w:t>Japan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-0,000143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(-0,002673; 0,002388)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0,000091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(-0,001355; 0,001538)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(-0,00103; 0,01578)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3,46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0,124</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South Korea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0,000419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(-0,001974; 0,001773)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-0,000077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0,000280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(-0,001133; 0,000979)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0,000316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(-0,001226; 0,001153)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(-0,001959; 0,002632)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Austria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0,000387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(-0,001333; 0,001679)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Canada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-0,000042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0,000128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(-0,000534; 0,000449)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China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0,000256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0,000106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(-0,000151; 0,000664)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2,42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0,579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Denmark</w:t>
            </w:r>
            <w:proofErr w:type="spellEnd"/>
            <w:r w:rsidRPr="008945DE">
              <w:rPr>
                <w:rFonts w:ascii="Times New Roman" w:hAnsi="Times New Roman"/>
              </w:rPr>
              <w:t xml:space="preserve">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0,000352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(-0,000978; 0,001683)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0,995</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Finland</w:t>
            </w:r>
            <w:proofErr w:type="spellEnd"/>
            <w:r w:rsidRPr="008945DE">
              <w:rPr>
                <w:rFonts w:ascii="Times New Roman" w:hAnsi="Times New Roman"/>
              </w:rPr>
              <w:t xml:space="preserve">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-0,000061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0,000128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(-0,000562; 0,000439)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France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0,000390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0,000302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(-0,000778; 0,001558)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1,29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0,994</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Germany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-0,000002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(-0,000436; 0,000433)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Iceland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0,001202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0,000669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(-0,001910; 0,004313)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1,80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0,880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Japan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0,000289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0,000508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(-0,002282; 0,002860)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0,000523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0,000329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(-0,000820; 0,001867)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1,59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0,956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0,00780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(-0,00058; 0,01619)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3,68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0,084</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South Korea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0,000331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0,000381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(-0,001558; 0,002220)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0,000355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(-0,000502; 0,001212)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1,63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0,953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0,000395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0,000263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(-0,000634; 0,001424)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1,50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0,975</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UK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0,000768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(-0,001497; 0,003034)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1,48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0,969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USA - </w:t>
            </w:r>
            <w:proofErr w:type="spellStart"/>
            <w:r w:rsidRPr="008945DE">
              <w:rPr>
                <w:rFonts w:ascii="Times New Roman" w:hAnsi="Times New Roman"/>
              </w:rPr>
              <w:t>Belgium</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0,000605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(-0,000807; 0,002017)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0,913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China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0,000103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(-0,000116; 0,000713)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2,89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0,326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Denmark</w:t>
            </w:r>
            <w:proofErr w:type="spellEnd"/>
            <w:r w:rsidRPr="008945DE">
              <w:rPr>
                <w:rFonts w:ascii="Times New Roman" w:hAnsi="Times New Roman"/>
              </w:rPr>
              <w:t xml:space="preserve">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0,000395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(-0,000938; 0,001727)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0,986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Finland</w:t>
            </w:r>
            <w:proofErr w:type="spellEnd"/>
            <w:r w:rsidRPr="008945DE">
              <w:rPr>
                <w:rFonts w:ascii="Times New Roman" w:hAnsi="Times New Roman"/>
              </w:rPr>
              <w:t xml:space="preserve">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-0,000019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0,000126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(-0,000522; 0,000484)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France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0,000432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(-0,000734; 0,001598)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1,44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0,984</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Germany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0,000040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(-0,000398; 0,000478)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0,36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Iceland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0,001244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0,000668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(-0,001870; 0,004358)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1,86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0,856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Japan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0,000331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(-0,002240; 0,002903)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0,000565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0,000328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(-0,000777; 0,001907)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1,72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0,923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0,00785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(-0,00054; 0,01624)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3,70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0,081</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South Korea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0,000380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(-0,001517; 0,002264)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(-0,000458; 0,001252)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1,83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0,892</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0,000262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(-0,000591; 0,001465)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1,67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0,943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0,000811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(-0,001452; 0,003073)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1,57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0,953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Canada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(-0,000764; 0,002059)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1,88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0,867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Denmark</w:t>
            </w:r>
            <w:proofErr w:type="spellEnd"/>
            <w:r w:rsidRPr="008945DE">
              <w:rPr>
                <w:rFonts w:ascii="Times New Roman" w:hAnsi="Times New Roman"/>
              </w:rPr>
              <w:t xml:space="preserve">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0,000096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0,000288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(-0,001236; 0,001428)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lastRenderedPageBreak/>
              <w:t>Finland</w:t>
            </w:r>
            <w:proofErr w:type="spellEnd"/>
            <w:r w:rsidRPr="008945DE">
              <w:rPr>
                <w:rFonts w:ascii="Times New Roman" w:hAnsi="Times New Roman"/>
              </w:rPr>
              <w:t xml:space="preserve">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(-0,000748; 0,000113)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0,271</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France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(-0,001013; 0,001281)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Germany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-0,000258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0,000086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(-0,000582; 0,000066)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0,241</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Iceland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0,000946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0,000664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(-0,002169; 0,004061)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1,42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0,972</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Japan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0,000502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(-0,002552; 0,002618)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0,000267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0,000320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(-0,001063; 0,001597)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0,00755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(-0,00083; 0,01593)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3,56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0,105</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South Korea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(-0,001831; 0,001981)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0,000099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(-0,000729; 0,000926)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0,000139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0,000251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(-0,000866; 0,001143)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(-0,001750; 0,002775)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China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(-0,001050; 0,001748)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Finland</w:t>
            </w:r>
            <w:proofErr w:type="spellEnd"/>
            <w:r w:rsidRPr="008945DE">
              <w:rPr>
                <w:rFonts w:ascii="Times New Roman" w:hAnsi="Times New Roman"/>
              </w:rPr>
              <w:t xml:space="preserve">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(-0,001747; 0,000920)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-1,39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0,979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France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0,000038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(-0,001524; 0,001600)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Germany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-0,000354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(-0,001684; 0,000976)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-1,21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Iceland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0,000850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0,000721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(-0,002284; 0,003983)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Japan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-0,000063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0,000574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(-0,002626; 0,002499)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0,000171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0,000425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(-0,001490; 0,001832)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0,00745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(-0,00097; 0,01588)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3,48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0,118</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South Korea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-0,000021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(-0,002003; 0,001961)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0,000002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(-0,001403; 0,001408)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0,000043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(-0,001439; 0,001524)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UK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0,000416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0,000584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(-0,001965; 0,002797)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0,71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USA - </w:t>
            </w:r>
            <w:proofErr w:type="spellStart"/>
            <w:r w:rsidRPr="008945DE">
              <w:rPr>
                <w:rFonts w:ascii="Times New Roman" w:hAnsi="Times New Roman"/>
              </w:rPr>
              <w:t>Denmark</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0,000253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(-0,001456; 0,001962)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France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0,000451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(-0,000715; 0,001618)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1,50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0,977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Germany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0,000060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(-0,000391; 0,000510)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Iceland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0,001263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0,000668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(-0,001847; 0,004373)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1,89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0,845</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Japan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0,000351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(-0,002222; 0,002923)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0,000584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0,000329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(-0,000758; 0,001927)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1,78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0,905</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0,00787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(-0,00052; 0,01625)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3,71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0,080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South Korea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0,000393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0,000380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(-0,001498; 0,002284)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0,998</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0,000416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(-0,000441; 0,001273)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0,857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0,000456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0,000262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(-0,000573; 0,001485)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1,74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0,923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UK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0,000830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(-0,001433; 0,003093)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1,60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0,945</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USA - </w:t>
            </w:r>
            <w:proofErr w:type="spellStart"/>
            <w:r w:rsidRPr="008945DE">
              <w:rPr>
                <w:rFonts w:ascii="Times New Roman" w:hAnsi="Times New Roman"/>
              </w:rPr>
              <w:t>Finland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(-0,000745; 0,002078)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1,94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0,843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Germany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(-0,001545; 0,000761)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0,992</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Iceland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0,000722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(-0,002313; 0,003937)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Japan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0,000576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(-0,002639; 0,002438)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lastRenderedPageBreak/>
              <w:t>Netherlands</w:t>
            </w:r>
            <w:proofErr w:type="spellEnd"/>
            <w:r w:rsidRPr="008945DE">
              <w:rPr>
                <w:rFonts w:ascii="Times New Roman" w:hAnsi="Times New Roman"/>
              </w:rPr>
              <w:t xml:space="preserve">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0,000427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(-0,001477; 0,001744)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0,31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0,00741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(-0,00100; 0,01583)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0,122</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South Korea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-0,000059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0,000468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(-0,001998; 0,001880)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-0,000035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0,000349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(-0,001345; 0,001275)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0,000005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(-0,001405; 0,001415)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0,000586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(-0,001982; 0,002739)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France</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0,000440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(-0,001448; 0,001878)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Iceland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0,001204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(-0,001908; 0,004316)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1,81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0,876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Japan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0,000291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(-0,002289; 0,002871)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0,000525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0,000323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(-0,000810; 0,001860)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1,62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0,947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0,00781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(-0,00058; 0,01619)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3,68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0,084</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South Korea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(-0,001567; 0,002233)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0,000357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0,000209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(-0,000479; 0,001192)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1,71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0,930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0,000255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(-0,000615; 0,001409)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1,56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0,966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0,000770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(-0,001493; 0,003034)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1,50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0,966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Germany</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0,000339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(-0,000797; 0,002010)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1,79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Japan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-0,000913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0,000830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(-0,004356; 0,002530)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-1,10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0,998</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-0,000679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(-0,003824; 0,002466)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0,00660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0,00222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(-0,00200; 0,01521)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2,97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0,273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South Korea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-0,000871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0,000758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(-0,004093; 0,002352)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0,000691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(-0,003956; 0,002261)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-1,23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0,993</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(-0,003920; 0,002306)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0,997</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0,000836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(-0,003827; 0,002960)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Iceland</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0,000741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(-0,003752; 0,002558)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-0,81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Netherlands</w:t>
            </w:r>
            <w:proofErr w:type="spellEnd"/>
            <w:r w:rsidRPr="008945DE">
              <w:rPr>
                <w:rFonts w:ascii="Times New Roman" w:hAnsi="Times New Roman"/>
              </w:rPr>
              <w:t xml:space="preserve"> - Japan</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0,000591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(-0,002332; 0,002800)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Japan</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0,00752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(-0,00099; 0,01602)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3,45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0,121</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South Korea - Japan</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0,000042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0,000621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(-0,002650; 0,002734)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Japan</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(-0,002467; 0,002598)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Japan</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0,000106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0,000557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(-0,002425; 0,002637)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Japan</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0,000479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0,000714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(-0,002438; 0,003397)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Japan</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0,000316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(-0,002263; 0,002895)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Norway</w:t>
            </w:r>
            <w:proofErr w:type="spellEnd"/>
            <w:r w:rsidRPr="008945DE">
              <w:rPr>
                <w:rFonts w:ascii="Times New Roman" w:hAnsi="Times New Roman"/>
              </w:rPr>
              <w:t xml:space="preserve"> - </w:t>
            </w:r>
            <w:proofErr w:type="spellStart"/>
            <w:r w:rsidRPr="008945DE">
              <w:rPr>
                <w:rFonts w:ascii="Times New Roman" w:hAnsi="Times New Roman"/>
              </w:rPr>
              <w:t>Netherlands</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0,00728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(-0,00115; 0,01571)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3,40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0,138</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South Korea - </w:t>
            </w:r>
            <w:proofErr w:type="spellStart"/>
            <w:r w:rsidRPr="008945DE">
              <w:rPr>
                <w:rFonts w:ascii="Times New Roman" w:hAnsi="Times New Roman"/>
              </w:rPr>
              <w:t>Netherlands</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-0,000192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0,000486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(-0,002192; 0,001808)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-0,39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w:t>
            </w:r>
            <w:proofErr w:type="spellStart"/>
            <w:r w:rsidRPr="008945DE">
              <w:rPr>
                <w:rFonts w:ascii="Times New Roman" w:hAnsi="Times New Roman"/>
              </w:rPr>
              <w:t>Netherlands</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-0,000168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(-0,001615; 0,001279)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w:t>
            </w:r>
            <w:proofErr w:type="spellStart"/>
            <w:r w:rsidRPr="008945DE">
              <w:rPr>
                <w:rFonts w:ascii="Times New Roman" w:hAnsi="Times New Roman"/>
              </w:rPr>
              <w:t>Netherlands</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-0,000128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(-0,001658; 0,001401)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-0,32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UK - </w:t>
            </w:r>
            <w:proofErr w:type="spellStart"/>
            <w:r w:rsidRPr="008945DE">
              <w:rPr>
                <w:rFonts w:ascii="Times New Roman" w:hAnsi="Times New Roman"/>
              </w:rPr>
              <w:t>Netherlands</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0,000245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(-0,002161; 0,002651)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0,41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USA - </w:t>
            </w:r>
            <w:proofErr w:type="spellStart"/>
            <w:r w:rsidRPr="008945DE">
              <w:rPr>
                <w:rFonts w:ascii="Times New Roman" w:hAnsi="Times New Roman"/>
              </w:rPr>
              <w:t>Netherlands</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0,000082</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0,000459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(-0,001670; 0,001834)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South Korea - </w:t>
            </w:r>
            <w:proofErr w:type="spellStart"/>
            <w:r w:rsidRPr="008945DE">
              <w:rPr>
                <w:rFonts w:ascii="Times New Roman" w:hAnsi="Times New Roman"/>
              </w:rPr>
              <w:t>Norway</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(-0,01592; 0,00097)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0,119</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lastRenderedPageBreak/>
              <w:t>Sweden</w:t>
            </w:r>
            <w:proofErr w:type="spellEnd"/>
            <w:r w:rsidRPr="008945DE">
              <w:rPr>
                <w:rFonts w:ascii="Times New Roman" w:hAnsi="Times New Roman"/>
              </w:rPr>
              <w:t xml:space="preserve"> - </w:t>
            </w:r>
            <w:proofErr w:type="spellStart"/>
            <w:r w:rsidRPr="008945DE">
              <w:rPr>
                <w:rFonts w:ascii="Times New Roman" w:hAnsi="Times New Roman"/>
              </w:rPr>
              <w:t>Norway</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-0,00745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(-0,01585; 0,00095)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-3,50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0,116</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w:t>
            </w:r>
            <w:proofErr w:type="spellStart"/>
            <w:r w:rsidRPr="008945DE">
              <w:rPr>
                <w:rFonts w:ascii="Times New Roman" w:hAnsi="Times New Roman"/>
              </w:rPr>
              <w:t>Norway</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-0,00741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(-0,01582; 0,00100)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0,122</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UK - </w:t>
            </w:r>
            <w:proofErr w:type="spellStart"/>
            <w:r w:rsidRPr="008945DE">
              <w:rPr>
                <w:rFonts w:ascii="Times New Roman" w:hAnsi="Times New Roman"/>
              </w:rPr>
              <w:t>Norway</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(-0,01555; 0,00148)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-3,23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0,181</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USA - </w:t>
            </w:r>
            <w:proofErr w:type="spellStart"/>
            <w:r w:rsidRPr="008945DE">
              <w:rPr>
                <w:rFonts w:ascii="Times New Roman" w:hAnsi="Times New Roman"/>
              </w:rPr>
              <w:t>Norway</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-0,00720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0,00215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(-0,01564; 0,00124)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-3,35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0,148</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Sweden</w:t>
            </w:r>
            <w:proofErr w:type="spellEnd"/>
            <w:r w:rsidRPr="008945DE">
              <w:rPr>
                <w:rFonts w:ascii="Times New Roman" w:hAnsi="Times New Roman"/>
              </w:rPr>
              <w:t xml:space="preserve"> - South Korea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0,000023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0,000419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(-0,001851; 0,001898)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South Korea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0,000064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0,000444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(-0,001837; 0,001965)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UK - South Korea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0,000437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0,000630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(-0,002114; 0,002988)</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0,69</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South Korea</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0,000274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0,000497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(-0,001757; 0,002304)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proofErr w:type="spellStart"/>
            <w:r w:rsidRPr="008945DE">
              <w:rPr>
                <w:rFonts w:ascii="Times New Roman" w:hAnsi="Times New Roman"/>
              </w:rPr>
              <w:t>Switzerland</w:t>
            </w:r>
            <w:proofErr w:type="spellEnd"/>
            <w:r w:rsidRPr="008945DE">
              <w:rPr>
                <w:rFonts w:ascii="Times New Roman" w:hAnsi="Times New Roman"/>
              </w:rPr>
              <w:t xml:space="preserve"> - </w:t>
            </w:r>
            <w:proofErr w:type="spellStart"/>
            <w:r w:rsidRPr="008945DE">
              <w:rPr>
                <w:rFonts w:ascii="Times New Roman" w:hAnsi="Times New Roman"/>
              </w:rPr>
              <w:t>Sweden</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0,000040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0,000315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(-0,001151; 0,001231)</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0,13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UK - </w:t>
            </w:r>
            <w:proofErr w:type="spellStart"/>
            <w:r w:rsidRPr="008945DE">
              <w:rPr>
                <w:rFonts w:ascii="Times New Roman" w:hAnsi="Times New Roman"/>
              </w:rPr>
              <w:t>Sweden</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0,000414</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0,000547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(-0,001880; 0,002707)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0,76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USA - </w:t>
            </w:r>
            <w:proofErr w:type="spellStart"/>
            <w:r w:rsidRPr="008945DE">
              <w:rPr>
                <w:rFonts w:ascii="Times New Roman" w:hAnsi="Times New Roman"/>
              </w:rPr>
              <w:t>Sweden</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0,000250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0,000387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(-0,001256; 0,001757)</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0,65</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8945DE">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UK - </w:t>
            </w:r>
            <w:proofErr w:type="spellStart"/>
            <w:r w:rsidRPr="008945DE">
              <w:rPr>
                <w:rFonts w:ascii="Times New Roman" w:hAnsi="Times New Roman"/>
              </w:rPr>
              <w:t>Switzerland</w:t>
            </w:r>
            <w:proofErr w:type="spellEnd"/>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0,000373</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0,000566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(-0,001953; 0,002700)</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0,66</w:t>
            </w:r>
          </w:p>
        </w:tc>
        <w:tc>
          <w:tcPr>
            <w:tcW w:w="0" w:type="auto"/>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451DEE">
        <w:tc>
          <w:tcPr>
            <w:tcW w:w="0" w:type="auto"/>
            <w:tcBorders>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 xml:space="preserve">USA - </w:t>
            </w:r>
            <w:proofErr w:type="spellStart"/>
            <w:r w:rsidRPr="008945DE">
              <w:rPr>
                <w:rFonts w:ascii="Times New Roman" w:hAnsi="Times New Roman"/>
              </w:rPr>
              <w:t>Switzerland</w:t>
            </w:r>
            <w:proofErr w:type="spellEnd"/>
          </w:p>
        </w:tc>
        <w:tc>
          <w:tcPr>
            <w:tcW w:w="0" w:type="auto"/>
            <w:tcBorders>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0,000210</w:t>
            </w:r>
          </w:p>
        </w:tc>
        <w:tc>
          <w:tcPr>
            <w:tcW w:w="0" w:type="auto"/>
            <w:tcBorders>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0,000414</w:t>
            </w:r>
          </w:p>
        </w:tc>
        <w:tc>
          <w:tcPr>
            <w:tcW w:w="0" w:type="auto"/>
            <w:tcBorders>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(-0,001375; 0,001795)</w:t>
            </w:r>
          </w:p>
        </w:tc>
        <w:tc>
          <w:tcPr>
            <w:tcW w:w="0" w:type="auto"/>
            <w:tcBorders>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0,51</w:t>
            </w:r>
          </w:p>
        </w:tc>
        <w:tc>
          <w:tcPr>
            <w:tcW w:w="0" w:type="auto"/>
            <w:tcBorders>
              <w:bottom w:val="single" w:sz="4"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r w:rsidR="00A80EF6" w:rsidRPr="008945DE" w:rsidTr="00451DEE">
        <w:tc>
          <w:tcPr>
            <w:tcW w:w="0" w:type="auto"/>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rPr>
                <w:rFonts w:ascii="Times New Roman" w:hAnsi="Times New Roman"/>
              </w:rPr>
            </w:pPr>
            <w:r w:rsidRPr="008945DE">
              <w:rPr>
                <w:rFonts w:ascii="Times New Roman" w:hAnsi="Times New Roman"/>
              </w:rPr>
              <w:t>USA - UK</w:t>
            </w:r>
          </w:p>
        </w:tc>
        <w:tc>
          <w:tcPr>
            <w:tcW w:w="0" w:type="auto"/>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-0,000163</w:t>
            </w:r>
          </w:p>
        </w:tc>
        <w:tc>
          <w:tcPr>
            <w:tcW w:w="0" w:type="auto"/>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0,000609</w:t>
            </w:r>
          </w:p>
        </w:tc>
        <w:tc>
          <w:tcPr>
            <w:tcW w:w="0" w:type="auto"/>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center"/>
              <w:rPr>
                <w:rFonts w:ascii="Times New Roman" w:hAnsi="Times New Roman"/>
              </w:rPr>
            </w:pPr>
            <w:r w:rsidRPr="008945DE">
              <w:rPr>
                <w:rFonts w:ascii="Times New Roman" w:hAnsi="Times New Roman"/>
              </w:rPr>
              <w:t>(-0,002592; 0,002265)</w:t>
            </w:r>
          </w:p>
        </w:tc>
        <w:tc>
          <w:tcPr>
            <w:tcW w:w="0" w:type="auto"/>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-0,27</w:t>
            </w:r>
          </w:p>
        </w:tc>
        <w:tc>
          <w:tcPr>
            <w:tcW w:w="0" w:type="auto"/>
            <w:tcBorders>
              <w:top w:val="single" w:sz="4" w:space="0" w:color="auto"/>
              <w:bottom w:val="single" w:sz="12" w:space="0" w:color="auto"/>
            </w:tcBorders>
            <w:shd w:val="clear" w:color="auto" w:fill="FFFFFF"/>
            <w:noWrap/>
            <w:tcMar>
              <w:top w:w="15" w:type="dxa"/>
              <w:left w:w="105" w:type="dxa"/>
              <w:bottom w:w="15" w:type="dxa"/>
              <w:right w:w="105" w:type="dxa"/>
            </w:tcMar>
            <w:hideMark/>
          </w:tcPr>
          <w:p w:rsidR="00A80EF6" w:rsidRPr="008945DE" w:rsidRDefault="00A80EF6" w:rsidP="00A80EF6">
            <w:pPr>
              <w:spacing w:before="90"/>
              <w:jc w:val="right"/>
              <w:rPr>
                <w:rFonts w:ascii="Times New Roman" w:hAnsi="Times New Roman"/>
              </w:rPr>
            </w:pPr>
            <w:r w:rsidRPr="008945DE">
              <w:rPr>
                <w:rFonts w:ascii="Times New Roman" w:hAnsi="Times New Roman"/>
              </w:rPr>
              <w:t>1,000</w:t>
            </w:r>
          </w:p>
        </w:tc>
      </w:tr>
    </w:tbl>
    <w:p w:rsidR="00A80EF6" w:rsidRDefault="00A80EF6" w:rsidP="00A80EF6">
      <w:pPr>
        <w:rPr>
          <w:rFonts w:ascii="Times New Roman" w:hAnsi="Times New Roman"/>
          <w:b/>
          <w:lang w:val="en-US"/>
        </w:rPr>
      </w:pPr>
      <w:r>
        <w:rPr>
          <w:rFonts w:ascii="Times New Roman" w:hAnsi="Times New Roman"/>
          <w:b/>
          <w:lang w:val="en-US"/>
        </w:rPr>
        <w:t xml:space="preserve">Table 6. </w:t>
      </w:r>
      <w:r w:rsidRPr="00A80EF6">
        <w:rPr>
          <w:rFonts w:ascii="Times New Roman" w:hAnsi="Times New Roman"/>
          <w:b/>
          <w:lang w:val="en-US"/>
        </w:rPr>
        <w:t>Games-Howell</w:t>
      </w:r>
      <w:r>
        <w:rPr>
          <w:rFonts w:ascii="Times New Roman" w:hAnsi="Times New Roman"/>
          <w:b/>
          <w:lang w:val="en-US"/>
        </w:rPr>
        <w:t xml:space="preserve"> pairwise comparisons</w:t>
      </w:r>
    </w:p>
    <w:p w:rsidR="000A3D18" w:rsidRDefault="000A3D18" w:rsidP="00A80EF6">
      <w:pPr>
        <w:rPr>
          <w:rFonts w:ascii="Times New Roman" w:hAnsi="Times New Roman"/>
          <w:b/>
          <w:lang w:val="en-US"/>
        </w:rPr>
      </w:pPr>
    </w:p>
    <w:p w:rsidR="00105D91" w:rsidRDefault="00105D91" w:rsidP="00942FB5">
      <w:pPr>
        <w:jc w:val="center"/>
        <w:rPr>
          <w:rFonts w:ascii="Times New Roman" w:hAnsi="Times New Roman"/>
          <w:b/>
          <w:lang w:val="en-US"/>
        </w:rPr>
      </w:pPr>
    </w:p>
    <w:p w:rsidR="00451DEE" w:rsidRDefault="00451DEE" w:rsidP="00942FB5">
      <w:pPr>
        <w:jc w:val="center"/>
        <w:rPr>
          <w:rFonts w:ascii="Times New Roman" w:hAnsi="Times New Roman"/>
          <w:b/>
          <w:lang w:val="en-US"/>
        </w:rPr>
      </w:pPr>
      <w:r w:rsidRPr="00451DEE">
        <w:rPr>
          <w:noProof/>
        </w:rPr>
        <w:drawing>
          <wp:inline distT="0" distB="0" distL="0" distR="0">
            <wp:extent cx="5579745" cy="3715385"/>
            <wp:effectExtent l="0" t="0" r="190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3715385"/>
                    </a:xfrm>
                    <a:prstGeom prst="rect">
                      <a:avLst/>
                    </a:prstGeom>
                    <a:noFill/>
                    <a:ln>
                      <a:noFill/>
                    </a:ln>
                  </pic:spPr>
                </pic:pic>
              </a:graphicData>
            </a:graphic>
          </wp:inline>
        </w:drawing>
      </w:r>
    </w:p>
    <w:p w:rsidR="00A80EF6" w:rsidRPr="00D034E4" w:rsidRDefault="000C1BDD" w:rsidP="00D034E4">
      <w:pPr>
        <w:rPr>
          <w:rFonts w:ascii="Times New Roman" w:hAnsi="Times New Roman"/>
          <w:b/>
          <w:lang w:val="en-US"/>
        </w:rPr>
      </w:pPr>
      <w:r>
        <w:rPr>
          <w:rFonts w:ascii="Times New Roman" w:hAnsi="Times New Roman"/>
          <w:b/>
          <w:lang w:val="en-US"/>
        </w:rPr>
        <w:t xml:space="preserve">Table </w:t>
      </w:r>
      <w:r w:rsidR="00CB6BD9">
        <w:rPr>
          <w:rFonts w:ascii="Times New Roman" w:hAnsi="Times New Roman"/>
          <w:b/>
          <w:lang w:val="en-US"/>
        </w:rPr>
        <w:t>7</w:t>
      </w:r>
      <w:r>
        <w:rPr>
          <w:rFonts w:ascii="Times New Roman" w:hAnsi="Times New Roman"/>
          <w:b/>
          <w:lang w:val="en-US"/>
        </w:rPr>
        <w:t xml:space="preserve">. </w:t>
      </w:r>
      <w:r w:rsidR="00CB6BD9">
        <w:rPr>
          <w:rFonts w:ascii="Times New Roman" w:hAnsi="Times New Roman"/>
          <w:b/>
          <w:lang w:val="en-US"/>
        </w:rPr>
        <w:t>Pearson correlations between model variables</w:t>
      </w:r>
    </w:p>
    <w:p w:rsidR="00D034E4" w:rsidRDefault="00D034E4" w:rsidP="00D034E4">
      <w:pPr>
        <w:rPr>
          <w:lang w:val="en-US"/>
        </w:rPr>
      </w:pPr>
    </w:p>
    <w:p w:rsidR="00D034E4" w:rsidRPr="00D034E4" w:rsidRDefault="00D034E4" w:rsidP="00D034E4">
      <w:pPr>
        <w:rPr>
          <w:lang w:val="en-US"/>
        </w:rPr>
        <w:sectPr w:rsidR="00D034E4" w:rsidRPr="00D034E4" w:rsidSect="00BB42B8">
          <w:pgSz w:w="11906" w:h="16838"/>
          <w:pgMar w:top="1418" w:right="1418" w:bottom="1418" w:left="1701" w:header="709" w:footer="709" w:gutter="0"/>
          <w:cols w:space="708"/>
          <w:docGrid w:linePitch="360"/>
        </w:sectPr>
      </w:pPr>
    </w:p>
    <w:p w:rsidR="004D2379" w:rsidRDefault="00FA15B1" w:rsidP="00CE182C">
      <w:pPr>
        <w:pStyle w:val="2"/>
        <w:jc w:val="both"/>
        <w:rPr>
          <w:szCs w:val="24"/>
          <w:lang w:val="en-US"/>
        </w:rPr>
      </w:pPr>
      <w:bookmarkStart w:id="36" w:name="_Toc535248669"/>
      <w:r>
        <w:rPr>
          <w:lang w:val="en-US"/>
        </w:rPr>
        <w:lastRenderedPageBreak/>
        <w:t>Appendix:</w:t>
      </w:r>
      <w:bookmarkEnd w:id="36"/>
      <w:r>
        <w:rPr>
          <w:lang w:val="en-US"/>
        </w:rPr>
        <w:t xml:space="preserve"> </w:t>
      </w:r>
    </w:p>
    <w:tbl>
      <w:tblPr>
        <w:tblW w:w="8789" w:type="dxa"/>
        <w:tblLayout w:type="fixed"/>
        <w:tblCellMar>
          <w:top w:w="15" w:type="dxa"/>
          <w:left w:w="15" w:type="dxa"/>
          <w:bottom w:w="15" w:type="dxa"/>
          <w:right w:w="15" w:type="dxa"/>
        </w:tblCellMar>
        <w:tblLook w:val="04A0" w:firstRow="1" w:lastRow="0" w:firstColumn="1" w:lastColumn="0" w:noHBand="0" w:noVBand="1"/>
      </w:tblPr>
      <w:tblGrid>
        <w:gridCol w:w="2268"/>
        <w:gridCol w:w="1276"/>
        <w:gridCol w:w="1276"/>
        <w:gridCol w:w="1417"/>
        <w:gridCol w:w="1276"/>
        <w:gridCol w:w="1276"/>
      </w:tblGrid>
      <w:tr w:rsidR="002A083C" w:rsidRPr="00451DEE" w:rsidTr="008A77FA">
        <w:tc>
          <w:tcPr>
            <w:tcW w:w="2268"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2A083C" w:rsidRPr="00436B6A" w:rsidRDefault="002A083C" w:rsidP="00436B6A">
            <w:pPr>
              <w:spacing w:before="90"/>
              <w:rPr>
                <w:rFonts w:ascii="Times New Roman" w:hAnsi="Times New Roman"/>
                <w:b/>
                <w:sz w:val="22"/>
                <w:szCs w:val="22"/>
              </w:rPr>
            </w:pPr>
            <w:bookmarkStart w:id="37" w:name="_Hlk535141450"/>
            <w:r w:rsidRPr="00436B6A">
              <w:rPr>
                <w:rFonts w:ascii="Times New Roman" w:hAnsi="Times New Roman"/>
                <w:b/>
                <w:sz w:val="22"/>
                <w:szCs w:val="22"/>
              </w:rPr>
              <w:t>Regressor</w:t>
            </w: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2A083C" w:rsidRPr="00436B6A" w:rsidRDefault="002A083C" w:rsidP="00436B6A">
            <w:pPr>
              <w:spacing w:before="90"/>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1---</w:t>
            </w: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2A083C" w:rsidRPr="00436B6A" w:rsidRDefault="002A083C" w:rsidP="00436B6A">
            <w:pPr>
              <w:spacing w:before="90"/>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2---</w:t>
            </w:r>
          </w:p>
        </w:tc>
        <w:tc>
          <w:tcPr>
            <w:tcW w:w="1417"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2A083C" w:rsidRPr="00436B6A" w:rsidRDefault="002A083C" w:rsidP="00436B6A">
            <w:pPr>
              <w:spacing w:before="90"/>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3---</w:t>
            </w:r>
          </w:p>
        </w:tc>
        <w:tc>
          <w:tcPr>
            <w:tcW w:w="1276" w:type="dxa"/>
            <w:tcBorders>
              <w:top w:val="single" w:sz="12" w:space="0" w:color="auto"/>
              <w:bottom w:val="single" w:sz="12" w:space="0" w:color="auto"/>
            </w:tcBorders>
            <w:shd w:val="clear" w:color="auto" w:fill="FFFFFF"/>
            <w:vAlign w:val="bottom"/>
          </w:tcPr>
          <w:p w:rsidR="002A083C" w:rsidRPr="00436B6A" w:rsidRDefault="002A083C" w:rsidP="00436B6A">
            <w:pPr>
              <w:spacing w:before="90"/>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4---</w:t>
            </w:r>
          </w:p>
        </w:tc>
        <w:tc>
          <w:tcPr>
            <w:tcW w:w="1276" w:type="dxa"/>
            <w:tcBorders>
              <w:top w:val="single" w:sz="12" w:space="0" w:color="auto"/>
              <w:bottom w:val="single" w:sz="12" w:space="0" w:color="auto"/>
            </w:tcBorders>
            <w:shd w:val="clear" w:color="auto" w:fill="FFFFFF"/>
            <w:vAlign w:val="bottom"/>
          </w:tcPr>
          <w:p w:rsidR="002A083C" w:rsidRPr="00436B6A" w:rsidRDefault="002A083C" w:rsidP="00436B6A">
            <w:pPr>
              <w:spacing w:before="90"/>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5---</w:t>
            </w:r>
          </w:p>
        </w:tc>
      </w:tr>
      <w:tr w:rsidR="002A083C" w:rsidRPr="00CD3527" w:rsidTr="008A77FA">
        <w:trPr>
          <w:trHeight w:val="303"/>
        </w:trPr>
        <w:tc>
          <w:tcPr>
            <w:tcW w:w="2268" w:type="dxa"/>
            <w:tcBorders>
              <w:top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 xml:space="preserve">Government </w:t>
            </w:r>
            <w:proofErr w:type="spellStart"/>
            <w:r w:rsidRPr="00436B6A">
              <w:rPr>
                <w:rFonts w:ascii="Times New Roman" w:hAnsi="Times New Roman"/>
                <w:sz w:val="22"/>
                <w:szCs w:val="22"/>
              </w:rPr>
              <w:t>grant</w:t>
            </w:r>
            <w:proofErr w:type="spellEnd"/>
            <w:r w:rsidRPr="00436B6A">
              <w:rPr>
                <w:rFonts w:ascii="Times New Roman" w:hAnsi="Times New Roman"/>
                <w:sz w:val="22"/>
                <w:szCs w:val="22"/>
              </w:rPr>
              <w:t xml:space="preserve"> </w:t>
            </w:r>
          </w:p>
        </w:tc>
        <w:tc>
          <w:tcPr>
            <w:tcW w:w="1276" w:type="dxa"/>
            <w:tcBorders>
              <w:top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0,000086**</w:t>
            </w:r>
          </w:p>
        </w:tc>
        <w:tc>
          <w:tcPr>
            <w:tcW w:w="1276" w:type="dxa"/>
            <w:tcBorders>
              <w:top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0,000078**</w:t>
            </w:r>
          </w:p>
        </w:tc>
        <w:tc>
          <w:tcPr>
            <w:tcW w:w="1417" w:type="dxa"/>
            <w:tcBorders>
              <w:top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0,000085**</w:t>
            </w:r>
          </w:p>
        </w:tc>
        <w:tc>
          <w:tcPr>
            <w:tcW w:w="1276" w:type="dxa"/>
            <w:tcBorders>
              <w:top w:val="single" w:sz="12" w:space="0" w:color="auto"/>
            </w:tcBorders>
            <w:shd w:val="clear" w:color="auto" w:fill="FFFFFF"/>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0,000089**</w:t>
            </w:r>
          </w:p>
        </w:tc>
        <w:tc>
          <w:tcPr>
            <w:tcW w:w="1276" w:type="dxa"/>
            <w:tcBorders>
              <w:top w:val="single" w:sz="12"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0,000074**</w:t>
            </w:r>
          </w:p>
        </w:tc>
      </w:tr>
      <w:tr w:rsidR="002A083C" w:rsidRPr="00CD3527" w:rsidTr="008A77FA">
        <w:trPr>
          <w:trHeight w:val="197"/>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(0,000026)</w:t>
            </w: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(0,000026)</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(0,000033)</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(0,000029)</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(0,000025)</w:t>
            </w: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dr</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range</w:t>
            </w:r>
            <w:proofErr w:type="spellEnd"/>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1,729**</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1,522**</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1,515**</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1,367**</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1,013**</w:t>
            </w: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(0,372)</w:t>
            </w: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(0,363)</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(0,370)</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(0,258)</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(0,194)</w:t>
            </w: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ch</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st</w:t>
            </w:r>
            <w:r w:rsidR="00DA3512" w:rsidRPr="00436B6A">
              <w:rPr>
                <w:rFonts w:ascii="Times New Roman" w:hAnsi="Times New Roman"/>
                <w:sz w:val="22"/>
                <w:szCs w:val="22"/>
              </w:rPr>
              <w:t>-</w:t>
            </w:r>
            <w:r w:rsidRPr="00436B6A">
              <w:rPr>
                <w:rFonts w:ascii="Times New Roman" w:hAnsi="Times New Roman"/>
                <w:sz w:val="22"/>
                <w:szCs w:val="22"/>
              </w:rPr>
              <w:t>ns</w:t>
            </w:r>
            <w:proofErr w:type="spellEnd"/>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0,6628**</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0,5579**</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0,568**</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0,5915**</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0,5631**</w:t>
            </w: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(0,0677)</w:t>
            </w: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(0,0715)</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(0,104)</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(0,0738)</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(0,0670)</w:t>
            </w: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price</w:t>
            </w:r>
            <w:proofErr w:type="spellEnd"/>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-0,754*</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-0,250</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-0,215</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(0,341)</w:t>
            </w: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(0,373)</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(0,380)</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 xml:space="preserve">VAT </w:t>
            </w:r>
            <w:proofErr w:type="spellStart"/>
            <w:r w:rsidRPr="00436B6A">
              <w:rPr>
                <w:rFonts w:ascii="Times New Roman" w:hAnsi="Times New Roman"/>
                <w:sz w:val="22"/>
                <w:szCs w:val="22"/>
              </w:rPr>
              <w:t>Amount</w:t>
            </w:r>
            <w:proofErr w:type="spellEnd"/>
            <w:r w:rsidRPr="00436B6A">
              <w:rPr>
                <w:rFonts w:ascii="Times New Roman" w:hAnsi="Times New Roman"/>
                <w:sz w:val="22"/>
                <w:szCs w:val="22"/>
              </w:rPr>
              <w:t xml:space="preserve"> </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-0,000039</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-0,000044</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-0,000051</w:t>
            </w:r>
            <w:r w:rsidR="00436B6A" w:rsidRPr="00436B6A">
              <w:rPr>
                <w:rFonts w:ascii="Times New Roman" w:hAnsi="Times New Roman"/>
                <w:sz w:val="22"/>
                <w:szCs w:val="22"/>
              </w:rPr>
              <w:t>*</w:t>
            </w:r>
            <w:r w:rsidRPr="00436B6A">
              <w:rPr>
                <w:rFonts w:ascii="Times New Roman" w:hAnsi="Times New Roman"/>
                <w:sz w:val="22"/>
                <w:szCs w:val="22"/>
              </w:rPr>
              <w:t>*</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(0,000028)</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(0,000029)</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(0,000025)</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roofErr w:type="spellStart"/>
            <w:r w:rsidRPr="00436B6A">
              <w:rPr>
                <w:rFonts w:ascii="Times New Roman" w:hAnsi="Times New Roman"/>
                <w:sz w:val="22"/>
                <w:szCs w:val="22"/>
              </w:rPr>
              <w:t>Reduction</w:t>
            </w:r>
            <w:proofErr w:type="spellEnd"/>
            <w:r w:rsidRPr="00436B6A">
              <w:rPr>
                <w:rFonts w:ascii="Times New Roman" w:hAnsi="Times New Roman"/>
                <w:sz w:val="22"/>
                <w:szCs w:val="22"/>
              </w:rPr>
              <w:t xml:space="preserve"> (annual </w:t>
            </w:r>
            <w:proofErr w:type="spellStart"/>
            <w:r w:rsidRPr="00436B6A">
              <w:rPr>
                <w:rFonts w:ascii="Times New Roman" w:hAnsi="Times New Roman"/>
                <w:sz w:val="22"/>
                <w:szCs w:val="22"/>
              </w:rPr>
              <w:t>tax</w:t>
            </w:r>
            <w:proofErr w:type="spellEnd"/>
            <w:r w:rsidRPr="00436B6A">
              <w:rPr>
                <w:rFonts w:ascii="Times New Roman" w:hAnsi="Times New Roman"/>
                <w:sz w:val="22"/>
                <w:szCs w:val="22"/>
              </w:rPr>
              <w:t>)</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0,203</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0,154</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0,179</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(0,282)</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(0,296)</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(0,285)</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roofErr w:type="spellStart"/>
            <w:r w:rsidRPr="00436B6A">
              <w:rPr>
                <w:rFonts w:ascii="Times New Roman" w:hAnsi="Times New Roman"/>
                <w:sz w:val="22"/>
                <w:szCs w:val="22"/>
              </w:rPr>
              <w:t>Reduction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purchase</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tax</w:t>
            </w:r>
            <w:proofErr w:type="spellEnd"/>
            <w:r w:rsidRPr="00436B6A">
              <w:rPr>
                <w:rFonts w:ascii="Times New Roman" w:hAnsi="Times New Roman"/>
                <w:sz w:val="22"/>
                <w:szCs w:val="22"/>
              </w:rPr>
              <w:t>)</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vertAlign w:val="subscript"/>
              </w:rPr>
            </w:pPr>
            <w:r w:rsidRPr="00436B6A">
              <w:rPr>
                <w:rFonts w:ascii="Times New Roman" w:hAnsi="Times New Roman"/>
                <w:sz w:val="22"/>
                <w:szCs w:val="22"/>
              </w:rPr>
              <w:t>-0,457</w:t>
            </w:r>
            <w:r w:rsidR="000A3D18" w:rsidRPr="00436B6A">
              <w:rPr>
                <w:rFonts w:ascii="Times New Roman" w:hAnsi="Times New Roman"/>
                <w:b/>
                <w:sz w:val="22"/>
                <w:szCs w:val="22"/>
              </w:rPr>
              <w:t>^</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-0,396</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-0,372</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(0,249)</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(0,279)</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(0,265)</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roofErr w:type="spellStart"/>
            <w:r w:rsidRPr="00436B6A">
              <w:rPr>
                <w:rFonts w:ascii="Times New Roman" w:hAnsi="Times New Roman"/>
                <w:sz w:val="22"/>
                <w:szCs w:val="22"/>
              </w:rPr>
              <w:t>Reduction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company</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car</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tax</w:t>
            </w:r>
            <w:proofErr w:type="spellEnd"/>
            <w:r w:rsidRPr="00436B6A">
              <w:rPr>
                <w:rFonts w:ascii="Times New Roman" w:hAnsi="Times New Roman"/>
                <w:sz w:val="22"/>
                <w:szCs w:val="22"/>
              </w:rPr>
              <w:t>)</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0,196</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0,102</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0,057</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(0,280)</w:t>
            </w: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(0,419)</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(0,327)</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 xml:space="preserve">Urban </w:t>
            </w:r>
            <w:proofErr w:type="spellStart"/>
            <w:r w:rsidRPr="00436B6A">
              <w:rPr>
                <w:rFonts w:ascii="Times New Roman" w:hAnsi="Times New Roman"/>
                <w:sz w:val="22"/>
                <w:szCs w:val="22"/>
              </w:rPr>
              <w:t>density</w:t>
            </w:r>
            <w:proofErr w:type="spellEnd"/>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0,000066</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(0,000382)</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el-ty</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price</w:t>
            </w:r>
            <w:proofErr w:type="spellEnd"/>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 xml:space="preserve">  </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-0,024</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(0,541)</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 xml:space="preserve">BEV </w:t>
            </w:r>
            <w:proofErr w:type="spellStart"/>
            <w:r w:rsidRPr="00436B6A">
              <w:rPr>
                <w:rFonts w:ascii="Times New Roman" w:hAnsi="Times New Roman"/>
                <w:sz w:val="22"/>
                <w:szCs w:val="22"/>
              </w:rPr>
              <w:t>models</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available</w:t>
            </w:r>
            <w:proofErr w:type="spellEnd"/>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0,0218</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0,0223</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(0,0313)</w:t>
            </w:r>
          </w:p>
        </w:tc>
        <w:tc>
          <w:tcPr>
            <w:tcW w:w="1276" w:type="dxa"/>
            <w:tcBorders>
              <w:bottom w:val="single" w:sz="4"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(0,0260)</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2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Interest score</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-0,0009</w:t>
            </w: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c>
          <w:tcPr>
            <w:tcW w:w="1276" w:type="dxa"/>
            <w:tcBorders>
              <w:top w:val="single" w:sz="4" w:space="0" w:color="auto"/>
            </w:tcBorders>
            <w:shd w:val="clear" w:color="auto" w:fill="FFFFFF"/>
          </w:tcPr>
          <w:p w:rsidR="002A083C" w:rsidRPr="00436B6A" w:rsidRDefault="002A083C" w:rsidP="00436B6A">
            <w:pPr>
              <w:spacing w:before="90"/>
              <w:rPr>
                <w:rFonts w:ascii="Times New Roman" w:hAnsi="Times New Roman"/>
                <w:sz w:val="22"/>
                <w:szCs w:val="22"/>
              </w:rPr>
            </w:pPr>
          </w:p>
        </w:tc>
      </w:tr>
      <w:tr w:rsidR="002A083C" w:rsidRPr="00CD3527" w:rsidTr="008A77FA">
        <w:trPr>
          <w:trHeight w:val="20"/>
        </w:trPr>
        <w:tc>
          <w:tcPr>
            <w:tcW w:w="2268"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(0,0186)</w:t>
            </w: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c>
          <w:tcPr>
            <w:tcW w:w="1276" w:type="dxa"/>
            <w:tcBorders>
              <w:bottom w:val="single" w:sz="4" w:space="0" w:color="auto"/>
            </w:tcBorders>
            <w:shd w:val="clear" w:color="auto" w:fill="FFFFFF"/>
          </w:tcPr>
          <w:p w:rsidR="002A083C" w:rsidRPr="00436B6A" w:rsidRDefault="002A083C" w:rsidP="00436B6A">
            <w:pPr>
              <w:rPr>
                <w:rFonts w:ascii="Times New Roman" w:hAnsi="Times New Roman"/>
                <w:sz w:val="22"/>
                <w:szCs w:val="22"/>
              </w:rPr>
            </w:pPr>
          </w:p>
        </w:tc>
      </w:tr>
      <w:tr w:rsidR="002A083C" w:rsidRPr="00CD3527" w:rsidTr="008A77FA">
        <w:trPr>
          <w:trHeight w:val="310"/>
        </w:trPr>
        <w:tc>
          <w:tcPr>
            <w:tcW w:w="2268"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F201CD" w:rsidP="00436B6A">
            <w:pPr>
              <w:spacing w:before="90"/>
              <w:rPr>
                <w:rFonts w:ascii="Times New Roman" w:hAnsi="Times New Roman"/>
                <w:sz w:val="22"/>
                <w:szCs w:val="22"/>
                <w:lang w:val="en-US"/>
              </w:rPr>
            </w:pPr>
            <w:r>
              <w:rPr>
                <w:rFonts w:ascii="Times New Roman" w:hAnsi="Times New Roman"/>
                <w:sz w:val="22"/>
                <w:szCs w:val="22"/>
                <w:lang w:val="en-US"/>
              </w:rPr>
              <w:t xml:space="preserve">HOV/Bus </w:t>
            </w:r>
            <w:r w:rsidR="002A083C" w:rsidRPr="00436B6A">
              <w:rPr>
                <w:rFonts w:ascii="Times New Roman" w:hAnsi="Times New Roman"/>
                <w:sz w:val="22"/>
                <w:szCs w:val="22"/>
                <w:lang w:val="en-US"/>
              </w:rPr>
              <w:t xml:space="preserve">lane access </w:t>
            </w: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lang w:val="en-US"/>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1,187**</w:t>
            </w:r>
          </w:p>
        </w:tc>
        <w:tc>
          <w:tcPr>
            <w:tcW w:w="1417" w:type="dxa"/>
            <w:tcBorders>
              <w:top w:val="single" w:sz="4"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1,177**</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1,157**</w:t>
            </w:r>
          </w:p>
        </w:tc>
        <w:tc>
          <w:tcPr>
            <w:tcW w:w="1276" w:type="dxa"/>
            <w:tcBorders>
              <w:top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1,314**</w:t>
            </w:r>
          </w:p>
        </w:tc>
      </w:tr>
      <w:tr w:rsidR="002A083C" w:rsidRPr="00CD3527" w:rsidTr="008A77FA">
        <w:trPr>
          <w:trHeight w:val="258"/>
        </w:trPr>
        <w:tc>
          <w:tcPr>
            <w:tcW w:w="2268" w:type="dxa"/>
            <w:tcBorders>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lang w:val="en-US"/>
              </w:rPr>
            </w:pPr>
          </w:p>
        </w:tc>
        <w:tc>
          <w:tcPr>
            <w:tcW w:w="1276" w:type="dxa"/>
            <w:tcBorders>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lang w:val="en-US"/>
              </w:rPr>
            </w:pPr>
          </w:p>
        </w:tc>
        <w:tc>
          <w:tcPr>
            <w:tcW w:w="1276" w:type="dxa"/>
            <w:tcBorders>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(0,287)</w:t>
            </w:r>
          </w:p>
        </w:tc>
        <w:tc>
          <w:tcPr>
            <w:tcW w:w="1417" w:type="dxa"/>
            <w:tcBorders>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rPr>
                <w:rFonts w:ascii="Times New Roman" w:hAnsi="Times New Roman"/>
                <w:sz w:val="22"/>
                <w:szCs w:val="22"/>
              </w:rPr>
            </w:pPr>
            <w:r w:rsidRPr="00436B6A">
              <w:rPr>
                <w:rFonts w:ascii="Times New Roman" w:hAnsi="Times New Roman"/>
                <w:sz w:val="22"/>
                <w:szCs w:val="22"/>
              </w:rPr>
              <w:t>(0,433)</w:t>
            </w:r>
          </w:p>
        </w:tc>
        <w:tc>
          <w:tcPr>
            <w:tcW w:w="1276" w:type="dxa"/>
            <w:tcBorders>
              <w:bottom w:val="single" w:sz="12"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(0,287)</w:t>
            </w:r>
          </w:p>
        </w:tc>
        <w:tc>
          <w:tcPr>
            <w:tcW w:w="1276" w:type="dxa"/>
            <w:tcBorders>
              <w:bottom w:val="single" w:sz="12" w:space="0" w:color="auto"/>
            </w:tcBorders>
            <w:shd w:val="clear" w:color="auto" w:fill="FFFFFF"/>
          </w:tcPr>
          <w:p w:rsidR="002A083C" w:rsidRPr="00436B6A" w:rsidRDefault="00001AC5" w:rsidP="00436B6A">
            <w:pPr>
              <w:rPr>
                <w:rFonts w:ascii="Times New Roman" w:hAnsi="Times New Roman"/>
                <w:sz w:val="22"/>
                <w:szCs w:val="22"/>
              </w:rPr>
            </w:pPr>
            <w:r w:rsidRPr="00436B6A">
              <w:rPr>
                <w:rFonts w:ascii="Times New Roman" w:hAnsi="Times New Roman"/>
                <w:sz w:val="22"/>
                <w:szCs w:val="22"/>
              </w:rPr>
              <w:t>(0,240)</w:t>
            </w:r>
          </w:p>
        </w:tc>
      </w:tr>
      <w:tr w:rsidR="002A083C" w:rsidRPr="00CD3527" w:rsidTr="008A77FA">
        <w:trPr>
          <w:trHeight w:val="20"/>
        </w:trPr>
        <w:tc>
          <w:tcPr>
            <w:tcW w:w="2268" w:type="dxa"/>
            <w:tcBorders>
              <w:top w:val="single" w:sz="12" w:space="0" w:color="auto"/>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b/>
                <w:sz w:val="22"/>
                <w:szCs w:val="22"/>
              </w:rPr>
            </w:pPr>
            <w:r w:rsidRPr="00436B6A">
              <w:rPr>
                <w:rFonts w:ascii="Times New Roman" w:hAnsi="Times New Roman"/>
                <w:b/>
                <w:sz w:val="22"/>
                <w:szCs w:val="22"/>
              </w:rPr>
              <w:t xml:space="preserve">Summary </w:t>
            </w:r>
            <w:proofErr w:type="spellStart"/>
            <w:r w:rsidRPr="00436B6A">
              <w:rPr>
                <w:rFonts w:ascii="Times New Roman" w:hAnsi="Times New Roman"/>
                <w:b/>
                <w:sz w:val="22"/>
                <w:szCs w:val="22"/>
              </w:rPr>
              <w:t>Statistics</w:t>
            </w:r>
            <w:proofErr w:type="spellEnd"/>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b/>
                <w:sz w:val="22"/>
                <w:szCs w:val="22"/>
                <w:lang w:val="en-US"/>
              </w:rPr>
            </w:pP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b/>
                <w:sz w:val="22"/>
                <w:szCs w:val="22"/>
              </w:rPr>
            </w:pPr>
          </w:p>
        </w:tc>
        <w:tc>
          <w:tcPr>
            <w:tcW w:w="1417" w:type="dxa"/>
            <w:tcBorders>
              <w:top w:val="single" w:sz="12" w:space="0" w:color="auto"/>
              <w:bottom w:val="single" w:sz="12"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b/>
                <w:sz w:val="22"/>
                <w:szCs w:val="22"/>
              </w:rPr>
            </w:pPr>
          </w:p>
        </w:tc>
        <w:tc>
          <w:tcPr>
            <w:tcW w:w="1276" w:type="dxa"/>
            <w:tcBorders>
              <w:top w:val="single" w:sz="12" w:space="0" w:color="auto"/>
              <w:bottom w:val="single" w:sz="12" w:space="0" w:color="auto"/>
            </w:tcBorders>
            <w:shd w:val="clear" w:color="auto" w:fill="FFFFFF"/>
          </w:tcPr>
          <w:p w:rsidR="002A083C" w:rsidRPr="00436B6A" w:rsidRDefault="002A083C" w:rsidP="00436B6A">
            <w:pPr>
              <w:spacing w:before="90"/>
              <w:rPr>
                <w:rFonts w:ascii="Times New Roman" w:hAnsi="Times New Roman"/>
                <w:b/>
                <w:sz w:val="22"/>
                <w:szCs w:val="22"/>
              </w:rPr>
            </w:pPr>
          </w:p>
        </w:tc>
        <w:tc>
          <w:tcPr>
            <w:tcW w:w="1276" w:type="dxa"/>
            <w:tcBorders>
              <w:top w:val="single" w:sz="12" w:space="0" w:color="auto"/>
              <w:bottom w:val="single" w:sz="12" w:space="0" w:color="auto"/>
            </w:tcBorders>
            <w:shd w:val="clear" w:color="auto" w:fill="FFFFFF"/>
          </w:tcPr>
          <w:p w:rsidR="002A083C" w:rsidRPr="00436B6A" w:rsidRDefault="002A083C" w:rsidP="00436B6A">
            <w:pPr>
              <w:spacing w:before="90"/>
              <w:rPr>
                <w:rFonts w:ascii="Times New Roman" w:hAnsi="Times New Roman"/>
                <w:b/>
                <w:sz w:val="22"/>
                <w:szCs w:val="22"/>
              </w:rPr>
            </w:pPr>
          </w:p>
        </w:tc>
      </w:tr>
      <w:tr w:rsidR="002A083C" w:rsidRPr="00CD3527" w:rsidTr="008A77FA">
        <w:trPr>
          <w:trHeight w:val="20"/>
        </w:trPr>
        <w:tc>
          <w:tcPr>
            <w:tcW w:w="2268" w:type="dxa"/>
            <w:tcBorders>
              <w:top w:val="single" w:sz="12"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SER</w:t>
            </w:r>
          </w:p>
        </w:tc>
        <w:tc>
          <w:tcPr>
            <w:tcW w:w="1276" w:type="dxa"/>
            <w:tcBorders>
              <w:top w:val="single" w:sz="12"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1,40857</w:t>
            </w:r>
          </w:p>
        </w:tc>
        <w:tc>
          <w:tcPr>
            <w:tcW w:w="1276" w:type="dxa"/>
            <w:tcBorders>
              <w:top w:val="single" w:sz="12"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1,32747</w:t>
            </w:r>
          </w:p>
        </w:tc>
        <w:tc>
          <w:tcPr>
            <w:tcW w:w="1417" w:type="dxa"/>
            <w:tcBorders>
              <w:top w:val="single" w:sz="12"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1,33853</w:t>
            </w:r>
          </w:p>
        </w:tc>
        <w:tc>
          <w:tcPr>
            <w:tcW w:w="1276" w:type="dxa"/>
            <w:tcBorders>
              <w:top w:val="single" w:sz="12" w:space="0" w:color="auto"/>
              <w:bottom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1,32653</w:t>
            </w:r>
          </w:p>
        </w:tc>
        <w:tc>
          <w:tcPr>
            <w:tcW w:w="1276" w:type="dxa"/>
            <w:tcBorders>
              <w:top w:val="single" w:sz="12" w:space="0" w:color="auto"/>
              <w:bottom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1,33211</w:t>
            </w:r>
          </w:p>
        </w:tc>
      </w:tr>
      <w:tr w:rsidR="002A083C" w:rsidRPr="00CD3527" w:rsidTr="008A77FA">
        <w:trPr>
          <w:trHeight w:val="20"/>
        </w:trPr>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R-</w:t>
            </w:r>
            <w:proofErr w:type="spellStart"/>
            <w:r w:rsidRPr="00436B6A">
              <w:rPr>
                <w:rFonts w:ascii="Times New Roman" w:hAnsi="Times New Roman"/>
                <w:sz w:val="22"/>
                <w:szCs w:val="22"/>
              </w:rPr>
              <w:t>sq</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53,78%</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59,94%</w:t>
            </w:r>
          </w:p>
        </w:tc>
        <w:tc>
          <w:tcPr>
            <w:tcW w:w="1417"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60,07%</w:t>
            </w:r>
          </w:p>
        </w:tc>
        <w:tc>
          <w:tcPr>
            <w:tcW w:w="1276" w:type="dxa"/>
            <w:tcBorders>
              <w:top w:val="single" w:sz="4" w:space="0" w:color="auto"/>
              <w:bottom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60,00%</w:t>
            </w:r>
          </w:p>
        </w:tc>
        <w:tc>
          <w:tcPr>
            <w:tcW w:w="1276" w:type="dxa"/>
            <w:tcBorders>
              <w:top w:val="single" w:sz="4" w:space="0" w:color="auto"/>
              <w:bottom w:val="single" w:sz="4" w:space="0" w:color="auto"/>
            </w:tcBorders>
            <w:shd w:val="clear" w:color="auto" w:fill="FFFFFF"/>
          </w:tcPr>
          <w:p w:rsidR="002A083C" w:rsidRPr="00436B6A" w:rsidRDefault="007C48AE" w:rsidP="00436B6A">
            <w:pPr>
              <w:spacing w:before="90"/>
              <w:rPr>
                <w:rFonts w:ascii="Times New Roman" w:hAnsi="Times New Roman"/>
                <w:sz w:val="22"/>
                <w:szCs w:val="22"/>
              </w:rPr>
            </w:pPr>
            <w:r w:rsidRPr="00436B6A">
              <w:rPr>
                <w:rFonts w:ascii="Times New Roman" w:hAnsi="Times New Roman"/>
                <w:sz w:val="22"/>
                <w:szCs w:val="22"/>
              </w:rPr>
              <w:t>58,66%</w:t>
            </w:r>
          </w:p>
        </w:tc>
      </w:tr>
      <w:tr w:rsidR="002A083C" w:rsidRPr="00CD3527" w:rsidTr="008A77FA">
        <w:trPr>
          <w:trHeight w:val="20"/>
        </w:trPr>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R-</w:t>
            </w:r>
            <w:proofErr w:type="spellStart"/>
            <w:r w:rsidRPr="00436B6A">
              <w:rPr>
                <w:rFonts w:ascii="Times New Roman" w:hAnsi="Times New Roman"/>
                <w:sz w:val="22"/>
                <w:szCs w:val="22"/>
              </w:rPr>
              <w:t>sq</w:t>
            </w:r>
            <w:proofErr w:type="spellEnd"/>
            <w:r w:rsidRPr="00436B6A">
              <w:rPr>
                <w:rFonts w:ascii="Times New Roman" w:hAnsi="Times New Roman"/>
                <w:sz w:val="22"/>
                <w:szCs w:val="22"/>
              </w:rPr>
              <w:t>(</w:t>
            </w:r>
            <w:proofErr w:type="spellStart"/>
            <w:r w:rsidRPr="00436B6A">
              <w:rPr>
                <w:rFonts w:ascii="Times New Roman" w:hAnsi="Times New Roman"/>
                <w:sz w:val="22"/>
                <w:szCs w:val="22"/>
              </w:rPr>
              <w:t>adj</w:t>
            </w:r>
            <w:proofErr w:type="spellEnd"/>
            <w:r w:rsidRPr="00436B6A">
              <w:rPr>
                <w:rFonts w:ascii="Times New Roman" w:hAnsi="Times New Roman"/>
                <w:sz w:val="22"/>
                <w:szCs w:val="22"/>
              </w:rPr>
              <w:t>)</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52,88%</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58,15%</w:t>
            </w:r>
          </w:p>
        </w:tc>
        <w:tc>
          <w:tcPr>
            <w:tcW w:w="1417" w:type="dxa"/>
            <w:tcBorders>
              <w:top w:val="single" w:sz="4" w:space="0" w:color="auto"/>
              <w:bottom w:val="single" w:sz="4" w:space="0" w:color="auto"/>
            </w:tcBorders>
            <w:shd w:val="clear" w:color="auto" w:fill="FFFFFF"/>
            <w:noWrap/>
            <w:tcMar>
              <w:top w:w="15" w:type="dxa"/>
              <w:left w:w="105" w:type="dxa"/>
              <w:bottom w:w="15" w:type="dxa"/>
              <w:right w:w="105" w:type="dxa"/>
            </w:tcMar>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57,45%</w:t>
            </w:r>
          </w:p>
        </w:tc>
        <w:tc>
          <w:tcPr>
            <w:tcW w:w="1276" w:type="dxa"/>
            <w:tcBorders>
              <w:top w:val="single" w:sz="4" w:space="0" w:color="auto"/>
              <w:bottom w:val="single" w:sz="4"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58,21%</w:t>
            </w:r>
          </w:p>
        </w:tc>
        <w:tc>
          <w:tcPr>
            <w:tcW w:w="1276" w:type="dxa"/>
            <w:tcBorders>
              <w:top w:val="single" w:sz="4" w:space="0" w:color="auto"/>
              <w:bottom w:val="single" w:sz="4" w:space="0" w:color="auto"/>
            </w:tcBorders>
            <w:shd w:val="clear" w:color="auto" w:fill="FFFFFF"/>
          </w:tcPr>
          <w:p w:rsidR="002A083C" w:rsidRPr="00436B6A" w:rsidRDefault="007C48AE" w:rsidP="00436B6A">
            <w:pPr>
              <w:spacing w:before="90"/>
              <w:rPr>
                <w:rFonts w:ascii="Times New Roman" w:hAnsi="Times New Roman"/>
                <w:sz w:val="22"/>
                <w:szCs w:val="22"/>
              </w:rPr>
            </w:pPr>
            <w:r w:rsidRPr="00436B6A">
              <w:rPr>
                <w:rFonts w:ascii="Times New Roman" w:hAnsi="Times New Roman"/>
                <w:sz w:val="22"/>
                <w:szCs w:val="22"/>
              </w:rPr>
              <w:t>57,86%</w:t>
            </w:r>
          </w:p>
        </w:tc>
      </w:tr>
      <w:tr w:rsidR="002A083C" w:rsidRPr="00CD3527" w:rsidTr="008A77FA">
        <w:trPr>
          <w:trHeight w:val="20"/>
        </w:trPr>
        <w:tc>
          <w:tcPr>
            <w:tcW w:w="2268" w:type="dxa"/>
            <w:tcBorders>
              <w:top w:val="single" w:sz="4" w:space="0" w:color="auto"/>
              <w:bottom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n</w:t>
            </w:r>
          </w:p>
        </w:tc>
        <w:tc>
          <w:tcPr>
            <w:tcW w:w="1276" w:type="dxa"/>
            <w:tcBorders>
              <w:top w:val="single" w:sz="4" w:space="0" w:color="auto"/>
              <w:bottom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212</w:t>
            </w:r>
          </w:p>
        </w:tc>
        <w:tc>
          <w:tcPr>
            <w:tcW w:w="1276" w:type="dxa"/>
            <w:tcBorders>
              <w:top w:val="single" w:sz="4" w:space="0" w:color="auto"/>
              <w:bottom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212</w:t>
            </w:r>
          </w:p>
        </w:tc>
        <w:tc>
          <w:tcPr>
            <w:tcW w:w="1417" w:type="dxa"/>
            <w:tcBorders>
              <w:top w:val="single" w:sz="4" w:space="0" w:color="auto"/>
              <w:bottom w:val="single" w:sz="12" w:space="0" w:color="auto"/>
            </w:tcBorders>
            <w:shd w:val="clear" w:color="auto" w:fill="FFFFFF"/>
            <w:noWrap/>
            <w:tcMar>
              <w:top w:w="15" w:type="dxa"/>
              <w:left w:w="105" w:type="dxa"/>
              <w:bottom w:w="15" w:type="dxa"/>
              <w:right w:w="105" w:type="dxa"/>
            </w:tcMar>
            <w:hideMark/>
          </w:tcPr>
          <w:p w:rsidR="002A083C" w:rsidRPr="00436B6A" w:rsidRDefault="002A083C" w:rsidP="00436B6A">
            <w:pPr>
              <w:spacing w:before="90"/>
              <w:rPr>
                <w:rFonts w:ascii="Times New Roman" w:hAnsi="Times New Roman"/>
                <w:sz w:val="22"/>
                <w:szCs w:val="22"/>
              </w:rPr>
            </w:pPr>
            <w:r w:rsidRPr="00436B6A">
              <w:rPr>
                <w:rFonts w:ascii="Times New Roman" w:hAnsi="Times New Roman"/>
                <w:sz w:val="22"/>
                <w:szCs w:val="22"/>
              </w:rPr>
              <w:t>212</w:t>
            </w:r>
          </w:p>
        </w:tc>
        <w:tc>
          <w:tcPr>
            <w:tcW w:w="1276" w:type="dxa"/>
            <w:tcBorders>
              <w:top w:val="single" w:sz="4" w:space="0" w:color="auto"/>
              <w:bottom w:val="single" w:sz="12" w:space="0" w:color="auto"/>
            </w:tcBorders>
            <w:shd w:val="clear" w:color="auto" w:fill="FFFFFF"/>
          </w:tcPr>
          <w:p w:rsidR="002A083C" w:rsidRPr="00436B6A" w:rsidRDefault="00001AC5" w:rsidP="00436B6A">
            <w:pPr>
              <w:spacing w:before="90"/>
              <w:rPr>
                <w:rFonts w:ascii="Times New Roman" w:hAnsi="Times New Roman"/>
                <w:sz w:val="22"/>
                <w:szCs w:val="22"/>
              </w:rPr>
            </w:pPr>
            <w:r w:rsidRPr="00436B6A">
              <w:rPr>
                <w:rFonts w:ascii="Times New Roman" w:hAnsi="Times New Roman"/>
                <w:sz w:val="22"/>
                <w:szCs w:val="22"/>
              </w:rPr>
              <w:t>212</w:t>
            </w:r>
          </w:p>
        </w:tc>
        <w:tc>
          <w:tcPr>
            <w:tcW w:w="1276" w:type="dxa"/>
            <w:tcBorders>
              <w:top w:val="single" w:sz="4" w:space="0" w:color="auto"/>
              <w:bottom w:val="single" w:sz="12" w:space="0" w:color="auto"/>
            </w:tcBorders>
            <w:shd w:val="clear" w:color="auto" w:fill="FFFFFF"/>
          </w:tcPr>
          <w:p w:rsidR="002A083C" w:rsidRPr="00436B6A" w:rsidRDefault="007C48AE" w:rsidP="00436B6A">
            <w:pPr>
              <w:spacing w:before="90"/>
              <w:rPr>
                <w:rFonts w:ascii="Times New Roman" w:hAnsi="Times New Roman"/>
                <w:sz w:val="22"/>
                <w:szCs w:val="22"/>
              </w:rPr>
            </w:pPr>
            <w:r w:rsidRPr="00436B6A">
              <w:rPr>
                <w:rFonts w:ascii="Times New Roman" w:hAnsi="Times New Roman"/>
                <w:sz w:val="22"/>
                <w:szCs w:val="22"/>
              </w:rPr>
              <w:t>212</w:t>
            </w:r>
          </w:p>
        </w:tc>
      </w:tr>
    </w:tbl>
    <w:bookmarkEnd w:id="37"/>
    <w:p w:rsidR="00451DEE" w:rsidRPr="00451DEE" w:rsidRDefault="00451DEE" w:rsidP="00451DEE">
      <w:pPr>
        <w:shd w:val="clear" w:color="auto" w:fill="FFFFFF"/>
        <w:spacing w:after="75"/>
        <w:rPr>
          <w:rFonts w:ascii="Times New Roman" w:hAnsi="Times New Roman"/>
          <w:vanish/>
        </w:rPr>
      </w:pPr>
      <w:r w:rsidRPr="00451DEE">
        <w:rPr>
          <w:rFonts w:ascii="Times New Roman" w:hAnsi="Times New Roman"/>
          <w:b/>
          <w:vanish/>
        </w:rPr>
        <w:t>^</w:t>
      </w:r>
      <w:r w:rsidRPr="00451DEE">
        <w:rPr>
          <w:rFonts w:ascii="Times New Roman" w:hAnsi="Times New Roman"/>
          <w:vanish/>
        </w:rPr>
        <w:t xml:space="preserve"> P</w:t>
      </w:r>
      <w:r>
        <w:rPr>
          <w:rFonts w:ascii="Times New Roman" w:hAnsi="Times New Roman"/>
          <w:vanish/>
        </w:rPr>
        <w:t xml:space="preserve"> </w:t>
      </w:r>
      <w:r w:rsidRPr="00451DEE">
        <w:rPr>
          <w:rFonts w:ascii="Times New Roman" w:hAnsi="Times New Roman"/>
          <w:vanish/>
        </w:rPr>
        <w:t>&lt;</w:t>
      </w:r>
      <w:r>
        <w:rPr>
          <w:rFonts w:ascii="Times New Roman" w:hAnsi="Times New Roman"/>
          <w:vanish/>
        </w:rPr>
        <w:t xml:space="preserve"> </w:t>
      </w:r>
      <w:r w:rsidRPr="00451DEE">
        <w:rPr>
          <w:rFonts w:ascii="Times New Roman" w:hAnsi="Times New Roman"/>
          <w:vanish/>
        </w:rPr>
        <w:t>0</w:t>
      </w:r>
      <w:r>
        <w:rPr>
          <w:rFonts w:ascii="Times New Roman" w:hAnsi="Times New Roman"/>
          <w:vanish/>
        </w:rPr>
        <w:t>,</w:t>
      </w:r>
      <w:r w:rsidRPr="00451DEE">
        <w:rPr>
          <w:rFonts w:ascii="Times New Roman" w:hAnsi="Times New Roman"/>
          <w:vanish/>
        </w:rPr>
        <w:t>1; * P&lt;0</w:t>
      </w:r>
      <w:r>
        <w:rPr>
          <w:rFonts w:ascii="Times New Roman" w:hAnsi="Times New Roman"/>
          <w:vanish/>
        </w:rPr>
        <w:t>,</w:t>
      </w:r>
      <w:r w:rsidRPr="00451DEE">
        <w:rPr>
          <w:rFonts w:ascii="Times New Roman" w:hAnsi="Times New Roman"/>
          <w:vanish/>
        </w:rPr>
        <w:t>05; ** P&lt;0</w:t>
      </w:r>
      <w:r>
        <w:rPr>
          <w:rFonts w:ascii="Times New Roman" w:hAnsi="Times New Roman"/>
          <w:vanish/>
        </w:rPr>
        <w:t>,</w:t>
      </w:r>
      <w:r w:rsidRPr="00451DEE">
        <w:rPr>
          <w:rFonts w:ascii="Times New Roman" w:hAnsi="Times New Roman"/>
          <w:vanish/>
        </w:rPr>
        <w:t>01</w:t>
      </w:r>
    </w:p>
    <w:p w:rsidR="00235EB3" w:rsidRPr="00CD3527" w:rsidRDefault="00235EB3" w:rsidP="00A80EF6">
      <w:pPr>
        <w:shd w:val="clear" w:color="auto" w:fill="FFFFFF"/>
        <w:spacing w:after="75"/>
        <w:rPr>
          <w:rFonts w:ascii="Segoe UI" w:hAnsi="Segoe UI" w:cs="Segoe UI"/>
          <w:vanish/>
        </w:rPr>
      </w:pPr>
    </w:p>
    <w:p w:rsidR="00A80EF6" w:rsidRDefault="00A80EF6" w:rsidP="00A80EF6">
      <w:pPr>
        <w:rPr>
          <w:lang w:val="en-US"/>
        </w:rPr>
      </w:pPr>
    </w:p>
    <w:tbl>
      <w:tblPr>
        <w:tblW w:w="8789" w:type="dxa"/>
        <w:tblLayout w:type="fixed"/>
        <w:tblCellMar>
          <w:top w:w="15" w:type="dxa"/>
          <w:left w:w="15" w:type="dxa"/>
          <w:bottom w:w="15" w:type="dxa"/>
          <w:right w:w="15" w:type="dxa"/>
        </w:tblCellMar>
        <w:tblLook w:val="04A0" w:firstRow="1" w:lastRow="0" w:firstColumn="1" w:lastColumn="0" w:noHBand="0" w:noVBand="1"/>
      </w:tblPr>
      <w:tblGrid>
        <w:gridCol w:w="2268"/>
        <w:gridCol w:w="1276"/>
        <w:gridCol w:w="1276"/>
        <w:gridCol w:w="1134"/>
        <w:gridCol w:w="1276"/>
        <w:gridCol w:w="1559"/>
      </w:tblGrid>
      <w:tr w:rsidR="008A77FA" w:rsidRPr="00436B6A" w:rsidTr="008A77FA">
        <w:tc>
          <w:tcPr>
            <w:tcW w:w="2268"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451DEE" w:rsidRPr="00436B6A" w:rsidRDefault="00451DEE" w:rsidP="000C0789">
            <w:pPr>
              <w:spacing w:before="90"/>
              <w:jc w:val="center"/>
              <w:rPr>
                <w:rFonts w:ascii="Times New Roman" w:hAnsi="Times New Roman"/>
                <w:b/>
                <w:sz w:val="22"/>
                <w:szCs w:val="22"/>
              </w:rPr>
            </w:pPr>
            <w:r w:rsidRPr="00436B6A">
              <w:rPr>
                <w:rFonts w:ascii="Times New Roman" w:hAnsi="Times New Roman"/>
                <w:b/>
                <w:sz w:val="22"/>
                <w:szCs w:val="22"/>
              </w:rPr>
              <w:t>Regressor \ VIF</w:t>
            </w: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451DEE" w:rsidRPr="00436B6A" w:rsidRDefault="00451DEE" w:rsidP="000C0789">
            <w:pPr>
              <w:spacing w:before="90"/>
              <w:jc w:val="center"/>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1---</w:t>
            </w:r>
          </w:p>
        </w:tc>
        <w:tc>
          <w:tcPr>
            <w:tcW w:w="1276" w:type="dxa"/>
            <w:tcBorders>
              <w:top w:val="single" w:sz="12" w:space="0" w:color="auto"/>
              <w:bottom w:val="single" w:sz="12" w:space="0" w:color="auto"/>
            </w:tcBorders>
            <w:shd w:val="clear" w:color="auto" w:fill="FFFFFF"/>
            <w:vAlign w:val="bottom"/>
          </w:tcPr>
          <w:p w:rsidR="00451DEE" w:rsidRPr="00436B6A" w:rsidRDefault="00451DEE" w:rsidP="000C0789">
            <w:pPr>
              <w:spacing w:before="90"/>
              <w:jc w:val="center"/>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2---</w:t>
            </w:r>
          </w:p>
        </w:tc>
        <w:tc>
          <w:tcPr>
            <w:tcW w:w="1134" w:type="dxa"/>
            <w:tcBorders>
              <w:top w:val="single" w:sz="12" w:space="0" w:color="auto"/>
              <w:bottom w:val="single" w:sz="12" w:space="0" w:color="auto"/>
            </w:tcBorders>
            <w:shd w:val="clear" w:color="auto" w:fill="FFFFFF"/>
            <w:vAlign w:val="bottom"/>
          </w:tcPr>
          <w:p w:rsidR="00451DEE" w:rsidRPr="00436B6A" w:rsidRDefault="00451DEE" w:rsidP="000C0789">
            <w:pPr>
              <w:spacing w:before="90"/>
              <w:jc w:val="center"/>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3---</w:t>
            </w:r>
          </w:p>
        </w:tc>
        <w:tc>
          <w:tcPr>
            <w:tcW w:w="1276" w:type="dxa"/>
            <w:tcBorders>
              <w:top w:val="single" w:sz="12" w:space="0" w:color="auto"/>
              <w:bottom w:val="single" w:sz="12" w:space="0" w:color="auto"/>
            </w:tcBorders>
            <w:shd w:val="clear" w:color="auto" w:fill="FFFFFF"/>
            <w:vAlign w:val="bottom"/>
          </w:tcPr>
          <w:p w:rsidR="00451DEE" w:rsidRPr="00436B6A" w:rsidRDefault="00451DEE" w:rsidP="000C0789">
            <w:pPr>
              <w:spacing w:before="90"/>
              <w:jc w:val="center"/>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4---</w:t>
            </w:r>
          </w:p>
        </w:tc>
        <w:tc>
          <w:tcPr>
            <w:tcW w:w="1559" w:type="dxa"/>
            <w:tcBorders>
              <w:top w:val="single" w:sz="12" w:space="0" w:color="auto"/>
              <w:bottom w:val="single" w:sz="12" w:space="0" w:color="auto"/>
            </w:tcBorders>
            <w:shd w:val="clear" w:color="auto" w:fill="FFFFFF"/>
            <w:vAlign w:val="bottom"/>
          </w:tcPr>
          <w:p w:rsidR="00451DEE" w:rsidRPr="00436B6A" w:rsidRDefault="00451DEE" w:rsidP="000C0789">
            <w:pPr>
              <w:spacing w:before="90"/>
              <w:jc w:val="center"/>
              <w:rPr>
                <w:rFonts w:ascii="Times New Roman" w:hAnsi="Times New Roman"/>
                <w:b/>
                <w:sz w:val="22"/>
                <w:szCs w:val="22"/>
              </w:rPr>
            </w:pPr>
            <w:r w:rsidRPr="00436B6A">
              <w:rPr>
                <w:rFonts w:ascii="Times New Roman" w:hAnsi="Times New Roman"/>
                <w:b/>
                <w:sz w:val="22"/>
                <w:szCs w:val="22"/>
              </w:rPr>
              <w:t>---</w:t>
            </w:r>
            <w:proofErr w:type="spellStart"/>
            <w:r w:rsidRPr="00436B6A">
              <w:rPr>
                <w:rFonts w:ascii="Times New Roman" w:hAnsi="Times New Roman"/>
                <w:b/>
                <w:sz w:val="22"/>
                <w:szCs w:val="22"/>
              </w:rPr>
              <w:t>Step</w:t>
            </w:r>
            <w:proofErr w:type="spellEnd"/>
            <w:r w:rsidRPr="00436B6A">
              <w:rPr>
                <w:rFonts w:ascii="Times New Roman" w:hAnsi="Times New Roman"/>
                <w:b/>
                <w:sz w:val="22"/>
                <w:szCs w:val="22"/>
              </w:rPr>
              <w:t xml:space="preserve"> 5---</w:t>
            </w:r>
          </w:p>
        </w:tc>
      </w:tr>
      <w:tr w:rsidR="00456C2C" w:rsidRPr="00436B6A" w:rsidTr="008A77FA">
        <w:tc>
          <w:tcPr>
            <w:tcW w:w="2268"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456C2C" w:rsidRPr="00436B6A" w:rsidRDefault="00456C2C" w:rsidP="000C0789">
            <w:pPr>
              <w:spacing w:before="90"/>
              <w:jc w:val="center"/>
              <w:rPr>
                <w:rFonts w:ascii="Times New Roman" w:hAnsi="Times New Roman"/>
                <w:sz w:val="22"/>
                <w:szCs w:val="22"/>
              </w:rPr>
            </w:pPr>
            <w:bookmarkStart w:id="38" w:name="_Hlk535141506"/>
            <w:r w:rsidRPr="00436B6A">
              <w:rPr>
                <w:rFonts w:ascii="Times New Roman" w:hAnsi="Times New Roman"/>
                <w:sz w:val="22"/>
                <w:szCs w:val="22"/>
              </w:rPr>
              <w:t xml:space="preserve">Government </w:t>
            </w:r>
            <w:proofErr w:type="spellStart"/>
            <w:r w:rsidRPr="00436B6A">
              <w:rPr>
                <w:rFonts w:ascii="Times New Roman" w:hAnsi="Times New Roman"/>
                <w:sz w:val="22"/>
                <w:szCs w:val="22"/>
              </w:rPr>
              <w:t>grant</w:t>
            </w:r>
            <w:proofErr w:type="spellEnd"/>
          </w:p>
        </w:tc>
        <w:tc>
          <w:tcPr>
            <w:tcW w:w="1276"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1,33</w:t>
            </w:r>
          </w:p>
        </w:tc>
        <w:tc>
          <w:tcPr>
            <w:tcW w:w="1276" w:type="dxa"/>
            <w:tcBorders>
              <w:top w:val="single" w:sz="12"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1,43</w:t>
            </w:r>
          </w:p>
        </w:tc>
        <w:tc>
          <w:tcPr>
            <w:tcW w:w="1134" w:type="dxa"/>
            <w:tcBorders>
              <w:top w:val="single" w:sz="12"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2,31</w:t>
            </w:r>
          </w:p>
        </w:tc>
        <w:tc>
          <w:tcPr>
            <w:tcW w:w="1276" w:type="dxa"/>
            <w:tcBorders>
              <w:top w:val="single" w:sz="12"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1,79</w:t>
            </w:r>
          </w:p>
        </w:tc>
        <w:tc>
          <w:tcPr>
            <w:tcW w:w="1559" w:type="dxa"/>
            <w:tcBorders>
              <w:top w:val="single" w:sz="12"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1,34</w:t>
            </w: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456C2C" w:rsidRPr="00436B6A" w:rsidRDefault="00456C2C" w:rsidP="000C0789">
            <w:pPr>
              <w:spacing w:before="90"/>
              <w:jc w:val="center"/>
              <w:rPr>
                <w:rFonts w:ascii="Times New Roman" w:hAnsi="Times New Roman"/>
                <w:sz w:val="22"/>
                <w:szCs w:val="22"/>
              </w:rPr>
            </w:pPr>
            <w:proofErr w:type="spellStart"/>
            <w:r w:rsidRPr="00436B6A">
              <w:rPr>
                <w:rFonts w:ascii="Times New Roman" w:hAnsi="Times New Roman"/>
                <w:sz w:val="22"/>
                <w:szCs w:val="22"/>
              </w:rPr>
              <w:lastRenderedPageBreak/>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dr</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range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3,31</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3,55</w:t>
            </w: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3,64</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1,80</w:t>
            </w: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1,01</w:t>
            </w: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456C2C" w:rsidRPr="00436B6A" w:rsidRDefault="00456C2C" w:rsidP="000C0789">
            <w:pPr>
              <w:spacing w:before="90"/>
              <w:jc w:val="center"/>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ch</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st</w:t>
            </w:r>
            <w:r w:rsidR="00DA3512" w:rsidRPr="00436B6A">
              <w:rPr>
                <w:rFonts w:ascii="Times New Roman" w:hAnsi="Times New Roman"/>
                <w:sz w:val="22"/>
                <w:szCs w:val="22"/>
              </w:rPr>
              <w:t>-</w:t>
            </w:r>
            <w:r w:rsidRPr="00436B6A">
              <w:rPr>
                <w:rFonts w:ascii="Times New Roman" w:hAnsi="Times New Roman"/>
                <w:sz w:val="22"/>
                <w:szCs w:val="22"/>
              </w:rPr>
              <w:t>ns</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1,38</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1,73</w:t>
            </w: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3,64</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1,85</w:t>
            </w: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1,51</w:t>
            </w: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456C2C" w:rsidRPr="00436B6A" w:rsidRDefault="00456C2C" w:rsidP="000C0789">
            <w:pPr>
              <w:spacing w:before="90"/>
              <w:jc w:val="center"/>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price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3,36</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4,51</w:t>
            </w: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4,61</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 xml:space="preserve">VAT </w:t>
            </w:r>
            <w:proofErr w:type="spellStart"/>
            <w:r w:rsidRPr="00436B6A">
              <w:rPr>
                <w:rFonts w:ascii="Times New Roman" w:hAnsi="Times New Roman"/>
                <w:sz w:val="22"/>
                <w:szCs w:val="22"/>
              </w:rPr>
              <w:t>Amount</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lang w:val="en-US"/>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2,67</w:t>
            </w: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2,88</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2,19</w:t>
            </w: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lang w:val="en-US"/>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456C2C" w:rsidRPr="00436B6A" w:rsidRDefault="00456C2C" w:rsidP="000C0789">
            <w:pPr>
              <w:spacing w:before="90"/>
              <w:jc w:val="center"/>
              <w:rPr>
                <w:rFonts w:ascii="Times New Roman" w:hAnsi="Times New Roman"/>
                <w:sz w:val="22"/>
                <w:szCs w:val="22"/>
              </w:rPr>
            </w:pPr>
            <w:proofErr w:type="spellStart"/>
            <w:r w:rsidRPr="00436B6A">
              <w:rPr>
                <w:rFonts w:ascii="Times New Roman" w:hAnsi="Times New Roman"/>
                <w:sz w:val="22"/>
                <w:szCs w:val="22"/>
              </w:rPr>
              <w:t>Reduction</w:t>
            </w:r>
            <w:proofErr w:type="spellEnd"/>
            <w:r w:rsidRPr="00436B6A">
              <w:rPr>
                <w:rFonts w:ascii="Times New Roman" w:hAnsi="Times New Roman"/>
                <w:sz w:val="22"/>
                <w:szCs w:val="22"/>
              </w:rPr>
              <w:t xml:space="preserve"> (annual </w:t>
            </w:r>
            <w:proofErr w:type="spellStart"/>
            <w:r w:rsidRPr="00436B6A">
              <w:rPr>
                <w:rFonts w:ascii="Times New Roman" w:hAnsi="Times New Roman"/>
                <w:sz w:val="22"/>
                <w:szCs w:val="22"/>
              </w:rPr>
              <w:t>tax</w:t>
            </w:r>
            <w:proofErr w:type="spellEnd"/>
            <w:r w:rsidRPr="00436B6A">
              <w:rPr>
                <w:rFonts w:ascii="Times New Roman" w:hAnsi="Times New Roman"/>
                <w:sz w:val="22"/>
                <w:szCs w:val="22"/>
              </w:rPr>
              <w:t>)</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1,67</w:t>
            </w: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1,81</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1,70</w:t>
            </w: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roofErr w:type="spellStart"/>
            <w:r w:rsidRPr="00436B6A">
              <w:rPr>
                <w:rFonts w:ascii="Times New Roman" w:hAnsi="Times New Roman"/>
                <w:sz w:val="22"/>
                <w:szCs w:val="22"/>
              </w:rPr>
              <w:t>Reduction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purchase</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tax</w:t>
            </w:r>
            <w:proofErr w:type="spellEnd"/>
            <w:r w:rsidRPr="00436B6A">
              <w:rPr>
                <w:rFonts w:ascii="Times New Roman" w:hAnsi="Times New Roman"/>
                <w:sz w:val="22"/>
                <w:szCs w:val="22"/>
              </w:rPr>
              <w:t>)</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1,64</w:t>
            </w: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2,03</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1,86</w:t>
            </w: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roofErr w:type="spellStart"/>
            <w:r w:rsidRPr="00436B6A">
              <w:rPr>
                <w:rFonts w:ascii="Times New Roman" w:hAnsi="Times New Roman"/>
                <w:sz w:val="22"/>
                <w:szCs w:val="22"/>
              </w:rPr>
              <w:t>Reduction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company</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car</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tax</w:t>
            </w:r>
            <w:proofErr w:type="spellEnd"/>
            <w:r w:rsidRPr="00436B6A">
              <w:rPr>
                <w:rFonts w:ascii="Times New Roman" w:hAnsi="Times New Roman"/>
                <w:sz w:val="22"/>
                <w:szCs w:val="22"/>
              </w:rPr>
              <w:t>)</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1,46</w:t>
            </w: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3,23</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2,00</w:t>
            </w: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 xml:space="preserve">Urban </w:t>
            </w:r>
            <w:proofErr w:type="spellStart"/>
            <w:r w:rsidRPr="00436B6A">
              <w:rPr>
                <w:rFonts w:ascii="Times New Roman" w:hAnsi="Times New Roman"/>
                <w:sz w:val="22"/>
                <w:szCs w:val="22"/>
              </w:rPr>
              <w:t>density</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5,99</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el-ty</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price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5,10</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 xml:space="preserve">BEV </w:t>
            </w:r>
            <w:proofErr w:type="spellStart"/>
            <w:r w:rsidRPr="00436B6A">
              <w:rPr>
                <w:rFonts w:ascii="Times New Roman" w:hAnsi="Times New Roman"/>
                <w:sz w:val="22"/>
                <w:szCs w:val="22"/>
              </w:rPr>
              <w:t>models</w:t>
            </w:r>
            <w:proofErr w:type="spellEnd"/>
            <w:r w:rsidRPr="00436B6A">
              <w:rPr>
                <w:rFonts w:ascii="Times New Roman" w:hAnsi="Times New Roman"/>
                <w:sz w:val="22"/>
                <w:szCs w:val="22"/>
              </w:rPr>
              <w:t xml:space="preserve"> </w:t>
            </w:r>
            <w:proofErr w:type="spellStart"/>
            <w:r w:rsidRPr="00436B6A">
              <w:rPr>
                <w:rFonts w:ascii="Times New Roman" w:hAnsi="Times New Roman"/>
                <w:sz w:val="22"/>
                <w:szCs w:val="22"/>
              </w:rPr>
              <w:t>available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3,70</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2,58</w:t>
            </w: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Interest score</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134"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r w:rsidRPr="00436B6A">
              <w:rPr>
                <w:rFonts w:ascii="Times New Roman" w:hAnsi="Times New Roman"/>
                <w:sz w:val="22"/>
                <w:szCs w:val="22"/>
              </w:rPr>
              <w:t>4,22</w:t>
            </w:r>
          </w:p>
        </w:tc>
        <w:tc>
          <w:tcPr>
            <w:tcW w:w="1276"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c>
          <w:tcPr>
            <w:tcW w:w="1559" w:type="dxa"/>
            <w:tcBorders>
              <w:top w:val="single" w:sz="4" w:space="0" w:color="auto"/>
              <w:bottom w:val="single" w:sz="4" w:space="0" w:color="auto"/>
            </w:tcBorders>
            <w:shd w:val="clear" w:color="auto" w:fill="FFFFFF"/>
          </w:tcPr>
          <w:p w:rsidR="00456C2C" w:rsidRPr="00436B6A" w:rsidRDefault="00456C2C" w:rsidP="000C0789">
            <w:pPr>
              <w:spacing w:before="90"/>
              <w:jc w:val="center"/>
              <w:rPr>
                <w:rFonts w:ascii="Times New Roman" w:hAnsi="Times New Roman"/>
                <w:sz w:val="22"/>
                <w:szCs w:val="22"/>
              </w:rPr>
            </w:pPr>
          </w:p>
        </w:tc>
      </w:tr>
      <w:tr w:rsidR="00456C2C" w:rsidRPr="00436B6A" w:rsidTr="008A77FA">
        <w:tc>
          <w:tcPr>
            <w:tcW w:w="2268" w:type="dxa"/>
            <w:tcBorders>
              <w:top w:val="single" w:sz="4" w:space="0" w:color="auto"/>
              <w:bottom w:val="single" w:sz="12" w:space="0" w:color="auto"/>
            </w:tcBorders>
            <w:shd w:val="clear" w:color="auto" w:fill="FFFFFF"/>
            <w:noWrap/>
            <w:tcMar>
              <w:top w:w="15" w:type="dxa"/>
              <w:left w:w="105" w:type="dxa"/>
              <w:bottom w:w="15" w:type="dxa"/>
              <w:right w:w="105" w:type="dxa"/>
            </w:tcMar>
          </w:tcPr>
          <w:p w:rsidR="00456C2C" w:rsidRPr="00436B6A" w:rsidRDefault="00F201CD" w:rsidP="000C0789">
            <w:pPr>
              <w:spacing w:before="90"/>
              <w:jc w:val="center"/>
              <w:rPr>
                <w:rFonts w:ascii="Times New Roman" w:hAnsi="Times New Roman"/>
                <w:sz w:val="22"/>
                <w:szCs w:val="22"/>
                <w:lang w:val="en-US"/>
              </w:rPr>
            </w:pPr>
            <w:r>
              <w:rPr>
                <w:rFonts w:ascii="Times New Roman" w:hAnsi="Times New Roman"/>
                <w:sz w:val="22"/>
                <w:szCs w:val="22"/>
                <w:lang w:val="en-US"/>
              </w:rPr>
              <w:t xml:space="preserve">HOV/Bus </w:t>
            </w:r>
            <w:r w:rsidR="00456C2C" w:rsidRPr="00436B6A">
              <w:rPr>
                <w:rFonts w:ascii="Times New Roman" w:hAnsi="Times New Roman"/>
                <w:sz w:val="22"/>
                <w:szCs w:val="22"/>
                <w:lang w:val="en-US"/>
              </w:rPr>
              <w:t>lane access</w:t>
            </w:r>
          </w:p>
        </w:tc>
        <w:tc>
          <w:tcPr>
            <w:tcW w:w="1276" w:type="dxa"/>
            <w:tcBorders>
              <w:top w:val="single" w:sz="4" w:space="0" w:color="auto"/>
              <w:bottom w:val="single" w:sz="12" w:space="0" w:color="auto"/>
            </w:tcBorders>
            <w:shd w:val="clear" w:color="auto" w:fill="FFFFFF"/>
            <w:noWrap/>
            <w:tcMar>
              <w:top w:w="15" w:type="dxa"/>
              <w:left w:w="105" w:type="dxa"/>
              <w:bottom w:w="15" w:type="dxa"/>
              <w:right w:w="105" w:type="dxa"/>
            </w:tcMar>
          </w:tcPr>
          <w:p w:rsidR="00456C2C" w:rsidRPr="00436B6A" w:rsidRDefault="00456C2C" w:rsidP="000C0789">
            <w:pPr>
              <w:spacing w:before="90"/>
              <w:jc w:val="center"/>
              <w:rPr>
                <w:rFonts w:ascii="Times New Roman" w:hAnsi="Times New Roman"/>
                <w:sz w:val="22"/>
                <w:szCs w:val="22"/>
                <w:lang w:val="en-US"/>
              </w:rPr>
            </w:pPr>
          </w:p>
        </w:tc>
        <w:tc>
          <w:tcPr>
            <w:tcW w:w="1276" w:type="dxa"/>
            <w:tcBorders>
              <w:top w:val="single" w:sz="4" w:space="0" w:color="auto"/>
              <w:bottom w:val="single" w:sz="12" w:space="0" w:color="auto"/>
            </w:tcBorders>
            <w:shd w:val="clear" w:color="auto" w:fill="FFFFFF"/>
          </w:tcPr>
          <w:p w:rsidR="00456C2C" w:rsidRPr="00436B6A" w:rsidRDefault="00456C2C" w:rsidP="000C0789">
            <w:pPr>
              <w:spacing w:before="90"/>
              <w:jc w:val="center"/>
              <w:rPr>
                <w:rFonts w:ascii="Times New Roman" w:hAnsi="Times New Roman"/>
                <w:sz w:val="22"/>
                <w:szCs w:val="22"/>
                <w:lang w:val="en-US"/>
              </w:rPr>
            </w:pPr>
            <w:r w:rsidRPr="00436B6A">
              <w:rPr>
                <w:rFonts w:ascii="Times New Roman" w:hAnsi="Times New Roman"/>
                <w:sz w:val="22"/>
                <w:szCs w:val="22"/>
              </w:rPr>
              <w:t>1,81</w:t>
            </w:r>
          </w:p>
        </w:tc>
        <w:tc>
          <w:tcPr>
            <w:tcW w:w="1134" w:type="dxa"/>
            <w:tcBorders>
              <w:top w:val="single" w:sz="4" w:space="0" w:color="auto"/>
              <w:bottom w:val="single" w:sz="12" w:space="0" w:color="auto"/>
            </w:tcBorders>
            <w:shd w:val="clear" w:color="auto" w:fill="FFFFFF"/>
          </w:tcPr>
          <w:p w:rsidR="00456C2C" w:rsidRPr="00436B6A" w:rsidRDefault="00456C2C" w:rsidP="000C0789">
            <w:pPr>
              <w:spacing w:before="90"/>
              <w:jc w:val="center"/>
              <w:rPr>
                <w:rFonts w:ascii="Times New Roman" w:hAnsi="Times New Roman"/>
                <w:sz w:val="22"/>
                <w:szCs w:val="22"/>
                <w:lang w:val="en-US"/>
              </w:rPr>
            </w:pPr>
            <w:r w:rsidRPr="00436B6A">
              <w:rPr>
                <w:rFonts w:ascii="Times New Roman" w:hAnsi="Times New Roman"/>
                <w:sz w:val="22"/>
                <w:szCs w:val="22"/>
              </w:rPr>
              <w:t>4,06</w:t>
            </w:r>
          </w:p>
        </w:tc>
        <w:tc>
          <w:tcPr>
            <w:tcW w:w="1276" w:type="dxa"/>
            <w:tcBorders>
              <w:top w:val="single" w:sz="4" w:space="0" w:color="auto"/>
              <w:bottom w:val="single" w:sz="12" w:space="0" w:color="auto"/>
            </w:tcBorders>
            <w:shd w:val="clear" w:color="auto" w:fill="FFFFFF"/>
          </w:tcPr>
          <w:p w:rsidR="00456C2C" w:rsidRPr="00436B6A" w:rsidRDefault="00456C2C" w:rsidP="000C0789">
            <w:pPr>
              <w:spacing w:before="90"/>
              <w:jc w:val="center"/>
              <w:rPr>
                <w:rFonts w:ascii="Times New Roman" w:hAnsi="Times New Roman"/>
                <w:sz w:val="22"/>
                <w:szCs w:val="22"/>
                <w:lang w:val="en-US"/>
              </w:rPr>
            </w:pPr>
            <w:r w:rsidRPr="00436B6A">
              <w:rPr>
                <w:rFonts w:ascii="Times New Roman" w:hAnsi="Times New Roman"/>
                <w:sz w:val="22"/>
                <w:szCs w:val="22"/>
              </w:rPr>
              <w:t>1,81</w:t>
            </w:r>
          </w:p>
        </w:tc>
        <w:tc>
          <w:tcPr>
            <w:tcW w:w="1559" w:type="dxa"/>
            <w:tcBorders>
              <w:top w:val="single" w:sz="4" w:space="0" w:color="auto"/>
              <w:bottom w:val="single" w:sz="12" w:space="0" w:color="auto"/>
            </w:tcBorders>
            <w:shd w:val="clear" w:color="auto" w:fill="FFFFFF"/>
          </w:tcPr>
          <w:p w:rsidR="00456C2C" w:rsidRPr="00436B6A" w:rsidRDefault="00456C2C" w:rsidP="000C0789">
            <w:pPr>
              <w:spacing w:before="90"/>
              <w:jc w:val="center"/>
              <w:rPr>
                <w:rFonts w:ascii="Times New Roman" w:hAnsi="Times New Roman"/>
                <w:sz w:val="22"/>
                <w:szCs w:val="22"/>
                <w:lang w:val="en-US"/>
              </w:rPr>
            </w:pPr>
            <w:r w:rsidRPr="00436B6A">
              <w:rPr>
                <w:rFonts w:ascii="Times New Roman" w:hAnsi="Times New Roman"/>
                <w:sz w:val="22"/>
                <w:szCs w:val="22"/>
              </w:rPr>
              <w:t>1,26</w:t>
            </w:r>
          </w:p>
        </w:tc>
      </w:tr>
      <w:bookmarkEnd w:id="38"/>
    </w:tbl>
    <w:p w:rsidR="00436B6A" w:rsidRDefault="00436B6A" w:rsidP="007C48AE">
      <w:pPr>
        <w:shd w:val="clear" w:color="auto" w:fill="FFFFFF"/>
        <w:spacing w:after="75"/>
        <w:rPr>
          <w:rFonts w:ascii="Segoe UI Semibold" w:hAnsi="Segoe UI Semibold" w:cs="Segoe UI Semibold"/>
          <w:color w:val="004D72"/>
          <w:sz w:val="26"/>
          <w:szCs w:val="26"/>
          <w:lang w:val="en-US"/>
        </w:rPr>
      </w:pPr>
    </w:p>
    <w:p w:rsidR="007C48AE" w:rsidRPr="00146A00" w:rsidRDefault="007C48AE" w:rsidP="007C48AE">
      <w:pPr>
        <w:shd w:val="clear" w:color="auto" w:fill="FFFFFF"/>
        <w:spacing w:after="75"/>
        <w:rPr>
          <w:rFonts w:ascii="Times New Roman" w:hAnsi="Times New Roman"/>
          <w:b/>
          <w:sz w:val="22"/>
          <w:szCs w:val="22"/>
        </w:rPr>
      </w:pPr>
      <w:r w:rsidRPr="00146A00">
        <w:rPr>
          <w:rFonts w:ascii="Times New Roman" w:hAnsi="Times New Roman"/>
          <w:b/>
          <w:sz w:val="22"/>
          <w:szCs w:val="22"/>
        </w:rPr>
        <w:t xml:space="preserve">Final Regression </w:t>
      </w:r>
      <w:proofErr w:type="spellStart"/>
      <w:r w:rsidRPr="00146A00">
        <w:rPr>
          <w:rFonts w:ascii="Times New Roman" w:hAnsi="Times New Roman"/>
          <w:b/>
          <w:sz w:val="22"/>
          <w:szCs w:val="22"/>
        </w:rPr>
        <w:t>Equation</w:t>
      </w:r>
      <w:proofErr w:type="spellEnd"/>
    </w:p>
    <w:tbl>
      <w:tblPr>
        <w:tblW w:w="8505" w:type="dxa"/>
        <w:tblCellMar>
          <w:top w:w="15" w:type="dxa"/>
          <w:left w:w="15" w:type="dxa"/>
          <w:bottom w:w="15" w:type="dxa"/>
          <w:right w:w="15" w:type="dxa"/>
        </w:tblCellMar>
        <w:tblLook w:val="04A0" w:firstRow="1" w:lastRow="0" w:firstColumn="1" w:lastColumn="0" w:noHBand="0" w:noVBand="1"/>
      </w:tblPr>
      <w:tblGrid>
        <w:gridCol w:w="1387"/>
        <w:gridCol w:w="972"/>
        <w:gridCol w:w="419"/>
        <w:gridCol w:w="6009"/>
      </w:tblGrid>
      <w:tr w:rsidR="007C48AE" w:rsidRPr="00436B6A" w:rsidTr="008A77FA">
        <w:tc>
          <w:tcPr>
            <w:tcW w:w="1418"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7C48AE" w:rsidRPr="00436B6A" w:rsidRDefault="00F201CD" w:rsidP="00B4001A">
            <w:pPr>
              <w:spacing w:before="90"/>
              <w:rPr>
                <w:rFonts w:ascii="Times New Roman" w:hAnsi="Times New Roman"/>
                <w:sz w:val="22"/>
                <w:szCs w:val="22"/>
                <w:lang w:val="en-US"/>
              </w:rPr>
            </w:pPr>
            <w:r>
              <w:rPr>
                <w:rFonts w:ascii="Times New Roman" w:hAnsi="Times New Roman"/>
                <w:sz w:val="22"/>
                <w:szCs w:val="22"/>
                <w:lang w:val="en-US"/>
              </w:rPr>
              <w:t xml:space="preserve">HOV/Bus </w:t>
            </w:r>
            <w:r w:rsidR="007C48AE" w:rsidRPr="00436B6A">
              <w:rPr>
                <w:rFonts w:ascii="Times New Roman" w:hAnsi="Times New Roman"/>
                <w:sz w:val="22"/>
                <w:szCs w:val="22"/>
                <w:lang w:val="en-US"/>
              </w:rPr>
              <w:t>lane</w:t>
            </w:r>
            <w:r w:rsidR="00451DEE" w:rsidRPr="00436B6A">
              <w:rPr>
                <w:rFonts w:ascii="Times New Roman" w:hAnsi="Times New Roman"/>
                <w:sz w:val="22"/>
                <w:szCs w:val="22"/>
                <w:lang w:val="en-US"/>
              </w:rPr>
              <w:t xml:space="preserve"> </w:t>
            </w:r>
            <w:r w:rsidR="007C48AE" w:rsidRPr="00436B6A">
              <w:rPr>
                <w:rFonts w:ascii="Times New Roman" w:hAnsi="Times New Roman"/>
                <w:sz w:val="22"/>
                <w:szCs w:val="22"/>
                <w:lang w:val="en-US"/>
              </w:rPr>
              <w:t>access</w:t>
            </w:r>
          </w:p>
        </w:tc>
        <w:tc>
          <w:tcPr>
            <w:tcW w:w="992"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7C48AE" w:rsidRPr="00436B6A" w:rsidRDefault="007C48AE" w:rsidP="00B4001A">
            <w:pPr>
              <w:spacing w:before="90"/>
              <w:rPr>
                <w:rFonts w:ascii="Times New Roman" w:hAnsi="Times New Roman"/>
                <w:sz w:val="22"/>
                <w:szCs w:val="22"/>
                <w:lang w:val="en-US"/>
              </w:rPr>
            </w:pPr>
          </w:p>
        </w:tc>
        <w:tc>
          <w:tcPr>
            <w:tcW w:w="425"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7C48AE" w:rsidRPr="00436B6A" w:rsidRDefault="007C48AE" w:rsidP="00B4001A">
            <w:pPr>
              <w:spacing w:before="90"/>
              <w:rPr>
                <w:rFonts w:ascii="Times New Roman" w:hAnsi="Times New Roman"/>
                <w:sz w:val="22"/>
                <w:szCs w:val="22"/>
                <w:lang w:val="en-US"/>
              </w:rPr>
            </w:pPr>
          </w:p>
        </w:tc>
        <w:tc>
          <w:tcPr>
            <w:tcW w:w="5670"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7C48AE" w:rsidRPr="00436B6A" w:rsidRDefault="007C48AE" w:rsidP="00B4001A">
            <w:pPr>
              <w:spacing w:before="90"/>
              <w:rPr>
                <w:rFonts w:ascii="Times New Roman" w:hAnsi="Times New Roman"/>
                <w:sz w:val="22"/>
                <w:szCs w:val="22"/>
                <w:lang w:val="en-US"/>
              </w:rPr>
            </w:pPr>
          </w:p>
        </w:tc>
      </w:tr>
      <w:tr w:rsidR="007C48AE" w:rsidRPr="003163AE" w:rsidTr="008A77FA">
        <w:tc>
          <w:tcPr>
            <w:tcW w:w="1418" w:type="dxa"/>
            <w:tcBorders>
              <w:top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rPr>
            </w:pPr>
            <w:r w:rsidRPr="00436B6A">
              <w:rPr>
                <w:rFonts w:ascii="Times New Roman" w:hAnsi="Times New Roman"/>
                <w:sz w:val="22"/>
                <w:szCs w:val="22"/>
              </w:rPr>
              <w:t>0</w:t>
            </w:r>
          </w:p>
        </w:tc>
        <w:tc>
          <w:tcPr>
            <w:tcW w:w="992" w:type="dxa"/>
            <w:tcBorders>
              <w:top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BEV reg-</w:t>
            </w:r>
            <w:proofErr w:type="spellStart"/>
            <w:r w:rsidRPr="00436B6A">
              <w:rPr>
                <w:rFonts w:ascii="Times New Roman" w:hAnsi="Times New Roman"/>
                <w:sz w:val="22"/>
                <w:szCs w:val="22"/>
              </w:rPr>
              <w:t>ns</w:t>
            </w:r>
            <w:proofErr w:type="spellEnd"/>
          </w:p>
        </w:tc>
        <w:tc>
          <w:tcPr>
            <w:tcW w:w="425" w:type="dxa"/>
            <w:tcBorders>
              <w:top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rPr>
            </w:pPr>
            <w:r w:rsidRPr="00436B6A">
              <w:rPr>
                <w:rFonts w:ascii="Times New Roman" w:hAnsi="Times New Roman"/>
                <w:sz w:val="22"/>
                <w:szCs w:val="22"/>
              </w:rPr>
              <w:t>=</w:t>
            </w:r>
          </w:p>
        </w:tc>
        <w:tc>
          <w:tcPr>
            <w:tcW w:w="5670" w:type="dxa"/>
            <w:tcBorders>
              <w:top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lang w:val="en-US"/>
              </w:rPr>
            </w:pPr>
            <w:r w:rsidRPr="00436B6A">
              <w:rPr>
                <w:rFonts w:ascii="Times New Roman" w:hAnsi="Times New Roman"/>
                <w:sz w:val="22"/>
                <w:szCs w:val="22"/>
                <w:lang w:val="en-US"/>
              </w:rPr>
              <w:t>-5,13 + 0,000074 Government grant + 1,013 ln dr range+ 0,5631 ln ch st</w:t>
            </w:r>
            <w:r w:rsidR="00DA3512" w:rsidRPr="00436B6A">
              <w:rPr>
                <w:rFonts w:ascii="Times New Roman" w:hAnsi="Times New Roman"/>
                <w:sz w:val="22"/>
                <w:szCs w:val="22"/>
                <w:lang w:val="en-US"/>
              </w:rPr>
              <w:t>-</w:t>
            </w:r>
            <w:r w:rsidRPr="00436B6A">
              <w:rPr>
                <w:rFonts w:ascii="Times New Roman" w:hAnsi="Times New Roman"/>
                <w:sz w:val="22"/>
                <w:szCs w:val="22"/>
                <w:lang w:val="en-US"/>
              </w:rPr>
              <w:t>ns</w:t>
            </w:r>
          </w:p>
        </w:tc>
      </w:tr>
      <w:tr w:rsidR="007C48AE" w:rsidRPr="003163AE" w:rsidTr="008A77FA">
        <w:tc>
          <w:tcPr>
            <w:tcW w:w="1418" w:type="dxa"/>
            <w:tcBorders>
              <w:bottom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rPr>
            </w:pPr>
            <w:r w:rsidRPr="00436B6A">
              <w:rPr>
                <w:rFonts w:ascii="Times New Roman" w:hAnsi="Times New Roman"/>
                <w:sz w:val="22"/>
                <w:szCs w:val="22"/>
              </w:rPr>
              <w:t>1</w:t>
            </w:r>
          </w:p>
        </w:tc>
        <w:tc>
          <w:tcPr>
            <w:tcW w:w="992" w:type="dxa"/>
            <w:tcBorders>
              <w:bottom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rPr>
            </w:pPr>
            <w:proofErr w:type="spellStart"/>
            <w:r w:rsidRPr="00436B6A">
              <w:rPr>
                <w:rFonts w:ascii="Times New Roman" w:hAnsi="Times New Roman"/>
                <w:sz w:val="22"/>
                <w:szCs w:val="22"/>
              </w:rPr>
              <w:t>ln</w:t>
            </w:r>
            <w:proofErr w:type="spellEnd"/>
            <w:r w:rsidRPr="00436B6A">
              <w:rPr>
                <w:rFonts w:ascii="Times New Roman" w:hAnsi="Times New Roman"/>
                <w:sz w:val="22"/>
                <w:szCs w:val="22"/>
              </w:rPr>
              <w:t xml:space="preserve"> BEV reg-</w:t>
            </w:r>
            <w:proofErr w:type="spellStart"/>
            <w:r w:rsidRPr="00436B6A">
              <w:rPr>
                <w:rFonts w:ascii="Times New Roman" w:hAnsi="Times New Roman"/>
                <w:sz w:val="22"/>
                <w:szCs w:val="22"/>
              </w:rPr>
              <w:t>ns</w:t>
            </w:r>
            <w:proofErr w:type="spellEnd"/>
          </w:p>
        </w:tc>
        <w:tc>
          <w:tcPr>
            <w:tcW w:w="425" w:type="dxa"/>
            <w:tcBorders>
              <w:bottom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rPr>
            </w:pPr>
            <w:r w:rsidRPr="00436B6A">
              <w:rPr>
                <w:rFonts w:ascii="Times New Roman" w:hAnsi="Times New Roman"/>
                <w:sz w:val="22"/>
                <w:szCs w:val="22"/>
              </w:rPr>
              <w:t>=</w:t>
            </w:r>
          </w:p>
        </w:tc>
        <w:tc>
          <w:tcPr>
            <w:tcW w:w="5670" w:type="dxa"/>
            <w:tcBorders>
              <w:bottom w:val="single" w:sz="12" w:space="0" w:color="auto"/>
            </w:tcBorders>
            <w:shd w:val="clear" w:color="auto" w:fill="FFFFFF"/>
            <w:noWrap/>
            <w:tcMar>
              <w:top w:w="15" w:type="dxa"/>
              <w:left w:w="105" w:type="dxa"/>
              <w:bottom w:w="15" w:type="dxa"/>
              <w:right w:w="105" w:type="dxa"/>
            </w:tcMar>
            <w:hideMark/>
          </w:tcPr>
          <w:p w:rsidR="007C48AE" w:rsidRPr="00436B6A" w:rsidRDefault="007C48AE" w:rsidP="00B4001A">
            <w:pPr>
              <w:spacing w:before="90"/>
              <w:rPr>
                <w:rFonts w:ascii="Times New Roman" w:hAnsi="Times New Roman"/>
                <w:sz w:val="22"/>
                <w:szCs w:val="22"/>
                <w:lang w:val="en-US"/>
              </w:rPr>
            </w:pPr>
            <w:r w:rsidRPr="00436B6A">
              <w:rPr>
                <w:rFonts w:ascii="Times New Roman" w:hAnsi="Times New Roman"/>
                <w:sz w:val="22"/>
                <w:szCs w:val="22"/>
                <w:lang w:val="en-US"/>
              </w:rPr>
              <w:t>-3,81 + 0,000074 Government grant + 1,013 ln </w:t>
            </w:r>
            <w:proofErr w:type="spellStart"/>
            <w:r w:rsidRPr="00436B6A">
              <w:rPr>
                <w:rFonts w:ascii="Times New Roman" w:hAnsi="Times New Roman"/>
                <w:sz w:val="22"/>
                <w:szCs w:val="22"/>
                <w:lang w:val="en-US"/>
              </w:rPr>
              <w:t>dr</w:t>
            </w:r>
            <w:proofErr w:type="spellEnd"/>
            <w:r w:rsidRPr="00436B6A">
              <w:rPr>
                <w:rFonts w:ascii="Times New Roman" w:hAnsi="Times New Roman"/>
                <w:sz w:val="22"/>
                <w:szCs w:val="22"/>
                <w:lang w:val="en-US"/>
              </w:rPr>
              <w:t> range+ 0,5631 ln </w:t>
            </w:r>
            <w:proofErr w:type="spellStart"/>
            <w:r w:rsidRPr="00436B6A">
              <w:rPr>
                <w:rFonts w:ascii="Times New Roman" w:hAnsi="Times New Roman"/>
                <w:sz w:val="22"/>
                <w:szCs w:val="22"/>
                <w:lang w:val="en-US"/>
              </w:rPr>
              <w:t>ch</w:t>
            </w:r>
            <w:proofErr w:type="spellEnd"/>
            <w:r w:rsidRPr="00436B6A">
              <w:rPr>
                <w:rFonts w:ascii="Times New Roman" w:hAnsi="Times New Roman"/>
                <w:sz w:val="22"/>
                <w:szCs w:val="22"/>
                <w:lang w:val="en-US"/>
              </w:rPr>
              <w:t> </w:t>
            </w:r>
            <w:proofErr w:type="spellStart"/>
            <w:r w:rsidRPr="00436B6A">
              <w:rPr>
                <w:rFonts w:ascii="Times New Roman" w:hAnsi="Times New Roman"/>
                <w:sz w:val="22"/>
                <w:szCs w:val="22"/>
                <w:lang w:val="en-US"/>
              </w:rPr>
              <w:t>st</w:t>
            </w:r>
            <w:proofErr w:type="spellEnd"/>
            <w:r w:rsidR="00DA3512" w:rsidRPr="00436B6A">
              <w:rPr>
                <w:rFonts w:ascii="Times New Roman" w:hAnsi="Times New Roman"/>
                <w:sz w:val="22"/>
                <w:szCs w:val="22"/>
                <w:lang w:val="en-US"/>
              </w:rPr>
              <w:t>-</w:t>
            </w:r>
            <w:r w:rsidRPr="00436B6A">
              <w:rPr>
                <w:rFonts w:ascii="Times New Roman" w:hAnsi="Times New Roman"/>
                <w:sz w:val="22"/>
                <w:szCs w:val="22"/>
                <w:lang w:val="en-US"/>
              </w:rPr>
              <w:t>ns</w:t>
            </w:r>
          </w:p>
        </w:tc>
      </w:tr>
    </w:tbl>
    <w:p w:rsidR="00F74A7A" w:rsidRDefault="00DB496A" w:rsidP="00CE182C">
      <w:pPr>
        <w:spacing w:line="360" w:lineRule="auto"/>
        <w:jc w:val="both"/>
        <w:rPr>
          <w:rFonts w:ascii="Times New Roman" w:hAnsi="Times New Roman"/>
          <w:b/>
          <w:lang w:val="en-US"/>
        </w:rPr>
      </w:pPr>
      <w:r>
        <w:rPr>
          <w:rFonts w:ascii="Times New Roman" w:hAnsi="Times New Roman"/>
          <w:b/>
          <w:lang w:val="en-US"/>
        </w:rPr>
        <w:t xml:space="preserve">Table </w:t>
      </w:r>
      <w:r w:rsidR="00E42DF0">
        <w:rPr>
          <w:rFonts w:ascii="Times New Roman" w:hAnsi="Times New Roman"/>
          <w:b/>
          <w:lang w:val="en-US"/>
        </w:rPr>
        <w:t>8</w:t>
      </w:r>
      <w:r>
        <w:rPr>
          <w:rFonts w:ascii="Times New Roman" w:hAnsi="Times New Roman"/>
          <w:b/>
          <w:lang w:val="en-US"/>
        </w:rPr>
        <w:t>. Regression outputs</w:t>
      </w:r>
      <w:r w:rsidR="00A80EF6">
        <w:rPr>
          <w:rFonts w:ascii="Times New Roman" w:hAnsi="Times New Roman"/>
          <w:b/>
          <w:lang w:val="en-US"/>
        </w:rPr>
        <w:t xml:space="preserve"> with charging </w:t>
      </w:r>
      <w:r w:rsidR="00265E90">
        <w:rPr>
          <w:rFonts w:ascii="Times New Roman" w:hAnsi="Times New Roman"/>
          <w:b/>
          <w:lang w:val="en-US"/>
        </w:rPr>
        <w:t>infrastructure</w:t>
      </w:r>
      <w:r>
        <w:rPr>
          <w:rFonts w:ascii="Times New Roman" w:hAnsi="Times New Roman"/>
          <w:b/>
          <w:lang w:val="en-US"/>
        </w:rPr>
        <w:t xml:space="preserve"> </w:t>
      </w:r>
    </w:p>
    <w:p w:rsidR="00A80EF6" w:rsidRDefault="003F2F1B" w:rsidP="00146A00">
      <w:pPr>
        <w:spacing w:line="360" w:lineRule="auto"/>
        <w:jc w:val="both"/>
        <w:rPr>
          <w:rFonts w:ascii="Times New Roman" w:hAnsi="Times New Roman"/>
          <w:b/>
          <w:lang w:val="en-US"/>
        </w:rPr>
      </w:pPr>
      <w:r w:rsidRPr="00835485">
        <w:rPr>
          <w:noProof/>
        </w:rPr>
        <w:lastRenderedPageBreak/>
        <w:drawing>
          <wp:anchor distT="0" distB="0" distL="114300" distR="114300" simplePos="0" relativeHeight="251677696" behindDoc="0" locked="0" layoutInCell="1" allowOverlap="1" wp14:anchorId="53B36ACA">
            <wp:simplePos x="0" y="0"/>
            <wp:positionH relativeFrom="column">
              <wp:posOffset>-3810</wp:posOffset>
            </wp:positionH>
            <wp:positionV relativeFrom="paragraph">
              <wp:posOffset>-4445</wp:posOffset>
            </wp:positionV>
            <wp:extent cx="5486400" cy="3657600"/>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sidR="00265E90">
        <w:rPr>
          <w:rFonts w:ascii="Times New Roman" w:hAnsi="Times New Roman"/>
          <w:b/>
          <w:lang w:val="en-US"/>
        </w:rPr>
        <w:t xml:space="preserve">Graph </w:t>
      </w:r>
      <w:r w:rsidR="00F201CD">
        <w:rPr>
          <w:rFonts w:ascii="Times New Roman" w:hAnsi="Times New Roman"/>
          <w:b/>
          <w:lang w:val="en-US"/>
        </w:rPr>
        <w:t>2</w:t>
      </w:r>
      <w:r w:rsidR="00265E90">
        <w:rPr>
          <w:rFonts w:ascii="Times New Roman" w:hAnsi="Times New Roman"/>
          <w:b/>
          <w:lang w:val="en-US"/>
        </w:rPr>
        <w:t xml:space="preserve">.1. </w:t>
      </w:r>
      <w:r w:rsidR="00DB496A">
        <w:rPr>
          <w:rFonts w:ascii="Times New Roman" w:hAnsi="Times New Roman"/>
          <w:b/>
          <w:lang w:val="en-US"/>
        </w:rPr>
        <w:t>Residual plots for model specification with charging infrastructure (Step 5)</w:t>
      </w:r>
    </w:p>
    <w:p w:rsidR="007C48AE" w:rsidRDefault="007C48AE" w:rsidP="00146A00">
      <w:pPr>
        <w:spacing w:line="360" w:lineRule="auto"/>
        <w:jc w:val="center"/>
        <w:rPr>
          <w:rFonts w:ascii="Times New Roman" w:hAnsi="Times New Roman"/>
          <w:b/>
          <w:lang w:val="en-US"/>
        </w:rPr>
      </w:pPr>
      <w:r w:rsidRPr="00D51C57">
        <w:rPr>
          <w:noProof/>
          <w:lang w:val="en-US"/>
        </w:rPr>
        <w:drawing>
          <wp:anchor distT="0" distB="0" distL="114300" distR="114300" simplePos="0" relativeHeight="251678720" behindDoc="0" locked="0" layoutInCell="1" allowOverlap="1" wp14:anchorId="6579A2B3">
            <wp:simplePos x="0" y="0"/>
            <wp:positionH relativeFrom="page">
              <wp:align>center</wp:align>
            </wp:positionH>
            <wp:positionV relativeFrom="paragraph">
              <wp:posOffset>33020</wp:posOffset>
            </wp:positionV>
            <wp:extent cx="4222750" cy="2814955"/>
            <wp:effectExtent l="0" t="0" r="6350" b="444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2750" cy="2814955"/>
                    </a:xfrm>
                    <a:prstGeom prst="rect">
                      <a:avLst/>
                    </a:prstGeom>
                    <a:noFill/>
                    <a:ln>
                      <a:noFill/>
                    </a:ln>
                  </pic:spPr>
                </pic:pic>
              </a:graphicData>
            </a:graphic>
          </wp:anchor>
        </w:drawing>
      </w:r>
      <w:r>
        <w:rPr>
          <w:rFonts w:ascii="Times New Roman" w:hAnsi="Times New Roman"/>
          <w:b/>
          <w:lang w:val="en-US"/>
        </w:rPr>
        <w:t xml:space="preserve">Graph </w:t>
      </w:r>
      <w:r w:rsidR="00F201CD">
        <w:rPr>
          <w:rFonts w:ascii="Times New Roman" w:hAnsi="Times New Roman"/>
          <w:b/>
          <w:lang w:val="en-US"/>
        </w:rPr>
        <w:t>2</w:t>
      </w:r>
      <w:r>
        <w:rPr>
          <w:rFonts w:ascii="Times New Roman" w:hAnsi="Times New Roman"/>
          <w:b/>
          <w:lang w:val="en-US"/>
        </w:rPr>
        <w:t>.2. Anderson-Darling test of residuals for model specification with charging infrastructure</w:t>
      </w:r>
    </w:p>
    <w:p w:rsidR="00146A00" w:rsidRDefault="00146A00" w:rsidP="00146A00">
      <w:pPr>
        <w:spacing w:line="360" w:lineRule="auto"/>
        <w:rPr>
          <w:rFonts w:ascii="Times New Roman" w:hAnsi="Times New Roman"/>
          <w:b/>
          <w:lang w:val="en-US"/>
        </w:r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414"/>
        <w:gridCol w:w="419"/>
        <w:gridCol w:w="2695"/>
        <w:gridCol w:w="1694"/>
      </w:tblGrid>
      <w:tr w:rsidR="00A96B87" w:rsidTr="00146A00">
        <w:trPr>
          <w:trHeight w:val="604"/>
        </w:trPr>
        <w:tc>
          <w:tcPr>
            <w:tcW w:w="1555" w:type="dxa"/>
            <w:tcBorders>
              <w:top w:val="single" w:sz="12" w:space="0" w:color="auto"/>
              <w:bottom w:val="single" w:sz="12" w:space="0" w:color="auto"/>
            </w:tcBorders>
          </w:tcPr>
          <w:p w:rsidR="00A96B87" w:rsidRPr="00146A00" w:rsidRDefault="00A96B87" w:rsidP="00CA4971">
            <w:pPr>
              <w:spacing w:after="120"/>
              <w:jc w:val="both"/>
              <w:rPr>
                <w:rFonts w:ascii="Times New Roman" w:hAnsi="Times New Roman"/>
                <w:b/>
                <w:sz w:val="22"/>
                <w:szCs w:val="22"/>
                <w:lang w:val="en-US"/>
              </w:rPr>
            </w:pPr>
            <w:r w:rsidRPr="00146A00">
              <w:rPr>
                <w:rFonts w:ascii="Times New Roman" w:hAnsi="Times New Roman"/>
                <w:b/>
                <w:sz w:val="22"/>
                <w:szCs w:val="22"/>
                <w:lang w:val="en-US"/>
              </w:rPr>
              <w:t>Significant variable</w:t>
            </w:r>
          </w:p>
        </w:tc>
        <w:tc>
          <w:tcPr>
            <w:tcW w:w="2414" w:type="dxa"/>
            <w:tcBorders>
              <w:top w:val="single" w:sz="12" w:space="0" w:color="auto"/>
              <w:bottom w:val="single" w:sz="12" w:space="0" w:color="auto"/>
            </w:tcBorders>
          </w:tcPr>
          <w:p w:rsidR="00146A00" w:rsidRDefault="00A96B87" w:rsidP="00466106">
            <w:pPr>
              <w:jc w:val="center"/>
              <w:rPr>
                <w:rFonts w:ascii="Times New Roman" w:hAnsi="Times New Roman"/>
                <w:b/>
                <w:sz w:val="22"/>
                <w:szCs w:val="22"/>
                <w:lang w:val="en-US"/>
              </w:rPr>
            </w:pPr>
            <w:r w:rsidRPr="00146A00">
              <w:rPr>
                <w:rFonts w:ascii="Times New Roman" w:hAnsi="Times New Roman"/>
                <w:b/>
                <w:sz w:val="22"/>
                <w:szCs w:val="22"/>
                <w:lang w:val="en-US"/>
              </w:rPr>
              <w:t>Adj. R-squared</w:t>
            </w:r>
          </w:p>
          <w:p w:rsidR="00A96B87" w:rsidRPr="00146A00" w:rsidRDefault="00A96B87" w:rsidP="00466106">
            <w:pPr>
              <w:jc w:val="center"/>
              <w:rPr>
                <w:rFonts w:ascii="Times New Roman" w:hAnsi="Times New Roman"/>
                <w:b/>
                <w:sz w:val="22"/>
                <w:szCs w:val="22"/>
                <w:lang w:val="en-US"/>
              </w:rPr>
            </w:pPr>
            <w:r w:rsidRPr="00146A00">
              <w:rPr>
                <w:rFonts w:ascii="Times New Roman" w:hAnsi="Times New Roman"/>
                <w:b/>
                <w:sz w:val="22"/>
                <w:szCs w:val="22"/>
                <w:lang w:val="en-US"/>
              </w:rPr>
              <w:t>before deletion</w:t>
            </w:r>
          </w:p>
        </w:tc>
        <w:tc>
          <w:tcPr>
            <w:tcW w:w="3114" w:type="dxa"/>
            <w:gridSpan w:val="2"/>
            <w:tcBorders>
              <w:top w:val="single" w:sz="12" w:space="0" w:color="auto"/>
              <w:bottom w:val="single" w:sz="12" w:space="0" w:color="auto"/>
            </w:tcBorders>
          </w:tcPr>
          <w:p w:rsidR="00146A00" w:rsidRDefault="00A96B87" w:rsidP="00466106">
            <w:pPr>
              <w:jc w:val="center"/>
              <w:rPr>
                <w:rFonts w:ascii="Times New Roman" w:hAnsi="Times New Roman"/>
                <w:b/>
                <w:sz w:val="22"/>
                <w:szCs w:val="22"/>
                <w:lang w:val="en-US"/>
              </w:rPr>
            </w:pPr>
            <w:r w:rsidRPr="00146A00">
              <w:rPr>
                <w:rFonts w:ascii="Times New Roman" w:hAnsi="Times New Roman"/>
                <w:b/>
                <w:sz w:val="22"/>
                <w:szCs w:val="22"/>
                <w:lang w:val="en-US"/>
              </w:rPr>
              <w:t>Adj. R-squared</w:t>
            </w:r>
          </w:p>
          <w:p w:rsidR="00A96B87" w:rsidRPr="00146A00" w:rsidRDefault="00A96B87" w:rsidP="00466106">
            <w:pPr>
              <w:jc w:val="center"/>
              <w:rPr>
                <w:rFonts w:ascii="Times New Roman" w:hAnsi="Times New Roman"/>
                <w:b/>
                <w:sz w:val="22"/>
                <w:szCs w:val="22"/>
                <w:lang w:val="en-US"/>
              </w:rPr>
            </w:pPr>
            <w:r w:rsidRPr="00146A00">
              <w:rPr>
                <w:rFonts w:ascii="Times New Roman" w:hAnsi="Times New Roman"/>
                <w:b/>
                <w:sz w:val="22"/>
                <w:szCs w:val="22"/>
                <w:lang w:val="en-US"/>
              </w:rPr>
              <w:t>after deletion</w:t>
            </w:r>
          </w:p>
        </w:tc>
        <w:tc>
          <w:tcPr>
            <w:tcW w:w="1694" w:type="dxa"/>
            <w:tcBorders>
              <w:top w:val="single" w:sz="12" w:space="0" w:color="auto"/>
              <w:bottom w:val="single" w:sz="12" w:space="0" w:color="auto"/>
            </w:tcBorders>
          </w:tcPr>
          <w:p w:rsidR="00A96B87" w:rsidRPr="00146A00" w:rsidRDefault="00A96B87" w:rsidP="00466106">
            <w:pPr>
              <w:jc w:val="center"/>
              <w:rPr>
                <w:rFonts w:ascii="Times New Roman" w:hAnsi="Times New Roman"/>
                <w:b/>
                <w:sz w:val="22"/>
                <w:szCs w:val="22"/>
                <w:lang w:val="en-US"/>
              </w:rPr>
            </w:pPr>
            <w:r w:rsidRPr="00146A00">
              <w:rPr>
                <w:rFonts w:ascii="Times New Roman" w:hAnsi="Times New Roman"/>
                <w:b/>
                <w:sz w:val="22"/>
                <w:szCs w:val="22"/>
                <w:lang w:val="en-US"/>
              </w:rPr>
              <w:t>Adj. R-squared drop</w:t>
            </w:r>
          </w:p>
        </w:tc>
      </w:tr>
      <w:tr w:rsidR="00A96B87" w:rsidTr="00146A00">
        <w:tc>
          <w:tcPr>
            <w:tcW w:w="1555" w:type="dxa"/>
            <w:tcBorders>
              <w:top w:val="single" w:sz="12" w:space="0" w:color="auto"/>
              <w:bottom w:val="single" w:sz="4" w:space="0" w:color="auto"/>
            </w:tcBorders>
          </w:tcPr>
          <w:p w:rsidR="00A96B87" w:rsidRPr="00146A00" w:rsidRDefault="00A96B87" w:rsidP="00CA4971">
            <w:pPr>
              <w:spacing w:after="120" w:line="360" w:lineRule="auto"/>
              <w:jc w:val="both"/>
              <w:rPr>
                <w:rFonts w:ascii="Times New Roman" w:hAnsi="Times New Roman"/>
                <w:sz w:val="22"/>
                <w:szCs w:val="22"/>
                <w:lang w:val="en-US"/>
              </w:rPr>
            </w:pPr>
            <w:r w:rsidRPr="00146A00">
              <w:rPr>
                <w:rFonts w:ascii="Times New Roman" w:hAnsi="Times New Roman"/>
                <w:sz w:val="22"/>
                <w:szCs w:val="22"/>
                <w:lang w:val="en-US"/>
              </w:rPr>
              <w:t xml:space="preserve">ln </w:t>
            </w:r>
            <w:proofErr w:type="spellStart"/>
            <w:r w:rsidRPr="00146A00">
              <w:rPr>
                <w:rFonts w:ascii="Times New Roman" w:hAnsi="Times New Roman"/>
                <w:sz w:val="22"/>
                <w:szCs w:val="22"/>
                <w:lang w:val="en-US"/>
              </w:rPr>
              <w:t>ch</w:t>
            </w:r>
            <w:proofErr w:type="spellEnd"/>
            <w:r w:rsidRPr="00146A00">
              <w:rPr>
                <w:rFonts w:ascii="Times New Roman" w:hAnsi="Times New Roman"/>
                <w:sz w:val="22"/>
                <w:szCs w:val="22"/>
                <w:lang w:val="en-US"/>
              </w:rPr>
              <w:t xml:space="preserve"> stations</w:t>
            </w:r>
          </w:p>
        </w:tc>
        <w:tc>
          <w:tcPr>
            <w:tcW w:w="2833" w:type="dxa"/>
            <w:gridSpan w:val="2"/>
            <w:tcBorders>
              <w:top w:val="single" w:sz="12"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57,86%</w:t>
            </w:r>
          </w:p>
        </w:tc>
        <w:tc>
          <w:tcPr>
            <w:tcW w:w="2695" w:type="dxa"/>
            <w:tcBorders>
              <w:top w:val="single" w:sz="12"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43,77%</w:t>
            </w:r>
          </w:p>
        </w:tc>
        <w:tc>
          <w:tcPr>
            <w:tcW w:w="1694" w:type="dxa"/>
            <w:tcBorders>
              <w:top w:val="single" w:sz="12"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14,09%</w:t>
            </w:r>
          </w:p>
        </w:tc>
      </w:tr>
      <w:tr w:rsidR="00A96B87" w:rsidTr="00146A00">
        <w:tc>
          <w:tcPr>
            <w:tcW w:w="1555" w:type="dxa"/>
            <w:tcBorders>
              <w:top w:val="single" w:sz="4" w:space="0" w:color="auto"/>
              <w:bottom w:val="single" w:sz="4" w:space="0" w:color="auto"/>
            </w:tcBorders>
          </w:tcPr>
          <w:p w:rsidR="00A96B87" w:rsidRPr="00146A00" w:rsidRDefault="00F201CD" w:rsidP="00CA4971">
            <w:pPr>
              <w:spacing w:after="120"/>
              <w:jc w:val="both"/>
              <w:rPr>
                <w:rFonts w:ascii="Times New Roman" w:hAnsi="Times New Roman"/>
                <w:sz w:val="22"/>
                <w:szCs w:val="22"/>
                <w:lang w:val="en-US"/>
              </w:rPr>
            </w:pPr>
            <w:r>
              <w:rPr>
                <w:rFonts w:ascii="Times New Roman" w:hAnsi="Times New Roman"/>
                <w:sz w:val="22"/>
                <w:szCs w:val="22"/>
                <w:lang w:val="en-US"/>
              </w:rPr>
              <w:t xml:space="preserve">HOV/Bus </w:t>
            </w:r>
            <w:r w:rsidR="00A96B87" w:rsidRPr="00146A00">
              <w:rPr>
                <w:rFonts w:ascii="Times New Roman" w:hAnsi="Times New Roman"/>
                <w:sz w:val="22"/>
                <w:szCs w:val="22"/>
                <w:lang w:val="en-US"/>
              </w:rPr>
              <w:t>lane access</w:t>
            </w:r>
          </w:p>
        </w:tc>
        <w:tc>
          <w:tcPr>
            <w:tcW w:w="2833" w:type="dxa"/>
            <w:gridSpan w:val="2"/>
            <w:tcBorders>
              <w:top w:val="single" w:sz="4" w:space="0" w:color="auto"/>
              <w:bottom w:val="single" w:sz="4" w:space="0" w:color="auto"/>
            </w:tcBorders>
          </w:tcPr>
          <w:p w:rsidR="00A96B87" w:rsidRPr="00146A00" w:rsidRDefault="00A96B87" w:rsidP="00146A00">
            <w:pPr>
              <w:spacing w:after="120"/>
              <w:jc w:val="center"/>
              <w:rPr>
                <w:rFonts w:ascii="Times New Roman" w:hAnsi="Times New Roman"/>
                <w:sz w:val="22"/>
                <w:szCs w:val="22"/>
                <w:lang w:val="en-US"/>
              </w:rPr>
            </w:pPr>
            <w:r w:rsidRPr="00146A00">
              <w:rPr>
                <w:rFonts w:ascii="Times New Roman" w:hAnsi="Times New Roman"/>
                <w:sz w:val="22"/>
                <w:szCs w:val="22"/>
                <w:lang w:val="en-US"/>
              </w:rPr>
              <w:t>57,86%</w:t>
            </w:r>
          </w:p>
        </w:tc>
        <w:tc>
          <w:tcPr>
            <w:tcW w:w="2695" w:type="dxa"/>
            <w:tcBorders>
              <w:top w:val="single" w:sz="4"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52,00%</w:t>
            </w:r>
          </w:p>
        </w:tc>
        <w:tc>
          <w:tcPr>
            <w:tcW w:w="1694" w:type="dxa"/>
            <w:tcBorders>
              <w:top w:val="single" w:sz="4"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5,86%</w:t>
            </w:r>
          </w:p>
        </w:tc>
      </w:tr>
      <w:tr w:rsidR="00A96B87" w:rsidTr="00146A00">
        <w:tc>
          <w:tcPr>
            <w:tcW w:w="1555" w:type="dxa"/>
            <w:tcBorders>
              <w:top w:val="single" w:sz="4" w:space="0" w:color="auto"/>
              <w:bottom w:val="single" w:sz="4" w:space="0" w:color="auto"/>
            </w:tcBorders>
          </w:tcPr>
          <w:p w:rsidR="00A96B87" w:rsidRPr="00146A00" w:rsidRDefault="00A96B87" w:rsidP="00CA4971">
            <w:pPr>
              <w:spacing w:after="120" w:line="360" w:lineRule="auto"/>
              <w:jc w:val="both"/>
              <w:rPr>
                <w:rFonts w:ascii="Times New Roman" w:hAnsi="Times New Roman"/>
                <w:sz w:val="22"/>
                <w:szCs w:val="22"/>
                <w:lang w:val="en-US"/>
              </w:rPr>
            </w:pPr>
            <w:r w:rsidRPr="00146A00">
              <w:rPr>
                <w:rFonts w:ascii="Times New Roman" w:hAnsi="Times New Roman"/>
                <w:sz w:val="22"/>
                <w:szCs w:val="22"/>
                <w:lang w:val="en-US"/>
              </w:rPr>
              <w:t xml:space="preserve">ln </w:t>
            </w:r>
            <w:proofErr w:type="spellStart"/>
            <w:r w:rsidRPr="00146A00">
              <w:rPr>
                <w:rFonts w:ascii="Times New Roman" w:hAnsi="Times New Roman"/>
                <w:sz w:val="22"/>
                <w:szCs w:val="22"/>
                <w:lang w:val="en-US"/>
              </w:rPr>
              <w:t>dr</w:t>
            </w:r>
            <w:proofErr w:type="spellEnd"/>
            <w:r w:rsidRPr="00146A00">
              <w:rPr>
                <w:rFonts w:ascii="Times New Roman" w:hAnsi="Times New Roman"/>
                <w:sz w:val="22"/>
                <w:szCs w:val="22"/>
                <w:lang w:val="en-US"/>
              </w:rPr>
              <w:t xml:space="preserve"> range</w:t>
            </w:r>
          </w:p>
        </w:tc>
        <w:tc>
          <w:tcPr>
            <w:tcW w:w="2833" w:type="dxa"/>
            <w:gridSpan w:val="2"/>
            <w:tcBorders>
              <w:top w:val="single" w:sz="4"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57,86%</w:t>
            </w:r>
          </w:p>
        </w:tc>
        <w:tc>
          <w:tcPr>
            <w:tcW w:w="2695" w:type="dxa"/>
            <w:tcBorders>
              <w:top w:val="single" w:sz="4"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52,56%</w:t>
            </w:r>
          </w:p>
        </w:tc>
        <w:tc>
          <w:tcPr>
            <w:tcW w:w="1694" w:type="dxa"/>
            <w:tcBorders>
              <w:top w:val="single" w:sz="4" w:space="0" w:color="auto"/>
              <w:bottom w:val="single" w:sz="4"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5,3%</w:t>
            </w:r>
          </w:p>
        </w:tc>
      </w:tr>
      <w:tr w:rsidR="00A96B87" w:rsidTr="00146A00">
        <w:tc>
          <w:tcPr>
            <w:tcW w:w="1555" w:type="dxa"/>
            <w:tcBorders>
              <w:top w:val="single" w:sz="4" w:space="0" w:color="auto"/>
              <w:bottom w:val="single" w:sz="12" w:space="0" w:color="auto"/>
            </w:tcBorders>
          </w:tcPr>
          <w:p w:rsidR="00A96B87" w:rsidRPr="00146A00" w:rsidRDefault="00A96B87" w:rsidP="00CA4971">
            <w:pPr>
              <w:spacing w:after="120"/>
              <w:jc w:val="both"/>
              <w:rPr>
                <w:rFonts w:ascii="Times New Roman" w:hAnsi="Times New Roman"/>
                <w:sz w:val="22"/>
                <w:szCs w:val="22"/>
                <w:lang w:val="en-US"/>
              </w:rPr>
            </w:pPr>
            <w:r w:rsidRPr="00146A00">
              <w:rPr>
                <w:rFonts w:ascii="Times New Roman" w:hAnsi="Times New Roman"/>
                <w:sz w:val="22"/>
                <w:szCs w:val="22"/>
                <w:lang w:val="en-US"/>
              </w:rPr>
              <w:lastRenderedPageBreak/>
              <w:t>government grant</w:t>
            </w:r>
          </w:p>
        </w:tc>
        <w:tc>
          <w:tcPr>
            <w:tcW w:w="2833" w:type="dxa"/>
            <w:gridSpan w:val="2"/>
            <w:tcBorders>
              <w:top w:val="single" w:sz="4" w:space="0" w:color="auto"/>
              <w:bottom w:val="single" w:sz="12"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57,86%</w:t>
            </w:r>
          </w:p>
        </w:tc>
        <w:tc>
          <w:tcPr>
            <w:tcW w:w="2695" w:type="dxa"/>
            <w:tcBorders>
              <w:top w:val="single" w:sz="4" w:space="0" w:color="auto"/>
              <w:bottom w:val="single" w:sz="12"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56,28%</w:t>
            </w:r>
          </w:p>
        </w:tc>
        <w:tc>
          <w:tcPr>
            <w:tcW w:w="1694" w:type="dxa"/>
            <w:tcBorders>
              <w:top w:val="single" w:sz="4" w:space="0" w:color="auto"/>
              <w:bottom w:val="single" w:sz="12" w:space="0" w:color="auto"/>
            </w:tcBorders>
          </w:tcPr>
          <w:p w:rsidR="00A96B87" w:rsidRPr="00146A00" w:rsidRDefault="00A96B87" w:rsidP="00146A00">
            <w:pPr>
              <w:spacing w:after="120" w:line="360" w:lineRule="auto"/>
              <w:jc w:val="center"/>
              <w:rPr>
                <w:rFonts w:ascii="Times New Roman" w:hAnsi="Times New Roman"/>
                <w:sz w:val="22"/>
                <w:szCs w:val="22"/>
                <w:lang w:val="en-US"/>
              </w:rPr>
            </w:pPr>
            <w:r w:rsidRPr="00146A00">
              <w:rPr>
                <w:rFonts w:ascii="Times New Roman" w:hAnsi="Times New Roman"/>
                <w:sz w:val="22"/>
                <w:szCs w:val="22"/>
                <w:lang w:val="en-US"/>
              </w:rPr>
              <w:t>1,58%</w:t>
            </w:r>
          </w:p>
        </w:tc>
      </w:tr>
    </w:tbl>
    <w:p w:rsidR="00E42DF0" w:rsidRDefault="00E42DF0" w:rsidP="00E42DF0">
      <w:pPr>
        <w:spacing w:line="360" w:lineRule="auto"/>
        <w:jc w:val="both"/>
        <w:rPr>
          <w:rFonts w:ascii="Times New Roman" w:hAnsi="Times New Roman"/>
          <w:b/>
          <w:lang w:val="en-US"/>
        </w:rPr>
      </w:pPr>
      <w:r>
        <w:rPr>
          <w:rFonts w:ascii="Times New Roman" w:hAnsi="Times New Roman"/>
          <w:b/>
          <w:lang w:val="en-US"/>
        </w:rPr>
        <w:t xml:space="preserve">Table 9. Sensitivity tests of the model with charging stations </w:t>
      </w:r>
    </w:p>
    <w:p w:rsidR="00E42DF0" w:rsidRDefault="00E42DF0" w:rsidP="00CE182C">
      <w:pPr>
        <w:spacing w:line="360" w:lineRule="auto"/>
        <w:jc w:val="both"/>
        <w:rPr>
          <w:rFonts w:ascii="Times New Roman" w:hAnsi="Times New Roman"/>
          <w:b/>
          <w:lang w:val="en-US"/>
        </w:rPr>
      </w:pPr>
    </w:p>
    <w:tbl>
      <w:tblPr>
        <w:tblW w:w="8789" w:type="dxa"/>
        <w:tblLayout w:type="fixed"/>
        <w:tblCellMar>
          <w:top w:w="15" w:type="dxa"/>
          <w:left w:w="15" w:type="dxa"/>
          <w:bottom w:w="15" w:type="dxa"/>
          <w:right w:w="15" w:type="dxa"/>
        </w:tblCellMar>
        <w:tblLook w:val="04A0" w:firstRow="1" w:lastRow="0" w:firstColumn="1" w:lastColumn="0" w:noHBand="0" w:noVBand="1"/>
      </w:tblPr>
      <w:tblGrid>
        <w:gridCol w:w="2552"/>
        <w:gridCol w:w="1417"/>
        <w:gridCol w:w="1276"/>
        <w:gridCol w:w="1276"/>
        <w:gridCol w:w="1134"/>
        <w:gridCol w:w="1134"/>
      </w:tblGrid>
      <w:tr w:rsidR="00B4001A" w:rsidRPr="00CD3527" w:rsidTr="000C0789">
        <w:tc>
          <w:tcPr>
            <w:tcW w:w="2552"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B4001A" w:rsidRPr="000C0789" w:rsidRDefault="00B4001A" w:rsidP="000C0789">
            <w:pPr>
              <w:spacing w:before="90"/>
              <w:rPr>
                <w:rFonts w:ascii="Times New Roman" w:hAnsi="Times New Roman"/>
                <w:b/>
                <w:sz w:val="22"/>
                <w:szCs w:val="22"/>
              </w:rPr>
            </w:pPr>
            <w:bookmarkStart w:id="39" w:name="_Hlk535141553"/>
            <w:r w:rsidRPr="000C0789">
              <w:rPr>
                <w:rFonts w:ascii="Times New Roman" w:hAnsi="Times New Roman"/>
                <w:b/>
                <w:sz w:val="22"/>
                <w:szCs w:val="22"/>
              </w:rPr>
              <w:t>Regressor</w:t>
            </w:r>
          </w:p>
        </w:tc>
        <w:tc>
          <w:tcPr>
            <w:tcW w:w="1417"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B4001A" w:rsidRPr="000C0789" w:rsidRDefault="00B4001A" w:rsidP="000C0789">
            <w:pPr>
              <w:spacing w:before="90"/>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1---</w:t>
            </w: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B4001A" w:rsidRPr="000C0789" w:rsidRDefault="00B4001A" w:rsidP="000C0789">
            <w:pPr>
              <w:spacing w:before="90"/>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2---</w:t>
            </w: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B4001A" w:rsidRPr="000C0789" w:rsidRDefault="00B4001A" w:rsidP="000C0789">
            <w:pPr>
              <w:spacing w:before="90"/>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3---</w:t>
            </w:r>
          </w:p>
        </w:tc>
        <w:tc>
          <w:tcPr>
            <w:tcW w:w="1134" w:type="dxa"/>
            <w:tcBorders>
              <w:top w:val="single" w:sz="12" w:space="0" w:color="auto"/>
              <w:bottom w:val="single" w:sz="12" w:space="0" w:color="auto"/>
            </w:tcBorders>
            <w:shd w:val="clear" w:color="auto" w:fill="FFFFFF"/>
            <w:vAlign w:val="bottom"/>
          </w:tcPr>
          <w:p w:rsidR="00B4001A" w:rsidRPr="000C0789" w:rsidRDefault="00B4001A" w:rsidP="000C0789">
            <w:pPr>
              <w:spacing w:before="90"/>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4---</w:t>
            </w:r>
          </w:p>
        </w:tc>
        <w:tc>
          <w:tcPr>
            <w:tcW w:w="1134" w:type="dxa"/>
            <w:tcBorders>
              <w:top w:val="single" w:sz="12" w:space="0" w:color="auto"/>
              <w:bottom w:val="single" w:sz="12" w:space="0" w:color="auto"/>
            </w:tcBorders>
            <w:shd w:val="clear" w:color="auto" w:fill="FFFFFF"/>
            <w:vAlign w:val="bottom"/>
          </w:tcPr>
          <w:p w:rsidR="00B4001A" w:rsidRPr="000C0789" w:rsidRDefault="00B4001A" w:rsidP="000C0789">
            <w:pPr>
              <w:spacing w:before="90"/>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5---</w:t>
            </w:r>
          </w:p>
        </w:tc>
      </w:tr>
      <w:tr w:rsidR="00B4001A" w:rsidRPr="00CD3527" w:rsidTr="008A77FA">
        <w:trPr>
          <w:trHeight w:val="20"/>
        </w:trPr>
        <w:tc>
          <w:tcPr>
            <w:tcW w:w="2552" w:type="dxa"/>
            <w:tcBorders>
              <w:top w:val="single" w:sz="12"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 xml:space="preserve">Government </w:t>
            </w:r>
            <w:proofErr w:type="spellStart"/>
            <w:r w:rsidRPr="00146A00">
              <w:rPr>
                <w:rFonts w:ascii="Times New Roman" w:hAnsi="Times New Roman"/>
                <w:sz w:val="22"/>
                <w:szCs w:val="22"/>
              </w:rPr>
              <w:t>grant</w:t>
            </w:r>
            <w:proofErr w:type="spellEnd"/>
            <w:r w:rsidRPr="00146A00">
              <w:rPr>
                <w:rFonts w:ascii="Times New Roman" w:hAnsi="Times New Roman"/>
                <w:sz w:val="22"/>
                <w:szCs w:val="22"/>
              </w:rPr>
              <w:t xml:space="preserve"> </w:t>
            </w:r>
          </w:p>
        </w:tc>
        <w:tc>
          <w:tcPr>
            <w:tcW w:w="1417" w:type="dxa"/>
            <w:tcBorders>
              <w:top w:val="single" w:sz="12"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0,000017</w:t>
            </w:r>
          </w:p>
        </w:tc>
        <w:tc>
          <w:tcPr>
            <w:tcW w:w="1276" w:type="dxa"/>
            <w:tcBorders>
              <w:top w:val="single" w:sz="12"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0,0000</w:t>
            </w:r>
            <w:r w:rsidR="000B1F21" w:rsidRPr="00146A00">
              <w:rPr>
                <w:rFonts w:ascii="Times New Roman" w:hAnsi="Times New Roman"/>
                <w:sz w:val="22"/>
                <w:szCs w:val="22"/>
              </w:rPr>
              <w:t>26</w:t>
            </w:r>
          </w:p>
        </w:tc>
        <w:tc>
          <w:tcPr>
            <w:tcW w:w="1276" w:type="dxa"/>
            <w:tcBorders>
              <w:top w:val="single" w:sz="12" w:space="0" w:color="auto"/>
            </w:tcBorders>
            <w:shd w:val="clear" w:color="auto" w:fill="FFFFFF"/>
            <w:noWrap/>
            <w:tcMar>
              <w:top w:w="15" w:type="dxa"/>
              <w:left w:w="105" w:type="dxa"/>
              <w:bottom w:w="15" w:type="dxa"/>
              <w:right w:w="105" w:type="dxa"/>
            </w:tcMar>
            <w:hideMark/>
          </w:tcPr>
          <w:p w:rsidR="00B4001A" w:rsidRPr="00146A00" w:rsidRDefault="000B1F21" w:rsidP="000C0789">
            <w:pPr>
              <w:spacing w:before="90"/>
              <w:rPr>
                <w:rFonts w:ascii="Times New Roman" w:hAnsi="Times New Roman"/>
                <w:sz w:val="22"/>
                <w:szCs w:val="22"/>
              </w:rPr>
            </w:pPr>
            <w:r w:rsidRPr="00146A00">
              <w:rPr>
                <w:rFonts w:ascii="Times New Roman" w:hAnsi="Times New Roman"/>
                <w:sz w:val="22"/>
                <w:szCs w:val="22"/>
              </w:rPr>
              <w:t>-</w:t>
            </w:r>
            <w:r w:rsidR="00B4001A" w:rsidRPr="00146A00">
              <w:rPr>
                <w:rFonts w:ascii="Times New Roman" w:hAnsi="Times New Roman"/>
                <w:sz w:val="22"/>
                <w:szCs w:val="22"/>
              </w:rPr>
              <w:t>0,0000</w:t>
            </w:r>
            <w:r w:rsidRPr="00146A00">
              <w:rPr>
                <w:rFonts w:ascii="Times New Roman" w:hAnsi="Times New Roman"/>
                <w:sz w:val="22"/>
                <w:szCs w:val="22"/>
              </w:rPr>
              <w:t>41</w:t>
            </w:r>
          </w:p>
        </w:tc>
        <w:tc>
          <w:tcPr>
            <w:tcW w:w="1134" w:type="dxa"/>
            <w:tcBorders>
              <w:top w:val="single" w:sz="12"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w:t>
            </w:r>
            <w:r w:rsidR="00B4001A" w:rsidRPr="00146A00">
              <w:rPr>
                <w:rFonts w:ascii="Times New Roman" w:hAnsi="Times New Roman"/>
                <w:sz w:val="22"/>
                <w:szCs w:val="22"/>
              </w:rPr>
              <w:t>0,0000</w:t>
            </w:r>
            <w:r w:rsidRPr="00146A00">
              <w:rPr>
                <w:rFonts w:ascii="Times New Roman" w:hAnsi="Times New Roman"/>
                <w:sz w:val="22"/>
                <w:szCs w:val="22"/>
              </w:rPr>
              <w:t>30</w:t>
            </w:r>
          </w:p>
        </w:tc>
        <w:tc>
          <w:tcPr>
            <w:tcW w:w="1134" w:type="dxa"/>
            <w:tcBorders>
              <w:top w:val="single" w:sz="12" w:space="0" w:color="auto"/>
            </w:tcBorders>
            <w:shd w:val="clear" w:color="auto" w:fill="FFFFFF"/>
          </w:tcPr>
          <w:p w:rsidR="00B4001A" w:rsidRPr="00146A00" w:rsidRDefault="00B4001A" w:rsidP="000C0789">
            <w:pPr>
              <w:spacing w:before="90"/>
              <w:rPr>
                <w:rFonts w:ascii="Times New Roman" w:hAnsi="Times New Roman"/>
                <w:sz w:val="22"/>
                <w:szCs w:val="22"/>
              </w:rPr>
            </w:pP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(0,000030)</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(0,0000</w:t>
            </w:r>
            <w:r w:rsidR="000B1F21" w:rsidRPr="00146A00">
              <w:rPr>
                <w:rFonts w:ascii="Times New Roman" w:hAnsi="Times New Roman"/>
                <w:sz w:val="22"/>
                <w:szCs w:val="22"/>
              </w:rPr>
              <w:t>31</w:t>
            </w:r>
            <w:r w:rsidRPr="00146A00">
              <w:rPr>
                <w:rFonts w:ascii="Times New Roman" w:hAnsi="Times New Roman"/>
                <w:sz w:val="22"/>
                <w:szCs w:val="22"/>
              </w:rPr>
              <w:t>)</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(0,00003</w:t>
            </w:r>
            <w:r w:rsidR="007F7084" w:rsidRPr="00146A00">
              <w:rPr>
                <w:rFonts w:ascii="Times New Roman" w:hAnsi="Times New Roman"/>
                <w:sz w:val="22"/>
                <w:szCs w:val="22"/>
              </w:rPr>
              <w:t>6</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(0,0000</w:t>
            </w:r>
            <w:r w:rsidR="0049390F" w:rsidRPr="00146A00">
              <w:rPr>
                <w:rFonts w:ascii="Times New Roman" w:hAnsi="Times New Roman"/>
                <w:sz w:val="22"/>
                <w:szCs w:val="22"/>
              </w:rPr>
              <w:t>34</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roofErr w:type="spellStart"/>
            <w:r w:rsidRPr="00146A00">
              <w:rPr>
                <w:rFonts w:ascii="Times New Roman" w:hAnsi="Times New Roman"/>
                <w:sz w:val="22"/>
                <w:szCs w:val="22"/>
              </w:rPr>
              <w:t>ln</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dr</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range</w:t>
            </w:r>
            <w:proofErr w:type="spellEnd"/>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1,446**</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1,</w:t>
            </w:r>
            <w:r w:rsidR="000B1F21" w:rsidRPr="00146A00">
              <w:rPr>
                <w:rFonts w:ascii="Times New Roman" w:hAnsi="Times New Roman"/>
                <w:sz w:val="22"/>
                <w:szCs w:val="22"/>
              </w:rPr>
              <w:t>249</w:t>
            </w:r>
            <w:r w:rsidRPr="00146A00">
              <w:rPr>
                <w:rFonts w:ascii="Times New Roman" w:hAnsi="Times New Roman"/>
                <w:sz w:val="22"/>
                <w:szCs w:val="22"/>
              </w:rPr>
              <w:t>**</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1,</w:t>
            </w:r>
            <w:r w:rsidR="007F7084" w:rsidRPr="00146A00">
              <w:rPr>
                <w:rFonts w:ascii="Times New Roman" w:hAnsi="Times New Roman"/>
                <w:sz w:val="22"/>
                <w:szCs w:val="22"/>
              </w:rPr>
              <w:t>433</w:t>
            </w:r>
            <w:r w:rsidRPr="00146A00">
              <w:rPr>
                <w:rFonts w:ascii="Times New Roman" w:hAnsi="Times New Roman"/>
                <w:sz w:val="22"/>
                <w:szCs w:val="22"/>
              </w:rPr>
              <w:t>**</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1,</w:t>
            </w:r>
            <w:r w:rsidR="0049390F" w:rsidRPr="00146A00">
              <w:rPr>
                <w:rFonts w:ascii="Times New Roman" w:hAnsi="Times New Roman"/>
                <w:sz w:val="22"/>
                <w:szCs w:val="22"/>
              </w:rPr>
              <w:t>406</w:t>
            </w:r>
            <w:r w:rsidRPr="00146A00">
              <w:rPr>
                <w:rFonts w:ascii="Times New Roman" w:hAnsi="Times New Roman"/>
                <w:sz w:val="22"/>
                <w:szCs w:val="22"/>
              </w:rPr>
              <w:t>**</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1,</w:t>
            </w:r>
            <w:r w:rsidR="0049390F" w:rsidRPr="00146A00">
              <w:rPr>
                <w:rFonts w:ascii="Times New Roman" w:hAnsi="Times New Roman"/>
                <w:sz w:val="22"/>
                <w:szCs w:val="22"/>
              </w:rPr>
              <w:t>337</w:t>
            </w:r>
            <w:r w:rsidRPr="00146A00">
              <w:rPr>
                <w:rFonts w:ascii="Times New Roman" w:hAnsi="Times New Roman"/>
                <w:sz w:val="22"/>
                <w:szCs w:val="22"/>
              </w:rPr>
              <w:t>**</w:t>
            </w: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(0,376)</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0B1F21" w:rsidRPr="00146A00">
              <w:rPr>
                <w:rFonts w:ascii="Times New Roman" w:hAnsi="Times New Roman"/>
                <w:sz w:val="22"/>
                <w:szCs w:val="22"/>
              </w:rPr>
              <w:t>264</w:t>
            </w:r>
            <w:r w:rsidRPr="00146A00">
              <w:rPr>
                <w:rFonts w:ascii="Times New Roman" w:hAnsi="Times New Roman"/>
                <w:sz w:val="22"/>
                <w:szCs w:val="22"/>
              </w:rPr>
              <w:t>)</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7F7084" w:rsidRPr="00146A00">
              <w:rPr>
                <w:rFonts w:ascii="Times New Roman" w:hAnsi="Times New Roman"/>
                <w:sz w:val="22"/>
                <w:szCs w:val="22"/>
              </w:rPr>
              <w:t>259</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(0,25</w:t>
            </w:r>
            <w:r w:rsidR="0049390F" w:rsidRPr="00146A00">
              <w:rPr>
                <w:rFonts w:ascii="Times New Roman" w:hAnsi="Times New Roman"/>
                <w:sz w:val="22"/>
                <w:szCs w:val="22"/>
              </w:rPr>
              <w:t>4</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49390F" w:rsidRPr="00146A00">
              <w:rPr>
                <w:rFonts w:ascii="Times New Roman" w:hAnsi="Times New Roman"/>
                <w:sz w:val="22"/>
                <w:szCs w:val="22"/>
              </w:rPr>
              <w:t>252</w:t>
            </w:r>
            <w:r w:rsidRPr="00146A00">
              <w:rPr>
                <w:rFonts w:ascii="Times New Roman" w:hAnsi="Times New Roman"/>
                <w:sz w:val="22"/>
                <w:szCs w:val="22"/>
              </w:rPr>
              <w:t>)</w:t>
            </w: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roofErr w:type="spellStart"/>
            <w:r w:rsidRPr="00146A00">
              <w:rPr>
                <w:rFonts w:ascii="Times New Roman" w:hAnsi="Times New Roman"/>
                <w:sz w:val="22"/>
                <w:szCs w:val="22"/>
              </w:rPr>
              <w:t>ln</w:t>
            </w:r>
            <w:proofErr w:type="spellEnd"/>
            <w:r w:rsidRPr="00146A00">
              <w:rPr>
                <w:rFonts w:ascii="Times New Roman" w:hAnsi="Times New Roman"/>
                <w:sz w:val="22"/>
                <w:szCs w:val="22"/>
              </w:rPr>
              <w:t xml:space="preserve"> fast </w:t>
            </w:r>
            <w:proofErr w:type="spellStart"/>
            <w:r w:rsidRPr="00146A00">
              <w:rPr>
                <w:rFonts w:ascii="Times New Roman" w:hAnsi="Times New Roman"/>
                <w:sz w:val="22"/>
                <w:szCs w:val="22"/>
              </w:rPr>
              <w:t>ch</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st-ns</w:t>
            </w:r>
            <w:proofErr w:type="spellEnd"/>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0,6979**</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w:t>
            </w:r>
            <w:r w:rsidR="000B1F21" w:rsidRPr="00146A00">
              <w:rPr>
                <w:rFonts w:ascii="Times New Roman" w:hAnsi="Times New Roman"/>
                <w:sz w:val="22"/>
                <w:szCs w:val="22"/>
              </w:rPr>
              <w:t>6113</w:t>
            </w:r>
            <w:r w:rsidRPr="00146A00">
              <w:rPr>
                <w:rFonts w:ascii="Times New Roman" w:hAnsi="Times New Roman"/>
                <w:sz w:val="22"/>
                <w:szCs w:val="22"/>
              </w:rPr>
              <w:t>**</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0,5</w:t>
            </w:r>
            <w:r w:rsidR="007F7084" w:rsidRPr="00146A00">
              <w:rPr>
                <w:rFonts w:ascii="Times New Roman" w:hAnsi="Times New Roman"/>
                <w:sz w:val="22"/>
                <w:szCs w:val="22"/>
              </w:rPr>
              <w:t>871</w:t>
            </w:r>
            <w:r w:rsidRPr="00146A00">
              <w:rPr>
                <w:rFonts w:ascii="Times New Roman" w:hAnsi="Times New Roman"/>
                <w:sz w:val="22"/>
                <w:szCs w:val="22"/>
              </w:rPr>
              <w:t>**</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0,5</w:t>
            </w:r>
            <w:r w:rsidR="0049390F" w:rsidRPr="00146A00">
              <w:rPr>
                <w:rFonts w:ascii="Times New Roman" w:hAnsi="Times New Roman"/>
                <w:sz w:val="22"/>
                <w:szCs w:val="22"/>
              </w:rPr>
              <w:t>773</w:t>
            </w:r>
            <w:r w:rsidRPr="00146A00">
              <w:rPr>
                <w:rFonts w:ascii="Times New Roman" w:hAnsi="Times New Roman"/>
                <w:sz w:val="22"/>
                <w:szCs w:val="22"/>
              </w:rPr>
              <w:t>**</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0,5</w:t>
            </w:r>
            <w:r w:rsidR="0049390F" w:rsidRPr="00146A00">
              <w:rPr>
                <w:rFonts w:ascii="Times New Roman" w:hAnsi="Times New Roman"/>
                <w:sz w:val="22"/>
                <w:szCs w:val="22"/>
              </w:rPr>
              <w:t>939</w:t>
            </w:r>
            <w:r w:rsidRPr="00146A00">
              <w:rPr>
                <w:rFonts w:ascii="Times New Roman" w:hAnsi="Times New Roman"/>
                <w:sz w:val="22"/>
                <w:szCs w:val="22"/>
              </w:rPr>
              <w:t>**</w:t>
            </w: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(0,0709)</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w:t>
            </w:r>
            <w:r w:rsidR="000B1F21" w:rsidRPr="00146A00">
              <w:rPr>
                <w:rFonts w:ascii="Times New Roman" w:hAnsi="Times New Roman"/>
                <w:sz w:val="22"/>
                <w:szCs w:val="22"/>
              </w:rPr>
              <w:t>842</w:t>
            </w:r>
            <w:r w:rsidRPr="00146A00">
              <w:rPr>
                <w:rFonts w:ascii="Times New Roman" w:hAnsi="Times New Roman"/>
                <w:sz w:val="22"/>
                <w:szCs w:val="22"/>
              </w:rPr>
              <w:t>)</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7F7084" w:rsidRPr="00146A00">
              <w:rPr>
                <w:rFonts w:ascii="Times New Roman" w:hAnsi="Times New Roman"/>
                <w:sz w:val="22"/>
                <w:szCs w:val="22"/>
              </w:rPr>
              <w:t>0891</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w:t>
            </w:r>
            <w:r w:rsidR="0049390F" w:rsidRPr="00146A00">
              <w:rPr>
                <w:rFonts w:ascii="Times New Roman" w:hAnsi="Times New Roman"/>
                <w:sz w:val="22"/>
                <w:szCs w:val="22"/>
              </w:rPr>
              <w:t>842</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w:t>
            </w:r>
            <w:r w:rsidR="0049390F" w:rsidRPr="00146A00">
              <w:rPr>
                <w:rFonts w:ascii="Times New Roman" w:hAnsi="Times New Roman"/>
                <w:sz w:val="22"/>
                <w:szCs w:val="22"/>
              </w:rPr>
              <w:t>720</w:t>
            </w:r>
            <w:r w:rsidRPr="00146A00">
              <w:rPr>
                <w:rFonts w:ascii="Times New Roman" w:hAnsi="Times New Roman"/>
                <w:sz w:val="22"/>
                <w:szCs w:val="22"/>
              </w:rPr>
              <w:t>)</w:t>
            </w: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roofErr w:type="spellStart"/>
            <w:r w:rsidRPr="00146A00">
              <w:rPr>
                <w:rFonts w:ascii="Times New Roman" w:hAnsi="Times New Roman"/>
                <w:sz w:val="22"/>
                <w:szCs w:val="22"/>
              </w:rPr>
              <w:t>ln</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price</w:t>
            </w:r>
            <w:proofErr w:type="spellEnd"/>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-0,506</w:t>
            </w:r>
          </w:p>
        </w:tc>
        <w:tc>
          <w:tcPr>
            <w:tcW w:w="1276" w:type="dxa"/>
            <w:tcBorders>
              <w:top w:val="single" w:sz="4" w:space="0" w:color="auto"/>
            </w:tcBorders>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(0,347)</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 xml:space="preserve">VAT </w:t>
            </w:r>
            <w:proofErr w:type="spellStart"/>
            <w:r w:rsidRPr="00146A00">
              <w:rPr>
                <w:rFonts w:ascii="Times New Roman" w:hAnsi="Times New Roman"/>
                <w:sz w:val="22"/>
                <w:szCs w:val="22"/>
              </w:rPr>
              <w:t>Amount</w:t>
            </w:r>
            <w:proofErr w:type="spellEnd"/>
            <w:r w:rsidRPr="00146A00">
              <w:rPr>
                <w:rFonts w:ascii="Times New Roman" w:hAnsi="Times New Roman"/>
                <w:sz w:val="22"/>
                <w:szCs w:val="22"/>
              </w:rPr>
              <w:t xml:space="preserve"> </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-0,00003</w:t>
            </w:r>
            <w:r w:rsidR="000B1F21" w:rsidRPr="00146A00">
              <w:rPr>
                <w:rFonts w:ascii="Times New Roman" w:hAnsi="Times New Roman"/>
                <w:sz w:val="22"/>
                <w:szCs w:val="22"/>
              </w:rPr>
              <w:t>4</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-0,0000</w:t>
            </w:r>
            <w:r w:rsidR="007F7084" w:rsidRPr="00146A00">
              <w:rPr>
                <w:rFonts w:ascii="Times New Roman" w:hAnsi="Times New Roman"/>
                <w:sz w:val="22"/>
                <w:szCs w:val="22"/>
              </w:rPr>
              <w:t>62*</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-0,0000</w:t>
            </w:r>
            <w:r w:rsidR="0049390F" w:rsidRPr="00146A00">
              <w:rPr>
                <w:rFonts w:ascii="Times New Roman" w:hAnsi="Times New Roman"/>
                <w:sz w:val="22"/>
                <w:szCs w:val="22"/>
              </w:rPr>
              <w:t>60</w:t>
            </w:r>
            <w:r w:rsidRPr="00146A00">
              <w:rPr>
                <w:rFonts w:ascii="Times New Roman" w:hAnsi="Times New Roman"/>
                <w:sz w:val="22"/>
                <w:szCs w:val="22"/>
              </w:rPr>
              <w:t>*</w:t>
            </w:r>
          </w:p>
        </w:tc>
        <w:tc>
          <w:tcPr>
            <w:tcW w:w="1134" w:type="dxa"/>
            <w:tcBorders>
              <w:top w:val="single" w:sz="4"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-0,000055</w:t>
            </w:r>
            <w:r w:rsidR="00B4001A" w:rsidRPr="00146A00">
              <w:rPr>
                <w:rFonts w:ascii="Times New Roman" w:hAnsi="Times New Roman"/>
                <w:sz w:val="22"/>
                <w:szCs w:val="22"/>
              </w:rPr>
              <w:t>*</w:t>
            </w: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(0,00002</w:t>
            </w:r>
            <w:r w:rsidR="000B1F21" w:rsidRPr="00146A00">
              <w:rPr>
                <w:rFonts w:ascii="Times New Roman" w:hAnsi="Times New Roman"/>
                <w:sz w:val="22"/>
                <w:szCs w:val="22"/>
              </w:rPr>
              <w:t>6</w:t>
            </w:r>
            <w:r w:rsidRPr="00146A00">
              <w:rPr>
                <w:rFonts w:ascii="Times New Roman" w:hAnsi="Times New Roman"/>
                <w:sz w:val="22"/>
                <w:szCs w:val="22"/>
              </w:rPr>
              <w:t>)</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(0,00002</w:t>
            </w:r>
            <w:r w:rsidR="007F7084" w:rsidRPr="00146A00">
              <w:rPr>
                <w:rFonts w:ascii="Times New Roman" w:hAnsi="Times New Roman"/>
                <w:sz w:val="22"/>
                <w:szCs w:val="22"/>
              </w:rPr>
              <w:t>6</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(0,000025)</w:t>
            </w:r>
          </w:p>
        </w:tc>
        <w:tc>
          <w:tcPr>
            <w:tcW w:w="1134" w:type="dxa"/>
            <w:tcBorders>
              <w:bottom w:val="single" w:sz="4" w:space="0" w:color="auto"/>
            </w:tcBorders>
            <w:shd w:val="clear" w:color="auto" w:fill="FFFFFF"/>
          </w:tcPr>
          <w:p w:rsidR="00B4001A" w:rsidRPr="00146A00" w:rsidRDefault="0049390F" w:rsidP="000C0789">
            <w:pPr>
              <w:rPr>
                <w:rFonts w:ascii="Times New Roman" w:hAnsi="Times New Roman"/>
                <w:sz w:val="22"/>
                <w:szCs w:val="22"/>
              </w:rPr>
            </w:pPr>
            <w:r w:rsidRPr="00146A00">
              <w:rPr>
                <w:rFonts w:ascii="Times New Roman" w:hAnsi="Times New Roman"/>
                <w:sz w:val="22"/>
                <w:szCs w:val="22"/>
              </w:rPr>
              <w:t>(0,000025)</w:t>
            </w: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roofErr w:type="spellStart"/>
            <w:r w:rsidRPr="00146A00">
              <w:rPr>
                <w:rFonts w:ascii="Times New Roman" w:hAnsi="Times New Roman"/>
                <w:sz w:val="22"/>
                <w:szCs w:val="22"/>
              </w:rPr>
              <w:t>Reduction</w:t>
            </w:r>
            <w:proofErr w:type="spellEnd"/>
            <w:r w:rsidRPr="00146A00">
              <w:rPr>
                <w:rFonts w:ascii="Times New Roman" w:hAnsi="Times New Roman"/>
                <w:sz w:val="22"/>
                <w:szCs w:val="22"/>
              </w:rPr>
              <w:t xml:space="preserve"> (annual </w:t>
            </w:r>
            <w:proofErr w:type="spellStart"/>
            <w:r w:rsidRPr="00146A00">
              <w:rPr>
                <w:rFonts w:ascii="Times New Roman" w:hAnsi="Times New Roman"/>
                <w:sz w:val="22"/>
                <w:szCs w:val="22"/>
              </w:rPr>
              <w:t>tax</w:t>
            </w:r>
            <w:proofErr w:type="spellEnd"/>
            <w:r w:rsidRPr="00146A00">
              <w:rPr>
                <w:rFonts w:ascii="Times New Roman" w:hAnsi="Times New Roman"/>
                <w:sz w:val="22"/>
                <w:szCs w:val="22"/>
              </w:rPr>
              <w:t>)</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0,2</w:t>
            </w:r>
            <w:r w:rsidR="000B1F21" w:rsidRPr="00146A00">
              <w:rPr>
                <w:rFonts w:ascii="Times New Roman" w:hAnsi="Times New Roman"/>
                <w:sz w:val="22"/>
                <w:szCs w:val="22"/>
              </w:rPr>
              <w:t>47</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7F7084" w:rsidP="000C0789">
            <w:pPr>
              <w:spacing w:before="90"/>
              <w:rPr>
                <w:rFonts w:ascii="Times New Roman" w:hAnsi="Times New Roman"/>
                <w:sz w:val="22"/>
                <w:szCs w:val="22"/>
              </w:rPr>
            </w:pPr>
            <w:r w:rsidRPr="00146A00">
              <w:rPr>
                <w:rFonts w:ascii="Times New Roman" w:hAnsi="Times New Roman"/>
                <w:sz w:val="22"/>
                <w:szCs w:val="22"/>
              </w:rPr>
              <w:t>-0,050</w:t>
            </w:r>
          </w:p>
        </w:tc>
        <w:tc>
          <w:tcPr>
            <w:tcW w:w="1134" w:type="dxa"/>
            <w:tcBorders>
              <w:top w:val="single" w:sz="4"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w:t>
            </w:r>
            <w:r w:rsidR="00B4001A" w:rsidRPr="00146A00">
              <w:rPr>
                <w:rFonts w:ascii="Times New Roman" w:hAnsi="Times New Roman"/>
                <w:sz w:val="22"/>
                <w:szCs w:val="22"/>
              </w:rPr>
              <w:t>0,</w:t>
            </w:r>
            <w:r w:rsidRPr="00146A00">
              <w:rPr>
                <w:rFonts w:ascii="Times New Roman" w:hAnsi="Times New Roman"/>
                <w:sz w:val="22"/>
                <w:szCs w:val="22"/>
              </w:rPr>
              <w:t>005</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(0,28</w:t>
            </w:r>
            <w:r w:rsidR="000B1F21" w:rsidRPr="00146A00">
              <w:rPr>
                <w:rFonts w:ascii="Times New Roman" w:hAnsi="Times New Roman"/>
                <w:sz w:val="22"/>
                <w:szCs w:val="22"/>
              </w:rPr>
              <w:t>9</w:t>
            </w:r>
            <w:r w:rsidRPr="00146A00">
              <w:rPr>
                <w:rFonts w:ascii="Times New Roman" w:hAnsi="Times New Roman"/>
                <w:sz w:val="22"/>
                <w:szCs w:val="22"/>
              </w:rPr>
              <w:t>)</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w:t>
            </w:r>
            <w:r w:rsidR="007F7084" w:rsidRPr="00146A00">
              <w:rPr>
                <w:rFonts w:ascii="Times New Roman" w:hAnsi="Times New Roman"/>
                <w:sz w:val="22"/>
                <w:szCs w:val="22"/>
              </w:rPr>
              <w:t>87</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(0,285)</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roofErr w:type="spellStart"/>
            <w:r w:rsidRPr="00146A00">
              <w:rPr>
                <w:rFonts w:ascii="Times New Roman" w:hAnsi="Times New Roman"/>
                <w:sz w:val="22"/>
                <w:szCs w:val="22"/>
              </w:rPr>
              <w:t>Reduction</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purchase</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tax</w:t>
            </w:r>
            <w:proofErr w:type="spellEnd"/>
            <w:r w:rsidRPr="00146A00">
              <w:rPr>
                <w:rFonts w:ascii="Times New Roman" w:hAnsi="Times New Roman"/>
                <w:sz w:val="22"/>
                <w:szCs w:val="22"/>
              </w:rPr>
              <w:t>)</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vertAlign w:val="subscript"/>
              </w:rPr>
            </w:pPr>
            <w:r w:rsidRPr="00146A00">
              <w:rPr>
                <w:rFonts w:ascii="Times New Roman" w:hAnsi="Times New Roman"/>
                <w:sz w:val="22"/>
                <w:szCs w:val="22"/>
              </w:rPr>
              <w:t>-0,</w:t>
            </w:r>
            <w:r w:rsidR="000B1F21" w:rsidRPr="00146A00">
              <w:rPr>
                <w:rFonts w:ascii="Times New Roman" w:hAnsi="Times New Roman"/>
                <w:sz w:val="22"/>
                <w:szCs w:val="22"/>
              </w:rPr>
              <w:t>282</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w:t>
            </w:r>
            <w:r w:rsidR="007F7084" w:rsidRPr="00146A00">
              <w:rPr>
                <w:rFonts w:ascii="Times New Roman" w:hAnsi="Times New Roman"/>
                <w:sz w:val="22"/>
                <w:szCs w:val="22"/>
              </w:rPr>
              <w:t>409</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-0,3</w:t>
            </w:r>
            <w:r w:rsidR="0049390F" w:rsidRPr="00146A00">
              <w:rPr>
                <w:rFonts w:ascii="Times New Roman" w:hAnsi="Times New Roman"/>
                <w:sz w:val="22"/>
                <w:szCs w:val="22"/>
              </w:rPr>
              <w:t>92</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w:t>
            </w:r>
            <w:r w:rsidR="000B1F21" w:rsidRPr="00146A00">
              <w:rPr>
                <w:rFonts w:ascii="Times New Roman" w:hAnsi="Times New Roman"/>
                <w:sz w:val="22"/>
                <w:szCs w:val="22"/>
              </w:rPr>
              <w:t>60</w:t>
            </w:r>
            <w:r w:rsidRPr="00146A00">
              <w:rPr>
                <w:rFonts w:ascii="Times New Roman" w:hAnsi="Times New Roman"/>
                <w:sz w:val="22"/>
                <w:szCs w:val="22"/>
              </w:rPr>
              <w:t>)</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w:t>
            </w:r>
            <w:r w:rsidR="007F7084" w:rsidRPr="00146A00">
              <w:rPr>
                <w:rFonts w:ascii="Times New Roman" w:hAnsi="Times New Roman"/>
                <w:sz w:val="22"/>
                <w:szCs w:val="22"/>
              </w:rPr>
              <w:t>67</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(0,26</w:t>
            </w:r>
            <w:r w:rsidR="0049390F" w:rsidRPr="00146A00">
              <w:rPr>
                <w:rFonts w:ascii="Times New Roman" w:hAnsi="Times New Roman"/>
                <w:sz w:val="22"/>
                <w:szCs w:val="22"/>
              </w:rPr>
              <w:t>7</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roofErr w:type="spellStart"/>
            <w:r w:rsidRPr="00146A00">
              <w:rPr>
                <w:rFonts w:ascii="Times New Roman" w:hAnsi="Times New Roman"/>
                <w:sz w:val="22"/>
                <w:szCs w:val="22"/>
              </w:rPr>
              <w:t>Reduction</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comp</w:t>
            </w:r>
            <w:r w:rsidR="000C0789">
              <w:rPr>
                <w:rFonts w:ascii="Times New Roman" w:hAnsi="Times New Roman"/>
                <w:sz w:val="22"/>
                <w:szCs w:val="22"/>
              </w:rPr>
              <w:t>.</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car</w:t>
            </w:r>
            <w:proofErr w:type="spellEnd"/>
            <w:r w:rsidRPr="00146A00">
              <w:rPr>
                <w:rFonts w:ascii="Times New Roman" w:hAnsi="Times New Roman"/>
                <w:sz w:val="22"/>
                <w:szCs w:val="22"/>
              </w:rPr>
              <w:t xml:space="preserve"> </w:t>
            </w:r>
            <w:proofErr w:type="spellStart"/>
            <w:r w:rsidRPr="00146A00">
              <w:rPr>
                <w:rFonts w:ascii="Times New Roman" w:hAnsi="Times New Roman"/>
                <w:sz w:val="22"/>
                <w:szCs w:val="22"/>
              </w:rPr>
              <w:t>tax</w:t>
            </w:r>
            <w:proofErr w:type="spellEnd"/>
            <w:r w:rsidRPr="00146A00">
              <w:rPr>
                <w:rFonts w:ascii="Times New Roman" w:hAnsi="Times New Roman"/>
                <w:sz w:val="22"/>
                <w:szCs w:val="22"/>
              </w:rPr>
              <w:t>)</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w:t>
            </w:r>
            <w:r w:rsidR="000B1F21" w:rsidRPr="00146A00">
              <w:rPr>
                <w:rFonts w:ascii="Times New Roman" w:hAnsi="Times New Roman"/>
                <w:sz w:val="22"/>
                <w:szCs w:val="22"/>
              </w:rPr>
              <w:t>674*</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w:t>
            </w:r>
            <w:r w:rsidR="007F7084" w:rsidRPr="00146A00">
              <w:rPr>
                <w:rFonts w:ascii="Times New Roman" w:hAnsi="Times New Roman"/>
                <w:sz w:val="22"/>
                <w:szCs w:val="22"/>
              </w:rPr>
              <w:t>958**</w:t>
            </w:r>
          </w:p>
        </w:tc>
        <w:tc>
          <w:tcPr>
            <w:tcW w:w="1134" w:type="dxa"/>
            <w:tcBorders>
              <w:top w:val="single" w:sz="4"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1,084**</w:t>
            </w:r>
          </w:p>
        </w:tc>
        <w:tc>
          <w:tcPr>
            <w:tcW w:w="1134" w:type="dxa"/>
            <w:tcBorders>
              <w:top w:val="single" w:sz="4" w:space="0" w:color="auto"/>
            </w:tcBorders>
            <w:shd w:val="clear" w:color="auto" w:fill="FFFFFF"/>
          </w:tcPr>
          <w:p w:rsidR="00B4001A" w:rsidRPr="00146A00" w:rsidRDefault="00FA1718" w:rsidP="000C0789">
            <w:pPr>
              <w:spacing w:before="90"/>
              <w:ind w:right="300"/>
              <w:rPr>
                <w:rFonts w:ascii="Times New Roman" w:hAnsi="Times New Roman"/>
                <w:sz w:val="22"/>
                <w:szCs w:val="22"/>
              </w:rPr>
            </w:pPr>
            <w:r w:rsidRPr="00146A00">
              <w:rPr>
                <w:rFonts w:ascii="Times New Roman" w:hAnsi="Times New Roman"/>
                <w:sz w:val="22"/>
                <w:szCs w:val="22"/>
              </w:rPr>
              <w:t>0,758**</w:t>
            </w: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(0,28</w:t>
            </w:r>
            <w:r w:rsidR="000B1F21" w:rsidRPr="00146A00">
              <w:rPr>
                <w:rFonts w:ascii="Times New Roman" w:hAnsi="Times New Roman"/>
                <w:sz w:val="22"/>
                <w:szCs w:val="22"/>
              </w:rPr>
              <w:t>5</w:t>
            </w:r>
            <w:r w:rsidRPr="00146A00">
              <w:rPr>
                <w:rFonts w:ascii="Times New Roman" w:hAnsi="Times New Roman"/>
                <w:sz w:val="22"/>
                <w:szCs w:val="22"/>
              </w:rPr>
              <w:t>)</w:t>
            </w: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7F7084" w:rsidRPr="00146A00">
              <w:rPr>
                <w:rFonts w:ascii="Times New Roman" w:hAnsi="Times New Roman"/>
                <w:sz w:val="22"/>
                <w:szCs w:val="22"/>
              </w:rPr>
              <w:t>346</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(0,32</w:t>
            </w:r>
            <w:r w:rsidR="0049390F" w:rsidRPr="00146A00">
              <w:rPr>
                <w:rFonts w:ascii="Times New Roman" w:hAnsi="Times New Roman"/>
                <w:sz w:val="22"/>
                <w:szCs w:val="22"/>
              </w:rPr>
              <w:t>1</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FA1718" w:rsidP="000C0789">
            <w:pPr>
              <w:rPr>
                <w:rFonts w:ascii="Times New Roman" w:hAnsi="Times New Roman"/>
                <w:sz w:val="22"/>
                <w:szCs w:val="22"/>
              </w:rPr>
            </w:pPr>
            <w:r w:rsidRPr="00146A00">
              <w:rPr>
                <w:rFonts w:ascii="Times New Roman" w:hAnsi="Times New Roman"/>
                <w:sz w:val="22"/>
                <w:szCs w:val="22"/>
              </w:rPr>
              <w:t>(0,267)</w:t>
            </w: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 xml:space="preserve">Urban </w:t>
            </w:r>
            <w:proofErr w:type="spellStart"/>
            <w:r w:rsidRPr="00146A00">
              <w:rPr>
                <w:rFonts w:ascii="Times New Roman" w:hAnsi="Times New Roman"/>
                <w:sz w:val="22"/>
                <w:szCs w:val="22"/>
              </w:rPr>
              <w:t>density</w:t>
            </w:r>
            <w:proofErr w:type="spellEnd"/>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0,00</w:t>
            </w:r>
            <w:r w:rsidR="007F7084" w:rsidRPr="00146A00">
              <w:rPr>
                <w:rFonts w:ascii="Times New Roman" w:hAnsi="Times New Roman"/>
                <w:sz w:val="22"/>
                <w:szCs w:val="22"/>
              </w:rPr>
              <w:t>1308**</w:t>
            </w:r>
          </w:p>
        </w:tc>
        <w:tc>
          <w:tcPr>
            <w:tcW w:w="1134" w:type="dxa"/>
            <w:tcBorders>
              <w:top w:val="single" w:sz="4"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0,001177**</w:t>
            </w:r>
          </w:p>
        </w:tc>
        <w:tc>
          <w:tcPr>
            <w:tcW w:w="1134" w:type="dxa"/>
            <w:tcBorders>
              <w:top w:val="single" w:sz="4" w:space="0" w:color="auto"/>
            </w:tcBorders>
            <w:shd w:val="clear" w:color="auto" w:fill="FFFFFF"/>
          </w:tcPr>
          <w:p w:rsidR="00B4001A" w:rsidRPr="00146A00" w:rsidRDefault="00FA1718" w:rsidP="000C0789">
            <w:pPr>
              <w:spacing w:before="90"/>
              <w:rPr>
                <w:rFonts w:ascii="Times New Roman" w:hAnsi="Times New Roman"/>
                <w:sz w:val="22"/>
                <w:szCs w:val="22"/>
              </w:rPr>
            </w:pPr>
            <w:r w:rsidRPr="00146A00">
              <w:rPr>
                <w:rFonts w:ascii="Times New Roman" w:hAnsi="Times New Roman"/>
                <w:sz w:val="22"/>
                <w:szCs w:val="22"/>
              </w:rPr>
              <w:t>0,000995**</w:t>
            </w: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(0,000</w:t>
            </w:r>
            <w:r w:rsidR="007F7084" w:rsidRPr="00146A00">
              <w:rPr>
                <w:rFonts w:ascii="Times New Roman" w:hAnsi="Times New Roman"/>
                <w:sz w:val="22"/>
                <w:szCs w:val="22"/>
              </w:rPr>
              <w:t>275</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49390F" w:rsidP="000C0789">
            <w:pPr>
              <w:rPr>
                <w:rFonts w:ascii="Times New Roman" w:hAnsi="Times New Roman"/>
                <w:sz w:val="22"/>
                <w:szCs w:val="22"/>
              </w:rPr>
            </w:pPr>
            <w:r w:rsidRPr="00146A00">
              <w:rPr>
                <w:rFonts w:ascii="Times New Roman" w:hAnsi="Times New Roman"/>
                <w:sz w:val="22"/>
                <w:szCs w:val="22"/>
              </w:rPr>
              <w:t>(0,000255)</w:t>
            </w:r>
          </w:p>
        </w:tc>
        <w:tc>
          <w:tcPr>
            <w:tcW w:w="1134" w:type="dxa"/>
            <w:tcBorders>
              <w:bottom w:val="single" w:sz="4" w:space="0" w:color="auto"/>
            </w:tcBorders>
            <w:shd w:val="clear" w:color="auto" w:fill="FFFFFF"/>
          </w:tcPr>
          <w:p w:rsidR="00B4001A" w:rsidRPr="00146A00" w:rsidRDefault="00FA1718" w:rsidP="000C0789">
            <w:pPr>
              <w:rPr>
                <w:rFonts w:ascii="Times New Roman" w:hAnsi="Times New Roman"/>
                <w:sz w:val="22"/>
                <w:szCs w:val="22"/>
              </w:rPr>
            </w:pPr>
            <w:r w:rsidRPr="00146A00">
              <w:rPr>
                <w:rFonts w:ascii="Times New Roman" w:hAnsi="Times New Roman"/>
                <w:sz w:val="22"/>
                <w:szCs w:val="22"/>
              </w:rPr>
              <w:t>(0,000223)</w:t>
            </w: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lang w:val="en-US"/>
              </w:rPr>
            </w:pPr>
            <w:r w:rsidRPr="00146A00">
              <w:rPr>
                <w:rFonts w:ascii="Times New Roman" w:hAnsi="Times New Roman"/>
                <w:sz w:val="22"/>
                <w:szCs w:val="22"/>
                <w:lang w:val="en-US"/>
              </w:rPr>
              <w:t>BEV models available</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lang w:val="en-US"/>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lang w:val="en-US"/>
              </w:rPr>
            </w:pPr>
            <w:r w:rsidRPr="00146A00">
              <w:rPr>
                <w:rFonts w:ascii="Times New Roman" w:hAnsi="Times New Roman"/>
                <w:sz w:val="22"/>
                <w:szCs w:val="22"/>
                <w:lang w:val="en-US"/>
              </w:rPr>
              <w:t xml:space="preserve">  </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lang w:val="en-US"/>
              </w:rPr>
              <w:t> </w:t>
            </w:r>
            <w:r w:rsidR="007F7084" w:rsidRPr="00146A00">
              <w:rPr>
                <w:rFonts w:ascii="Times New Roman" w:hAnsi="Times New Roman"/>
                <w:sz w:val="22"/>
                <w:szCs w:val="22"/>
                <w:lang w:val="en-US"/>
              </w:rPr>
              <w:t>0,0663*</w:t>
            </w:r>
          </w:p>
        </w:tc>
        <w:tc>
          <w:tcPr>
            <w:tcW w:w="1134" w:type="dxa"/>
            <w:tcBorders>
              <w:top w:val="single" w:sz="4"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0,0448</w:t>
            </w:r>
            <w:r w:rsidR="008A77FA" w:rsidRPr="008A77FA">
              <w:rPr>
                <w:rFonts w:ascii="Times New Roman" w:hAnsi="Times New Roman"/>
                <w:b/>
                <w:sz w:val="22"/>
                <w:szCs w:val="22"/>
              </w:rPr>
              <w:t>^</w:t>
            </w:r>
          </w:p>
        </w:tc>
        <w:tc>
          <w:tcPr>
            <w:tcW w:w="1134" w:type="dxa"/>
            <w:tcBorders>
              <w:top w:val="single" w:sz="4" w:space="0" w:color="auto"/>
            </w:tcBorders>
            <w:shd w:val="clear" w:color="auto" w:fill="FFFFFF"/>
          </w:tcPr>
          <w:p w:rsidR="00B4001A" w:rsidRPr="00146A00" w:rsidRDefault="00FA1718" w:rsidP="000C0789">
            <w:pPr>
              <w:spacing w:before="90"/>
              <w:rPr>
                <w:rFonts w:ascii="Times New Roman" w:hAnsi="Times New Roman"/>
                <w:sz w:val="22"/>
                <w:szCs w:val="22"/>
              </w:rPr>
            </w:pPr>
            <w:r w:rsidRPr="00146A00">
              <w:rPr>
                <w:rFonts w:ascii="Times New Roman" w:hAnsi="Times New Roman"/>
                <w:sz w:val="22"/>
                <w:szCs w:val="22"/>
              </w:rPr>
              <w:t>0,0580*</w:t>
            </w: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7F7084" w:rsidRPr="00146A00">
              <w:rPr>
                <w:rFonts w:ascii="Times New Roman" w:hAnsi="Times New Roman"/>
                <w:sz w:val="22"/>
                <w:szCs w:val="22"/>
              </w:rPr>
              <w:t>0315</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49390F" w:rsidP="000C0789">
            <w:pPr>
              <w:rPr>
                <w:rFonts w:ascii="Times New Roman" w:hAnsi="Times New Roman"/>
                <w:sz w:val="22"/>
                <w:szCs w:val="22"/>
              </w:rPr>
            </w:pPr>
            <w:r w:rsidRPr="00146A00">
              <w:rPr>
                <w:rFonts w:ascii="Times New Roman" w:hAnsi="Times New Roman"/>
                <w:sz w:val="22"/>
                <w:szCs w:val="22"/>
              </w:rPr>
              <w:t>(0,0266)</w:t>
            </w:r>
          </w:p>
        </w:tc>
        <w:tc>
          <w:tcPr>
            <w:tcW w:w="1134" w:type="dxa"/>
            <w:tcBorders>
              <w:bottom w:val="single" w:sz="4" w:space="0" w:color="auto"/>
            </w:tcBorders>
            <w:shd w:val="clear" w:color="auto" w:fill="FFFFFF"/>
          </w:tcPr>
          <w:p w:rsidR="00B4001A" w:rsidRPr="00146A00" w:rsidRDefault="00FA1718" w:rsidP="000C0789">
            <w:pPr>
              <w:rPr>
                <w:rFonts w:ascii="Times New Roman" w:hAnsi="Times New Roman"/>
                <w:sz w:val="22"/>
                <w:szCs w:val="22"/>
              </w:rPr>
            </w:pPr>
            <w:r w:rsidRPr="00146A00">
              <w:rPr>
                <w:rFonts w:ascii="Times New Roman" w:hAnsi="Times New Roman"/>
                <w:sz w:val="22"/>
                <w:szCs w:val="22"/>
              </w:rPr>
              <w:t>(0,0251)</w:t>
            </w: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lang w:val="en-US"/>
              </w:rPr>
              <w:t>Interest score</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0,02</w:t>
            </w:r>
            <w:r w:rsidR="007F7084" w:rsidRPr="00146A00">
              <w:rPr>
                <w:rFonts w:ascii="Times New Roman" w:hAnsi="Times New Roman"/>
                <w:sz w:val="22"/>
                <w:szCs w:val="22"/>
              </w:rPr>
              <w:t>63</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(0,0</w:t>
            </w:r>
            <w:r w:rsidR="007F7084" w:rsidRPr="00146A00">
              <w:rPr>
                <w:rFonts w:ascii="Times New Roman" w:hAnsi="Times New Roman"/>
                <w:sz w:val="22"/>
                <w:szCs w:val="22"/>
              </w:rPr>
              <w:t>177</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r>
      <w:tr w:rsidR="00B4001A" w:rsidRPr="00CD3527" w:rsidTr="000C0789">
        <w:trPr>
          <w:trHeight w:val="20"/>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lang w:val="en-US"/>
              </w:rPr>
            </w:pPr>
            <w:r w:rsidRPr="00146A00">
              <w:rPr>
                <w:rFonts w:ascii="Times New Roman" w:hAnsi="Times New Roman"/>
                <w:sz w:val="22"/>
                <w:szCs w:val="22"/>
                <w:lang w:val="en-US"/>
              </w:rPr>
              <w:t>ln el-ty price</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lang w:val="en-US"/>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lang w:val="en-US"/>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7F7084" w:rsidP="000C0789">
            <w:pPr>
              <w:spacing w:before="90"/>
              <w:rPr>
                <w:rFonts w:ascii="Times New Roman" w:hAnsi="Times New Roman"/>
                <w:sz w:val="22"/>
                <w:szCs w:val="22"/>
              </w:rPr>
            </w:pPr>
            <w:r w:rsidRPr="00146A00">
              <w:rPr>
                <w:rFonts w:ascii="Times New Roman" w:hAnsi="Times New Roman"/>
                <w:sz w:val="22"/>
                <w:szCs w:val="22"/>
              </w:rPr>
              <w:t>0,220</w:t>
            </w: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c>
          <w:tcPr>
            <w:tcW w:w="1134" w:type="dxa"/>
            <w:tcBorders>
              <w:top w:val="single" w:sz="4" w:space="0" w:color="auto"/>
            </w:tcBorders>
            <w:shd w:val="clear" w:color="auto" w:fill="FFFFFF"/>
          </w:tcPr>
          <w:p w:rsidR="00B4001A" w:rsidRPr="00146A00" w:rsidRDefault="00B4001A" w:rsidP="000C0789">
            <w:pPr>
              <w:spacing w:before="90"/>
              <w:rPr>
                <w:rFonts w:ascii="Times New Roman" w:hAnsi="Times New Roman"/>
                <w:sz w:val="22"/>
                <w:szCs w:val="22"/>
              </w:rPr>
            </w:pPr>
          </w:p>
        </w:tc>
      </w:tr>
      <w:tr w:rsidR="00B4001A" w:rsidRPr="00CD3527" w:rsidTr="000C0789">
        <w:trPr>
          <w:trHeight w:val="20"/>
        </w:trPr>
        <w:tc>
          <w:tcPr>
            <w:tcW w:w="2552"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417"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p>
        </w:tc>
        <w:tc>
          <w:tcPr>
            <w:tcW w:w="1276" w:type="dxa"/>
            <w:tcBorders>
              <w:bottom w:val="single" w:sz="4"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7F7084" w:rsidRPr="00146A00">
              <w:rPr>
                <w:rFonts w:ascii="Times New Roman" w:hAnsi="Times New Roman"/>
                <w:sz w:val="22"/>
                <w:szCs w:val="22"/>
              </w:rPr>
              <w:t>505</w:t>
            </w:r>
            <w:r w:rsidRPr="00146A00">
              <w:rPr>
                <w:rFonts w:ascii="Times New Roman" w:hAnsi="Times New Roman"/>
                <w:sz w:val="22"/>
                <w:szCs w:val="22"/>
              </w:rPr>
              <w:t>)</w:t>
            </w: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c>
          <w:tcPr>
            <w:tcW w:w="1134" w:type="dxa"/>
            <w:tcBorders>
              <w:bottom w:val="single" w:sz="4" w:space="0" w:color="auto"/>
            </w:tcBorders>
            <w:shd w:val="clear" w:color="auto" w:fill="FFFFFF"/>
          </w:tcPr>
          <w:p w:rsidR="00B4001A" w:rsidRPr="00146A00" w:rsidRDefault="00B4001A" w:rsidP="000C0789">
            <w:pPr>
              <w:rPr>
                <w:rFonts w:ascii="Times New Roman" w:hAnsi="Times New Roman"/>
                <w:sz w:val="22"/>
                <w:szCs w:val="22"/>
              </w:rPr>
            </w:pPr>
          </w:p>
        </w:tc>
      </w:tr>
      <w:tr w:rsidR="00B4001A" w:rsidRPr="00CD3527" w:rsidTr="000C0789">
        <w:trPr>
          <w:trHeight w:val="357"/>
        </w:trPr>
        <w:tc>
          <w:tcPr>
            <w:tcW w:w="2552"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F201CD" w:rsidP="000C0789">
            <w:pPr>
              <w:spacing w:before="90"/>
              <w:rPr>
                <w:rFonts w:ascii="Times New Roman" w:hAnsi="Times New Roman"/>
                <w:sz w:val="22"/>
                <w:szCs w:val="22"/>
                <w:lang w:val="en-US"/>
              </w:rPr>
            </w:pPr>
            <w:r>
              <w:rPr>
                <w:rFonts w:ascii="Times New Roman" w:hAnsi="Times New Roman"/>
                <w:sz w:val="22"/>
                <w:szCs w:val="22"/>
                <w:lang w:val="en-US"/>
              </w:rPr>
              <w:t xml:space="preserve">HOV/Bus </w:t>
            </w:r>
            <w:r w:rsidR="00B4001A" w:rsidRPr="00146A00">
              <w:rPr>
                <w:rFonts w:ascii="Times New Roman" w:hAnsi="Times New Roman"/>
                <w:sz w:val="22"/>
                <w:szCs w:val="22"/>
                <w:lang w:val="en-US"/>
              </w:rPr>
              <w:t xml:space="preserve">lane access </w:t>
            </w:r>
          </w:p>
        </w:tc>
        <w:tc>
          <w:tcPr>
            <w:tcW w:w="1417"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lang w:val="en-US"/>
              </w:rPr>
            </w:pP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0B1F21" w:rsidP="000C0789">
            <w:pPr>
              <w:spacing w:before="90"/>
              <w:rPr>
                <w:rFonts w:ascii="Times New Roman" w:hAnsi="Times New Roman"/>
                <w:sz w:val="22"/>
                <w:szCs w:val="22"/>
              </w:rPr>
            </w:pPr>
            <w:r w:rsidRPr="00146A00">
              <w:rPr>
                <w:rFonts w:ascii="Times New Roman" w:hAnsi="Times New Roman"/>
                <w:sz w:val="22"/>
                <w:szCs w:val="22"/>
              </w:rPr>
              <w:t>0,891</w:t>
            </w:r>
            <w:r w:rsidR="00B4001A" w:rsidRPr="00146A00">
              <w:rPr>
                <w:rFonts w:ascii="Times New Roman" w:hAnsi="Times New Roman"/>
                <w:sz w:val="22"/>
                <w:szCs w:val="22"/>
              </w:rPr>
              <w:t>**</w:t>
            </w:r>
          </w:p>
        </w:tc>
        <w:tc>
          <w:tcPr>
            <w:tcW w:w="1276" w:type="dxa"/>
            <w:tcBorders>
              <w:top w:val="single" w:sz="4" w:space="0" w:color="auto"/>
            </w:tcBorders>
            <w:shd w:val="clear" w:color="auto" w:fill="FFFFFF"/>
            <w:noWrap/>
            <w:tcMar>
              <w:top w:w="15" w:type="dxa"/>
              <w:left w:w="105" w:type="dxa"/>
              <w:bottom w:w="15" w:type="dxa"/>
              <w:right w:w="105" w:type="dxa"/>
            </w:tcMar>
            <w:hideMark/>
          </w:tcPr>
          <w:p w:rsidR="00B4001A" w:rsidRPr="00146A00" w:rsidRDefault="007F7084" w:rsidP="000C0789">
            <w:pPr>
              <w:spacing w:before="90"/>
              <w:rPr>
                <w:rFonts w:ascii="Times New Roman" w:hAnsi="Times New Roman"/>
                <w:sz w:val="22"/>
                <w:szCs w:val="22"/>
              </w:rPr>
            </w:pPr>
            <w:r w:rsidRPr="00146A00">
              <w:rPr>
                <w:rFonts w:ascii="Times New Roman" w:hAnsi="Times New Roman"/>
                <w:sz w:val="22"/>
                <w:szCs w:val="22"/>
              </w:rPr>
              <w:t>0,555</w:t>
            </w:r>
          </w:p>
        </w:tc>
        <w:tc>
          <w:tcPr>
            <w:tcW w:w="1134" w:type="dxa"/>
            <w:tcBorders>
              <w:top w:val="single" w:sz="4"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0,824</w:t>
            </w:r>
            <w:r w:rsidR="00B4001A" w:rsidRPr="00146A00">
              <w:rPr>
                <w:rFonts w:ascii="Times New Roman" w:hAnsi="Times New Roman"/>
                <w:sz w:val="22"/>
                <w:szCs w:val="22"/>
              </w:rPr>
              <w:t>**</w:t>
            </w:r>
          </w:p>
        </w:tc>
        <w:tc>
          <w:tcPr>
            <w:tcW w:w="1134" w:type="dxa"/>
            <w:tcBorders>
              <w:top w:val="single" w:sz="4" w:space="0" w:color="auto"/>
            </w:tcBorders>
            <w:shd w:val="clear" w:color="auto" w:fill="FFFFFF"/>
          </w:tcPr>
          <w:p w:rsidR="00B4001A" w:rsidRPr="00146A00" w:rsidRDefault="00FA1718" w:rsidP="000C0789">
            <w:pPr>
              <w:spacing w:before="90"/>
              <w:rPr>
                <w:rFonts w:ascii="Times New Roman" w:hAnsi="Times New Roman"/>
                <w:sz w:val="22"/>
                <w:szCs w:val="22"/>
              </w:rPr>
            </w:pPr>
            <w:r w:rsidRPr="00146A00">
              <w:rPr>
                <w:rFonts w:ascii="Times New Roman" w:hAnsi="Times New Roman"/>
                <w:sz w:val="22"/>
                <w:szCs w:val="22"/>
              </w:rPr>
              <w:t>0,747</w:t>
            </w:r>
            <w:r w:rsidR="00B4001A" w:rsidRPr="00146A00">
              <w:rPr>
                <w:rFonts w:ascii="Times New Roman" w:hAnsi="Times New Roman"/>
                <w:sz w:val="22"/>
                <w:szCs w:val="22"/>
              </w:rPr>
              <w:t>*</w:t>
            </w:r>
          </w:p>
        </w:tc>
      </w:tr>
      <w:tr w:rsidR="00B4001A" w:rsidRPr="00CD3527" w:rsidTr="008A77FA">
        <w:trPr>
          <w:trHeight w:val="258"/>
        </w:trPr>
        <w:tc>
          <w:tcPr>
            <w:tcW w:w="2552" w:type="dxa"/>
            <w:tcBorders>
              <w:bottom w:val="single" w:sz="12"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lang w:val="en-US"/>
              </w:rPr>
            </w:pPr>
          </w:p>
        </w:tc>
        <w:tc>
          <w:tcPr>
            <w:tcW w:w="1417" w:type="dxa"/>
            <w:tcBorders>
              <w:bottom w:val="single" w:sz="12"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lang w:val="en-US"/>
              </w:rPr>
            </w:pPr>
          </w:p>
        </w:tc>
        <w:tc>
          <w:tcPr>
            <w:tcW w:w="1276" w:type="dxa"/>
            <w:tcBorders>
              <w:bottom w:val="single" w:sz="12"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0B1F21" w:rsidRPr="00146A00">
              <w:rPr>
                <w:rFonts w:ascii="Times New Roman" w:hAnsi="Times New Roman"/>
                <w:sz w:val="22"/>
                <w:szCs w:val="22"/>
              </w:rPr>
              <w:t>320</w:t>
            </w:r>
            <w:r w:rsidRPr="00146A00">
              <w:rPr>
                <w:rFonts w:ascii="Times New Roman" w:hAnsi="Times New Roman"/>
                <w:sz w:val="22"/>
                <w:szCs w:val="22"/>
              </w:rPr>
              <w:t>)</w:t>
            </w:r>
          </w:p>
        </w:tc>
        <w:tc>
          <w:tcPr>
            <w:tcW w:w="1276" w:type="dxa"/>
            <w:tcBorders>
              <w:bottom w:val="single" w:sz="12" w:space="0" w:color="auto"/>
            </w:tcBorders>
            <w:shd w:val="clear" w:color="auto" w:fill="FFFFFF"/>
            <w:noWrap/>
            <w:tcMar>
              <w:top w:w="15" w:type="dxa"/>
              <w:left w:w="105" w:type="dxa"/>
              <w:bottom w:w="15" w:type="dxa"/>
              <w:right w:w="105" w:type="dxa"/>
            </w:tcMar>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(0,4</w:t>
            </w:r>
            <w:r w:rsidR="007F7084" w:rsidRPr="00146A00">
              <w:rPr>
                <w:rFonts w:ascii="Times New Roman" w:hAnsi="Times New Roman"/>
                <w:sz w:val="22"/>
                <w:szCs w:val="22"/>
              </w:rPr>
              <w:t>55</w:t>
            </w:r>
            <w:r w:rsidRPr="00146A00">
              <w:rPr>
                <w:rFonts w:ascii="Times New Roman" w:hAnsi="Times New Roman"/>
                <w:sz w:val="22"/>
                <w:szCs w:val="22"/>
              </w:rPr>
              <w:t>)</w:t>
            </w:r>
          </w:p>
        </w:tc>
        <w:tc>
          <w:tcPr>
            <w:tcW w:w="1134" w:type="dxa"/>
            <w:tcBorders>
              <w:bottom w:val="single" w:sz="12"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(0,</w:t>
            </w:r>
            <w:r w:rsidR="0049390F" w:rsidRPr="00146A00">
              <w:rPr>
                <w:rFonts w:ascii="Times New Roman" w:hAnsi="Times New Roman"/>
                <w:sz w:val="22"/>
                <w:szCs w:val="22"/>
              </w:rPr>
              <w:t>307</w:t>
            </w:r>
            <w:r w:rsidRPr="00146A00">
              <w:rPr>
                <w:rFonts w:ascii="Times New Roman" w:hAnsi="Times New Roman"/>
                <w:sz w:val="22"/>
                <w:szCs w:val="22"/>
              </w:rPr>
              <w:t>)</w:t>
            </w:r>
          </w:p>
        </w:tc>
        <w:tc>
          <w:tcPr>
            <w:tcW w:w="1134" w:type="dxa"/>
            <w:tcBorders>
              <w:bottom w:val="single" w:sz="12" w:space="0" w:color="auto"/>
            </w:tcBorders>
            <w:shd w:val="clear" w:color="auto" w:fill="FFFFFF"/>
          </w:tcPr>
          <w:p w:rsidR="00B4001A" w:rsidRPr="00146A00" w:rsidRDefault="00B4001A" w:rsidP="000C0789">
            <w:pPr>
              <w:rPr>
                <w:rFonts w:ascii="Times New Roman" w:hAnsi="Times New Roman"/>
                <w:sz w:val="22"/>
                <w:szCs w:val="22"/>
              </w:rPr>
            </w:pPr>
            <w:r w:rsidRPr="00146A00">
              <w:rPr>
                <w:rFonts w:ascii="Times New Roman" w:hAnsi="Times New Roman"/>
                <w:sz w:val="22"/>
                <w:szCs w:val="22"/>
              </w:rPr>
              <w:t>(</w:t>
            </w:r>
            <w:r w:rsidR="00FA1718" w:rsidRPr="00146A00">
              <w:rPr>
                <w:rFonts w:ascii="Times New Roman" w:hAnsi="Times New Roman"/>
                <w:sz w:val="22"/>
                <w:szCs w:val="22"/>
              </w:rPr>
              <w:t>0,297</w:t>
            </w:r>
            <w:r w:rsidRPr="00146A00">
              <w:rPr>
                <w:rFonts w:ascii="Times New Roman" w:hAnsi="Times New Roman"/>
                <w:sz w:val="22"/>
                <w:szCs w:val="22"/>
              </w:rPr>
              <w:t>)</w:t>
            </w:r>
          </w:p>
        </w:tc>
      </w:tr>
      <w:tr w:rsidR="00B4001A" w:rsidRPr="000C0789" w:rsidTr="008A77FA">
        <w:trPr>
          <w:trHeight w:val="20"/>
        </w:trPr>
        <w:tc>
          <w:tcPr>
            <w:tcW w:w="2552" w:type="dxa"/>
            <w:tcBorders>
              <w:top w:val="single" w:sz="12" w:space="0" w:color="auto"/>
              <w:bottom w:val="single" w:sz="12" w:space="0" w:color="auto"/>
            </w:tcBorders>
            <w:shd w:val="clear" w:color="auto" w:fill="FFFFFF"/>
            <w:noWrap/>
            <w:tcMar>
              <w:top w:w="15" w:type="dxa"/>
              <w:left w:w="105" w:type="dxa"/>
              <w:bottom w:w="15" w:type="dxa"/>
              <w:right w:w="105" w:type="dxa"/>
            </w:tcMar>
          </w:tcPr>
          <w:p w:rsidR="00B4001A" w:rsidRPr="000C0789" w:rsidRDefault="00B4001A" w:rsidP="000C0789">
            <w:pPr>
              <w:spacing w:before="90"/>
              <w:rPr>
                <w:rFonts w:ascii="Times New Roman" w:hAnsi="Times New Roman"/>
                <w:b/>
                <w:sz w:val="22"/>
                <w:szCs w:val="22"/>
              </w:rPr>
            </w:pPr>
            <w:r w:rsidRPr="000C0789">
              <w:rPr>
                <w:rFonts w:ascii="Times New Roman" w:hAnsi="Times New Roman"/>
                <w:b/>
                <w:sz w:val="22"/>
                <w:szCs w:val="22"/>
              </w:rPr>
              <w:t xml:space="preserve">Summary </w:t>
            </w:r>
            <w:proofErr w:type="spellStart"/>
            <w:r w:rsidRPr="000C0789">
              <w:rPr>
                <w:rFonts w:ascii="Times New Roman" w:hAnsi="Times New Roman"/>
                <w:b/>
                <w:sz w:val="22"/>
                <w:szCs w:val="22"/>
              </w:rPr>
              <w:t>Statistics</w:t>
            </w:r>
            <w:proofErr w:type="spellEnd"/>
          </w:p>
        </w:tc>
        <w:tc>
          <w:tcPr>
            <w:tcW w:w="1417" w:type="dxa"/>
            <w:tcBorders>
              <w:top w:val="single" w:sz="12" w:space="0" w:color="auto"/>
              <w:bottom w:val="single" w:sz="12" w:space="0" w:color="auto"/>
            </w:tcBorders>
            <w:shd w:val="clear" w:color="auto" w:fill="FFFFFF"/>
            <w:noWrap/>
            <w:tcMar>
              <w:top w:w="15" w:type="dxa"/>
              <w:left w:w="105" w:type="dxa"/>
              <w:bottom w:w="15" w:type="dxa"/>
              <w:right w:w="105" w:type="dxa"/>
            </w:tcMar>
          </w:tcPr>
          <w:p w:rsidR="00B4001A" w:rsidRPr="000C0789" w:rsidRDefault="00B4001A" w:rsidP="000C0789">
            <w:pPr>
              <w:spacing w:before="90"/>
              <w:rPr>
                <w:rFonts w:ascii="Times New Roman" w:hAnsi="Times New Roman"/>
                <w:b/>
                <w:sz w:val="22"/>
                <w:szCs w:val="22"/>
                <w:lang w:val="en-US"/>
              </w:rPr>
            </w:pP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tcPr>
          <w:p w:rsidR="00B4001A" w:rsidRPr="000C0789" w:rsidRDefault="00B4001A" w:rsidP="000C0789">
            <w:pPr>
              <w:spacing w:before="90"/>
              <w:rPr>
                <w:rFonts w:ascii="Times New Roman" w:hAnsi="Times New Roman"/>
                <w:b/>
                <w:sz w:val="22"/>
                <w:szCs w:val="22"/>
              </w:rPr>
            </w:pP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tcPr>
          <w:p w:rsidR="00B4001A" w:rsidRPr="000C0789" w:rsidRDefault="00B4001A" w:rsidP="000C0789">
            <w:pPr>
              <w:spacing w:before="90"/>
              <w:rPr>
                <w:rFonts w:ascii="Times New Roman" w:hAnsi="Times New Roman"/>
                <w:b/>
                <w:sz w:val="22"/>
                <w:szCs w:val="22"/>
              </w:rPr>
            </w:pPr>
          </w:p>
        </w:tc>
        <w:tc>
          <w:tcPr>
            <w:tcW w:w="1134" w:type="dxa"/>
            <w:tcBorders>
              <w:top w:val="single" w:sz="12" w:space="0" w:color="auto"/>
              <w:bottom w:val="single" w:sz="12" w:space="0" w:color="auto"/>
            </w:tcBorders>
            <w:shd w:val="clear" w:color="auto" w:fill="FFFFFF"/>
          </w:tcPr>
          <w:p w:rsidR="00B4001A" w:rsidRPr="000C0789" w:rsidRDefault="00B4001A" w:rsidP="000C0789">
            <w:pPr>
              <w:spacing w:before="90"/>
              <w:rPr>
                <w:rFonts w:ascii="Times New Roman" w:hAnsi="Times New Roman"/>
                <w:b/>
                <w:sz w:val="22"/>
                <w:szCs w:val="22"/>
              </w:rPr>
            </w:pPr>
          </w:p>
        </w:tc>
        <w:tc>
          <w:tcPr>
            <w:tcW w:w="1134" w:type="dxa"/>
            <w:tcBorders>
              <w:top w:val="single" w:sz="12" w:space="0" w:color="auto"/>
              <w:bottom w:val="single" w:sz="12" w:space="0" w:color="auto"/>
            </w:tcBorders>
            <w:shd w:val="clear" w:color="auto" w:fill="FFFFFF"/>
          </w:tcPr>
          <w:p w:rsidR="00B4001A" w:rsidRPr="000C0789" w:rsidRDefault="00B4001A" w:rsidP="000C0789">
            <w:pPr>
              <w:spacing w:before="90"/>
              <w:rPr>
                <w:rFonts w:ascii="Times New Roman" w:hAnsi="Times New Roman"/>
                <w:b/>
                <w:sz w:val="22"/>
                <w:szCs w:val="22"/>
              </w:rPr>
            </w:pPr>
          </w:p>
        </w:tc>
      </w:tr>
      <w:tr w:rsidR="00B4001A" w:rsidRPr="00CD3527" w:rsidTr="008A77FA">
        <w:trPr>
          <w:trHeight w:val="20"/>
        </w:trPr>
        <w:tc>
          <w:tcPr>
            <w:tcW w:w="2552" w:type="dxa"/>
            <w:tcBorders>
              <w:top w:val="single" w:sz="12" w:space="0" w:color="auto"/>
            </w:tcBorders>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SER</w:t>
            </w:r>
          </w:p>
        </w:tc>
        <w:tc>
          <w:tcPr>
            <w:tcW w:w="1417" w:type="dxa"/>
            <w:tcBorders>
              <w:top w:val="single" w:sz="12" w:space="0" w:color="auto"/>
            </w:tcBorders>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1,40627</w:t>
            </w:r>
          </w:p>
        </w:tc>
        <w:tc>
          <w:tcPr>
            <w:tcW w:w="1276" w:type="dxa"/>
            <w:tcBorders>
              <w:top w:val="single" w:sz="12" w:space="0" w:color="auto"/>
            </w:tcBorders>
            <w:shd w:val="clear" w:color="auto" w:fill="FFFFFF"/>
            <w:noWrap/>
            <w:tcMar>
              <w:top w:w="15" w:type="dxa"/>
              <w:left w:w="105" w:type="dxa"/>
              <w:bottom w:w="15" w:type="dxa"/>
              <w:right w:w="105" w:type="dxa"/>
            </w:tcMar>
          </w:tcPr>
          <w:p w:rsidR="00B4001A" w:rsidRPr="00146A00" w:rsidRDefault="000B1F21" w:rsidP="000C0789">
            <w:pPr>
              <w:spacing w:before="90"/>
              <w:rPr>
                <w:rFonts w:ascii="Times New Roman" w:hAnsi="Times New Roman"/>
                <w:sz w:val="22"/>
                <w:szCs w:val="22"/>
              </w:rPr>
            </w:pPr>
            <w:r w:rsidRPr="00146A00">
              <w:rPr>
                <w:rFonts w:ascii="Times New Roman" w:hAnsi="Times New Roman"/>
                <w:sz w:val="22"/>
                <w:szCs w:val="22"/>
              </w:rPr>
              <w:t>1,36429</w:t>
            </w:r>
          </w:p>
        </w:tc>
        <w:tc>
          <w:tcPr>
            <w:tcW w:w="1276" w:type="dxa"/>
            <w:tcBorders>
              <w:top w:val="single" w:sz="12" w:space="0" w:color="auto"/>
            </w:tcBorders>
            <w:shd w:val="clear" w:color="auto" w:fill="FFFFFF"/>
            <w:noWrap/>
            <w:tcMar>
              <w:top w:w="15" w:type="dxa"/>
              <w:left w:w="105" w:type="dxa"/>
              <w:bottom w:w="15" w:type="dxa"/>
              <w:right w:w="105" w:type="dxa"/>
            </w:tcMar>
          </w:tcPr>
          <w:p w:rsidR="00B4001A" w:rsidRPr="00146A00" w:rsidRDefault="007F7084" w:rsidP="000C0789">
            <w:pPr>
              <w:spacing w:before="90"/>
              <w:rPr>
                <w:rFonts w:ascii="Times New Roman" w:hAnsi="Times New Roman"/>
                <w:sz w:val="22"/>
                <w:szCs w:val="22"/>
              </w:rPr>
            </w:pPr>
            <w:r w:rsidRPr="00146A00">
              <w:rPr>
                <w:rFonts w:ascii="Times New Roman" w:hAnsi="Times New Roman"/>
                <w:sz w:val="22"/>
                <w:szCs w:val="22"/>
              </w:rPr>
              <w:t>1,30302</w:t>
            </w:r>
          </w:p>
        </w:tc>
        <w:tc>
          <w:tcPr>
            <w:tcW w:w="1134" w:type="dxa"/>
            <w:tcBorders>
              <w:top w:val="single" w:sz="12" w:space="0" w:color="auto"/>
            </w:tcBorders>
            <w:shd w:val="clear" w:color="auto" w:fill="FFFFFF"/>
          </w:tcPr>
          <w:p w:rsidR="00B4001A" w:rsidRPr="00146A00" w:rsidRDefault="0049390F" w:rsidP="000C0789">
            <w:pPr>
              <w:spacing w:before="90"/>
              <w:rPr>
                <w:rFonts w:ascii="Times New Roman" w:hAnsi="Times New Roman"/>
                <w:sz w:val="22"/>
                <w:szCs w:val="22"/>
              </w:rPr>
            </w:pPr>
            <w:r w:rsidRPr="00146A00">
              <w:rPr>
                <w:rFonts w:ascii="Times New Roman" w:hAnsi="Times New Roman"/>
                <w:sz w:val="22"/>
                <w:szCs w:val="22"/>
              </w:rPr>
              <w:t>1,30378</w:t>
            </w:r>
          </w:p>
        </w:tc>
        <w:tc>
          <w:tcPr>
            <w:tcW w:w="1134" w:type="dxa"/>
            <w:tcBorders>
              <w:top w:val="single" w:sz="12" w:space="0" w:color="auto"/>
            </w:tcBorders>
            <w:shd w:val="clear" w:color="auto" w:fill="FFFFFF"/>
          </w:tcPr>
          <w:p w:rsidR="00B4001A" w:rsidRPr="00146A00" w:rsidRDefault="00FA1718" w:rsidP="000C0789">
            <w:pPr>
              <w:spacing w:before="90"/>
              <w:rPr>
                <w:rFonts w:ascii="Times New Roman" w:hAnsi="Times New Roman"/>
                <w:sz w:val="22"/>
                <w:szCs w:val="22"/>
              </w:rPr>
            </w:pPr>
            <w:r w:rsidRPr="00146A00">
              <w:rPr>
                <w:rFonts w:ascii="Times New Roman" w:hAnsi="Times New Roman"/>
                <w:sz w:val="22"/>
                <w:szCs w:val="22"/>
              </w:rPr>
              <w:t>1,30582</w:t>
            </w:r>
          </w:p>
        </w:tc>
      </w:tr>
      <w:tr w:rsidR="00B4001A" w:rsidRPr="00CD3527" w:rsidTr="008A77FA">
        <w:trPr>
          <w:trHeight w:val="20"/>
        </w:trPr>
        <w:tc>
          <w:tcPr>
            <w:tcW w:w="2552"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R-</w:t>
            </w:r>
            <w:proofErr w:type="spellStart"/>
            <w:r w:rsidRPr="00146A00">
              <w:rPr>
                <w:rFonts w:ascii="Times New Roman" w:hAnsi="Times New Roman"/>
                <w:sz w:val="22"/>
                <w:szCs w:val="22"/>
              </w:rPr>
              <w:t>sq</w:t>
            </w:r>
            <w:proofErr w:type="spellEnd"/>
          </w:p>
        </w:tc>
        <w:tc>
          <w:tcPr>
            <w:tcW w:w="1417"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53,93%</w:t>
            </w:r>
          </w:p>
        </w:tc>
        <w:tc>
          <w:tcPr>
            <w:tcW w:w="1276"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5</w:t>
            </w:r>
            <w:r w:rsidR="000B1F21" w:rsidRPr="00146A00">
              <w:rPr>
                <w:rFonts w:ascii="Times New Roman" w:hAnsi="Times New Roman"/>
                <w:sz w:val="22"/>
                <w:szCs w:val="22"/>
              </w:rPr>
              <w:t>7</w:t>
            </w:r>
            <w:r w:rsidRPr="00146A00">
              <w:rPr>
                <w:rFonts w:ascii="Times New Roman" w:hAnsi="Times New Roman"/>
                <w:sz w:val="22"/>
                <w:szCs w:val="22"/>
              </w:rPr>
              <w:t>,</w:t>
            </w:r>
            <w:r w:rsidR="000B1F21" w:rsidRPr="00146A00">
              <w:rPr>
                <w:rFonts w:ascii="Times New Roman" w:hAnsi="Times New Roman"/>
                <w:sz w:val="22"/>
                <w:szCs w:val="22"/>
              </w:rPr>
              <w:t>48</w:t>
            </w:r>
            <w:r w:rsidRPr="00146A00">
              <w:rPr>
                <w:rFonts w:ascii="Times New Roman" w:hAnsi="Times New Roman"/>
                <w:sz w:val="22"/>
                <w:szCs w:val="22"/>
              </w:rPr>
              <w:t>%</w:t>
            </w:r>
          </w:p>
        </w:tc>
        <w:tc>
          <w:tcPr>
            <w:tcW w:w="1276"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6</w:t>
            </w:r>
            <w:r w:rsidR="007F7084" w:rsidRPr="00146A00">
              <w:rPr>
                <w:rFonts w:ascii="Times New Roman" w:hAnsi="Times New Roman"/>
                <w:sz w:val="22"/>
                <w:szCs w:val="22"/>
              </w:rPr>
              <w:t>1</w:t>
            </w:r>
            <w:r w:rsidRPr="00146A00">
              <w:rPr>
                <w:rFonts w:ascii="Times New Roman" w:hAnsi="Times New Roman"/>
                <w:sz w:val="22"/>
                <w:szCs w:val="22"/>
              </w:rPr>
              <w:t>,</w:t>
            </w:r>
            <w:r w:rsidR="007F7084" w:rsidRPr="00146A00">
              <w:rPr>
                <w:rFonts w:ascii="Times New Roman" w:hAnsi="Times New Roman"/>
                <w:sz w:val="22"/>
                <w:szCs w:val="22"/>
              </w:rPr>
              <w:t>9</w:t>
            </w:r>
            <w:r w:rsidRPr="00146A00">
              <w:rPr>
                <w:rFonts w:ascii="Times New Roman" w:hAnsi="Times New Roman"/>
                <w:sz w:val="22"/>
                <w:szCs w:val="22"/>
              </w:rPr>
              <w:t>7%</w:t>
            </w:r>
          </w:p>
        </w:tc>
        <w:tc>
          <w:tcPr>
            <w:tcW w:w="1134" w:type="dxa"/>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6</w:t>
            </w:r>
            <w:r w:rsidR="0049390F" w:rsidRPr="00146A00">
              <w:rPr>
                <w:rFonts w:ascii="Times New Roman" w:hAnsi="Times New Roman"/>
                <w:sz w:val="22"/>
                <w:szCs w:val="22"/>
              </w:rPr>
              <w:t>1</w:t>
            </w:r>
            <w:r w:rsidRPr="00146A00">
              <w:rPr>
                <w:rFonts w:ascii="Times New Roman" w:hAnsi="Times New Roman"/>
                <w:sz w:val="22"/>
                <w:szCs w:val="22"/>
              </w:rPr>
              <w:t>,</w:t>
            </w:r>
            <w:r w:rsidR="0049390F" w:rsidRPr="00146A00">
              <w:rPr>
                <w:rFonts w:ascii="Times New Roman" w:hAnsi="Times New Roman"/>
                <w:sz w:val="22"/>
                <w:szCs w:val="22"/>
              </w:rPr>
              <w:t>55</w:t>
            </w:r>
            <w:r w:rsidRPr="00146A00">
              <w:rPr>
                <w:rFonts w:ascii="Times New Roman" w:hAnsi="Times New Roman"/>
                <w:sz w:val="22"/>
                <w:szCs w:val="22"/>
              </w:rPr>
              <w:t>%</w:t>
            </w:r>
          </w:p>
        </w:tc>
        <w:tc>
          <w:tcPr>
            <w:tcW w:w="1134" w:type="dxa"/>
            <w:shd w:val="clear" w:color="auto" w:fill="FFFFFF"/>
          </w:tcPr>
          <w:p w:rsidR="00B4001A" w:rsidRPr="00146A00" w:rsidRDefault="00FA1718" w:rsidP="000C0789">
            <w:pPr>
              <w:spacing w:before="90"/>
              <w:rPr>
                <w:rFonts w:ascii="Times New Roman" w:hAnsi="Times New Roman"/>
                <w:sz w:val="22"/>
                <w:szCs w:val="22"/>
              </w:rPr>
            </w:pPr>
            <w:r w:rsidRPr="00146A00">
              <w:rPr>
                <w:rFonts w:ascii="Times New Roman" w:hAnsi="Times New Roman"/>
                <w:sz w:val="22"/>
                <w:szCs w:val="22"/>
              </w:rPr>
              <w:t>60</w:t>
            </w:r>
            <w:r w:rsidR="00B4001A" w:rsidRPr="00146A00">
              <w:rPr>
                <w:rFonts w:ascii="Times New Roman" w:hAnsi="Times New Roman"/>
                <w:sz w:val="22"/>
                <w:szCs w:val="22"/>
              </w:rPr>
              <w:t>,</w:t>
            </w:r>
            <w:r w:rsidRPr="00146A00">
              <w:rPr>
                <w:rFonts w:ascii="Times New Roman" w:hAnsi="Times New Roman"/>
                <w:sz w:val="22"/>
                <w:szCs w:val="22"/>
              </w:rPr>
              <w:t>85</w:t>
            </w:r>
            <w:r w:rsidR="00B4001A" w:rsidRPr="00146A00">
              <w:rPr>
                <w:rFonts w:ascii="Times New Roman" w:hAnsi="Times New Roman"/>
                <w:sz w:val="22"/>
                <w:szCs w:val="22"/>
              </w:rPr>
              <w:t>%</w:t>
            </w:r>
          </w:p>
        </w:tc>
      </w:tr>
      <w:tr w:rsidR="00B4001A" w:rsidRPr="00CD3527" w:rsidTr="008A77FA">
        <w:trPr>
          <w:trHeight w:val="20"/>
        </w:trPr>
        <w:tc>
          <w:tcPr>
            <w:tcW w:w="2552"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R-</w:t>
            </w:r>
            <w:proofErr w:type="spellStart"/>
            <w:r w:rsidRPr="00146A00">
              <w:rPr>
                <w:rFonts w:ascii="Times New Roman" w:hAnsi="Times New Roman"/>
                <w:sz w:val="22"/>
                <w:szCs w:val="22"/>
              </w:rPr>
              <w:t>sq</w:t>
            </w:r>
            <w:proofErr w:type="spellEnd"/>
            <w:r w:rsidRPr="00146A00">
              <w:rPr>
                <w:rFonts w:ascii="Times New Roman" w:hAnsi="Times New Roman"/>
                <w:sz w:val="22"/>
                <w:szCs w:val="22"/>
              </w:rPr>
              <w:t>(</w:t>
            </w:r>
            <w:proofErr w:type="spellStart"/>
            <w:r w:rsidRPr="00146A00">
              <w:rPr>
                <w:rFonts w:ascii="Times New Roman" w:hAnsi="Times New Roman"/>
                <w:sz w:val="22"/>
                <w:szCs w:val="22"/>
              </w:rPr>
              <w:t>adj</w:t>
            </w:r>
            <w:proofErr w:type="spellEnd"/>
            <w:r w:rsidRPr="00146A00">
              <w:rPr>
                <w:rFonts w:ascii="Times New Roman" w:hAnsi="Times New Roman"/>
                <w:sz w:val="22"/>
                <w:szCs w:val="22"/>
              </w:rPr>
              <w:t>)</w:t>
            </w:r>
          </w:p>
        </w:tc>
        <w:tc>
          <w:tcPr>
            <w:tcW w:w="1417"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53,04%</w:t>
            </w:r>
          </w:p>
        </w:tc>
        <w:tc>
          <w:tcPr>
            <w:tcW w:w="1276"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5</w:t>
            </w:r>
            <w:r w:rsidR="000B1F21" w:rsidRPr="00146A00">
              <w:rPr>
                <w:rFonts w:ascii="Times New Roman" w:hAnsi="Times New Roman"/>
                <w:sz w:val="22"/>
                <w:szCs w:val="22"/>
              </w:rPr>
              <w:t>5</w:t>
            </w:r>
            <w:r w:rsidRPr="00146A00">
              <w:rPr>
                <w:rFonts w:ascii="Times New Roman" w:hAnsi="Times New Roman"/>
                <w:sz w:val="22"/>
                <w:szCs w:val="22"/>
              </w:rPr>
              <w:t>,</w:t>
            </w:r>
            <w:r w:rsidR="000B1F21" w:rsidRPr="00146A00">
              <w:rPr>
                <w:rFonts w:ascii="Times New Roman" w:hAnsi="Times New Roman"/>
                <w:sz w:val="22"/>
                <w:szCs w:val="22"/>
              </w:rPr>
              <w:t>80</w:t>
            </w:r>
            <w:r w:rsidRPr="00146A00">
              <w:rPr>
                <w:rFonts w:ascii="Times New Roman" w:hAnsi="Times New Roman"/>
                <w:sz w:val="22"/>
                <w:szCs w:val="22"/>
              </w:rPr>
              <w:t>%</w:t>
            </w:r>
          </w:p>
        </w:tc>
        <w:tc>
          <w:tcPr>
            <w:tcW w:w="1276" w:type="dxa"/>
            <w:shd w:val="clear" w:color="auto" w:fill="FFFFFF"/>
            <w:noWrap/>
            <w:tcMar>
              <w:top w:w="15" w:type="dxa"/>
              <w:left w:w="105" w:type="dxa"/>
              <w:bottom w:w="15" w:type="dxa"/>
              <w:right w:w="105" w:type="dxa"/>
            </w:tcMar>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5</w:t>
            </w:r>
            <w:r w:rsidR="007F7084" w:rsidRPr="00146A00">
              <w:rPr>
                <w:rFonts w:ascii="Times New Roman" w:hAnsi="Times New Roman"/>
                <w:sz w:val="22"/>
                <w:szCs w:val="22"/>
              </w:rPr>
              <w:t>9</w:t>
            </w:r>
            <w:r w:rsidRPr="00146A00">
              <w:rPr>
                <w:rFonts w:ascii="Times New Roman" w:hAnsi="Times New Roman"/>
                <w:sz w:val="22"/>
                <w:szCs w:val="22"/>
              </w:rPr>
              <w:t>,</w:t>
            </w:r>
            <w:r w:rsidR="007F7084" w:rsidRPr="00146A00">
              <w:rPr>
                <w:rFonts w:ascii="Times New Roman" w:hAnsi="Times New Roman"/>
                <w:sz w:val="22"/>
                <w:szCs w:val="22"/>
              </w:rPr>
              <w:t>68</w:t>
            </w:r>
            <w:r w:rsidRPr="00146A00">
              <w:rPr>
                <w:rFonts w:ascii="Times New Roman" w:hAnsi="Times New Roman"/>
                <w:sz w:val="22"/>
                <w:szCs w:val="22"/>
              </w:rPr>
              <w:t>%</w:t>
            </w:r>
          </w:p>
        </w:tc>
        <w:tc>
          <w:tcPr>
            <w:tcW w:w="1134" w:type="dxa"/>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5</w:t>
            </w:r>
            <w:r w:rsidR="0049390F" w:rsidRPr="00146A00">
              <w:rPr>
                <w:rFonts w:ascii="Times New Roman" w:hAnsi="Times New Roman"/>
                <w:sz w:val="22"/>
                <w:szCs w:val="22"/>
              </w:rPr>
              <w:t>9</w:t>
            </w:r>
            <w:r w:rsidRPr="00146A00">
              <w:rPr>
                <w:rFonts w:ascii="Times New Roman" w:hAnsi="Times New Roman"/>
                <w:sz w:val="22"/>
                <w:szCs w:val="22"/>
              </w:rPr>
              <w:t>,</w:t>
            </w:r>
            <w:r w:rsidR="0049390F" w:rsidRPr="00146A00">
              <w:rPr>
                <w:rFonts w:ascii="Times New Roman" w:hAnsi="Times New Roman"/>
                <w:sz w:val="22"/>
                <w:szCs w:val="22"/>
              </w:rPr>
              <w:t>63</w:t>
            </w:r>
            <w:r w:rsidRPr="00146A00">
              <w:rPr>
                <w:rFonts w:ascii="Times New Roman" w:hAnsi="Times New Roman"/>
                <w:sz w:val="22"/>
                <w:szCs w:val="22"/>
              </w:rPr>
              <w:t>%</w:t>
            </w:r>
          </w:p>
        </w:tc>
        <w:tc>
          <w:tcPr>
            <w:tcW w:w="1134" w:type="dxa"/>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5</w:t>
            </w:r>
            <w:r w:rsidR="00FA1718" w:rsidRPr="00146A00">
              <w:rPr>
                <w:rFonts w:ascii="Times New Roman" w:hAnsi="Times New Roman"/>
                <w:sz w:val="22"/>
                <w:szCs w:val="22"/>
              </w:rPr>
              <w:t>9</w:t>
            </w:r>
            <w:r w:rsidRPr="00146A00">
              <w:rPr>
                <w:rFonts w:ascii="Times New Roman" w:hAnsi="Times New Roman"/>
                <w:sz w:val="22"/>
                <w:szCs w:val="22"/>
              </w:rPr>
              <w:t>,</w:t>
            </w:r>
            <w:r w:rsidR="00FA1718" w:rsidRPr="00146A00">
              <w:rPr>
                <w:rFonts w:ascii="Times New Roman" w:hAnsi="Times New Roman"/>
                <w:sz w:val="22"/>
                <w:szCs w:val="22"/>
              </w:rPr>
              <w:t>51</w:t>
            </w:r>
            <w:r w:rsidRPr="00146A00">
              <w:rPr>
                <w:rFonts w:ascii="Times New Roman" w:hAnsi="Times New Roman"/>
                <w:sz w:val="22"/>
                <w:szCs w:val="22"/>
              </w:rPr>
              <w:t>%</w:t>
            </w:r>
          </w:p>
        </w:tc>
      </w:tr>
      <w:tr w:rsidR="00B4001A" w:rsidRPr="00CD3527" w:rsidTr="008A77FA">
        <w:trPr>
          <w:trHeight w:val="20"/>
        </w:trPr>
        <w:tc>
          <w:tcPr>
            <w:tcW w:w="2552" w:type="dxa"/>
            <w:tcBorders>
              <w:bottom w:val="single" w:sz="12"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n</w:t>
            </w:r>
          </w:p>
        </w:tc>
        <w:tc>
          <w:tcPr>
            <w:tcW w:w="1417" w:type="dxa"/>
            <w:tcBorders>
              <w:bottom w:val="single" w:sz="12"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212</w:t>
            </w:r>
          </w:p>
        </w:tc>
        <w:tc>
          <w:tcPr>
            <w:tcW w:w="1276" w:type="dxa"/>
            <w:tcBorders>
              <w:bottom w:val="single" w:sz="12"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212</w:t>
            </w:r>
          </w:p>
        </w:tc>
        <w:tc>
          <w:tcPr>
            <w:tcW w:w="1276" w:type="dxa"/>
            <w:tcBorders>
              <w:bottom w:val="single" w:sz="12" w:space="0" w:color="auto"/>
            </w:tcBorders>
            <w:shd w:val="clear" w:color="auto" w:fill="FFFFFF"/>
            <w:noWrap/>
            <w:tcMar>
              <w:top w:w="15" w:type="dxa"/>
              <w:left w:w="105" w:type="dxa"/>
              <w:bottom w:w="15" w:type="dxa"/>
              <w:right w:w="105" w:type="dxa"/>
            </w:tcMar>
            <w:hideMark/>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  212</w:t>
            </w:r>
          </w:p>
        </w:tc>
        <w:tc>
          <w:tcPr>
            <w:tcW w:w="1134" w:type="dxa"/>
            <w:tcBorders>
              <w:bottom w:val="single" w:sz="12"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212</w:t>
            </w:r>
          </w:p>
        </w:tc>
        <w:tc>
          <w:tcPr>
            <w:tcW w:w="1134" w:type="dxa"/>
            <w:tcBorders>
              <w:bottom w:val="single" w:sz="12" w:space="0" w:color="auto"/>
            </w:tcBorders>
            <w:shd w:val="clear" w:color="auto" w:fill="FFFFFF"/>
          </w:tcPr>
          <w:p w:rsidR="00B4001A" w:rsidRPr="00146A00" w:rsidRDefault="00B4001A" w:rsidP="000C0789">
            <w:pPr>
              <w:spacing w:before="90"/>
              <w:rPr>
                <w:rFonts w:ascii="Times New Roman" w:hAnsi="Times New Roman"/>
                <w:sz w:val="22"/>
                <w:szCs w:val="22"/>
              </w:rPr>
            </w:pPr>
            <w:r w:rsidRPr="00146A00">
              <w:rPr>
                <w:rFonts w:ascii="Times New Roman" w:hAnsi="Times New Roman"/>
                <w:sz w:val="22"/>
                <w:szCs w:val="22"/>
              </w:rPr>
              <w:t>212</w:t>
            </w:r>
          </w:p>
        </w:tc>
      </w:tr>
    </w:tbl>
    <w:bookmarkEnd w:id="39"/>
    <w:p w:rsidR="00B4001A" w:rsidRDefault="00436B6A" w:rsidP="00B4001A">
      <w:pPr>
        <w:shd w:val="clear" w:color="auto" w:fill="FFFFFF"/>
        <w:spacing w:after="75"/>
        <w:rPr>
          <w:rFonts w:ascii="Times New Roman" w:hAnsi="Times New Roman"/>
          <w:vanish/>
        </w:rPr>
      </w:pPr>
      <w:r w:rsidRPr="00451DEE">
        <w:rPr>
          <w:rFonts w:ascii="Times New Roman" w:hAnsi="Times New Roman"/>
          <w:b/>
          <w:vanish/>
        </w:rPr>
        <w:t>^</w:t>
      </w:r>
      <w:r w:rsidRPr="00451DEE">
        <w:rPr>
          <w:rFonts w:ascii="Times New Roman" w:hAnsi="Times New Roman"/>
          <w:vanish/>
        </w:rPr>
        <w:t xml:space="preserve"> P</w:t>
      </w:r>
      <w:r>
        <w:rPr>
          <w:rFonts w:ascii="Times New Roman" w:hAnsi="Times New Roman"/>
          <w:vanish/>
        </w:rPr>
        <w:t xml:space="preserve"> </w:t>
      </w:r>
      <w:r w:rsidRPr="00451DEE">
        <w:rPr>
          <w:rFonts w:ascii="Times New Roman" w:hAnsi="Times New Roman"/>
          <w:vanish/>
        </w:rPr>
        <w:t>&lt;</w:t>
      </w:r>
      <w:r>
        <w:rPr>
          <w:rFonts w:ascii="Times New Roman" w:hAnsi="Times New Roman"/>
          <w:vanish/>
        </w:rPr>
        <w:t xml:space="preserve"> </w:t>
      </w:r>
      <w:r w:rsidRPr="00451DEE">
        <w:rPr>
          <w:rFonts w:ascii="Times New Roman" w:hAnsi="Times New Roman"/>
          <w:vanish/>
        </w:rPr>
        <w:t>0</w:t>
      </w:r>
      <w:r>
        <w:rPr>
          <w:rFonts w:ascii="Times New Roman" w:hAnsi="Times New Roman"/>
          <w:vanish/>
        </w:rPr>
        <w:t>,</w:t>
      </w:r>
      <w:r w:rsidRPr="00451DEE">
        <w:rPr>
          <w:rFonts w:ascii="Times New Roman" w:hAnsi="Times New Roman"/>
          <w:vanish/>
        </w:rPr>
        <w:t>1; * P&lt;0</w:t>
      </w:r>
      <w:r>
        <w:rPr>
          <w:rFonts w:ascii="Times New Roman" w:hAnsi="Times New Roman"/>
          <w:vanish/>
        </w:rPr>
        <w:t>,</w:t>
      </w:r>
      <w:r w:rsidRPr="00451DEE">
        <w:rPr>
          <w:rFonts w:ascii="Times New Roman" w:hAnsi="Times New Roman"/>
          <w:vanish/>
        </w:rPr>
        <w:t>05; ** P&lt;0</w:t>
      </w:r>
      <w:r>
        <w:rPr>
          <w:rFonts w:ascii="Times New Roman" w:hAnsi="Times New Roman"/>
          <w:vanish/>
        </w:rPr>
        <w:t>,</w:t>
      </w:r>
      <w:r w:rsidRPr="00451DEE">
        <w:rPr>
          <w:rFonts w:ascii="Times New Roman" w:hAnsi="Times New Roman"/>
          <w:vanish/>
        </w:rPr>
        <w:t>01</w:t>
      </w:r>
    </w:p>
    <w:p w:rsidR="000C0789" w:rsidRDefault="000C0789" w:rsidP="00B4001A">
      <w:pPr>
        <w:shd w:val="clear" w:color="auto" w:fill="FFFFFF"/>
        <w:spacing w:after="75"/>
        <w:rPr>
          <w:rFonts w:ascii="Times New Roman" w:hAnsi="Times New Roman"/>
          <w:vanish/>
        </w:rPr>
      </w:pPr>
    </w:p>
    <w:p w:rsidR="000C0789" w:rsidRDefault="000C0789" w:rsidP="00B4001A">
      <w:pPr>
        <w:shd w:val="clear" w:color="auto" w:fill="FFFFFF"/>
        <w:spacing w:after="75"/>
        <w:rPr>
          <w:rFonts w:ascii="Times New Roman" w:hAnsi="Times New Roman"/>
          <w:vanish/>
        </w:rPr>
      </w:pPr>
    </w:p>
    <w:p w:rsidR="000C0789" w:rsidRPr="000C0789" w:rsidRDefault="000C0789" w:rsidP="00B4001A">
      <w:pPr>
        <w:shd w:val="clear" w:color="auto" w:fill="FFFFFF"/>
        <w:spacing w:after="75"/>
        <w:rPr>
          <w:rFonts w:ascii="Times New Roman" w:hAnsi="Times New Roman"/>
          <w:vanish/>
        </w:rPr>
      </w:pPr>
    </w:p>
    <w:tbl>
      <w:tblPr>
        <w:tblW w:w="8789" w:type="dxa"/>
        <w:tblLayout w:type="fixed"/>
        <w:tblCellMar>
          <w:top w:w="15" w:type="dxa"/>
          <w:left w:w="15" w:type="dxa"/>
          <w:bottom w:w="15" w:type="dxa"/>
          <w:right w:w="15" w:type="dxa"/>
        </w:tblCellMar>
        <w:tblLook w:val="04A0" w:firstRow="1" w:lastRow="0" w:firstColumn="1" w:lastColumn="0" w:noHBand="0" w:noVBand="1"/>
      </w:tblPr>
      <w:tblGrid>
        <w:gridCol w:w="2410"/>
        <w:gridCol w:w="1276"/>
        <w:gridCol w:w="1276"/>
        <w:gridCol w:w="1275"/>
        <w:gridCol w:w="1276"/>
        <w:gridCol w:w="1276"/>
      </w:tblGrid>
      <w:tr w:rsidR="00B4001A" w:rsidRPr="000C0789" w:rsidTr="000C0789">
        <w:tc>
          <w:tcPr>
            <w:tcW w:w="2410"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B4001A" w:rsidRPr="000C0789" w:rsidRDefault="00B4001A" w:rsidP="00B4001A">
            <w:pPr>
              <w:spacing w:before="90"/>
              <w:rPr>
                <w:rFonts w:ascii="Times New Roman" w:hAnsi="Times New Roman"/>
                <w:b/>
                <w:sz w:val="22"/>
                <w:szCs w:val="22"/>
              </w:rPr>
            </w:pPr>
            <w:bookmarkStart w:id="40" w:name="_Hlk535141603"/>
            <w:r w:rsidRPr="000C0789">
              <w:rPr>
                <w:rFonts w:ascii="Times New Roman" w:hAnsi="Times New Roman"/>
                <w:b/>
                <w:sz w:val="22"/>
                <w:szCs w:val="22"/>
              </w:rPr>
              <w:lastRenderedPageBreak/>
              <w:t>Regressor \ VIF</w:t>
            </w:r>
          </w:p>
        </w:tc>
        <w:tc>
          <w:tcPr>
            <w:tcW w:w="1276" w:type="dxa"/>
            <w:tcBorders>
              <w:top w:val="single" w:sz="12" w:space="0" w:color="auto"/>
              <w:bottom w:val="single" w:sz="12" w:space="0" w:color="auto"/>
            </w:tcBorders>
            <w:shd w:val="clear" w:color="auto" w:fill="FFFFFF"/>
            <w:noWrap/>
            <w:tcMar>
              <w:top w:w="15" w:type="dxa"/>
              <w:left w:w="105" w:type="dxa"/>
              <w:bottom w:w="15" w:type="dxa"/>
              <w:right w:w="105" w:type="dxa"/>
            </w:tcMar>
            <w:vAlign w:val="bottom"/>
            <w:hideMark/>
          </w:tcPr>
          <w:p w:rsidR="00B4001A" w:rsidRPr="000C0789" w:rsidRDefault="00B4001A" w:rsidP="00B4001A">
            <w:pPr>
              <w:spacing w:before="90"/>
              <w:jc w:val="right"/>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1---</w:t>
            </w:r>
          </w:p>
        </w:tc>
        <w:tc>
          <w:tcPr>
            <w:tcW w:w="1276" w:type="dxa"/>
            <w:tcBorders>
              <w:top w:val="single" w:sz="12" w:space="0" w:color="auto"/>
              <w:bottom w:val="single" w:sz="12" w:space="0" w:color="auto"/>
            </w:tcBorders>
            <w:shd w:val="clear" w:color="auto" w:fill="FFFFFF"/>
            <w:vAlign w:val="bottom"/>
          </w:tcPr>
          <w:p w:rsidR="00B4001A" w:rsidRPr="000C0789" w:rsidRDefault="00B4001A" w:rsidP="00B4001A">
            <w:pPr>
              <w:spacing w:before="90"/>
              <w:jc w:val="right"/>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2---</w:t>
            </w:r>
          </w:p>
        </w:tc>
        <w:tc>
          <w:tcPr>
            <w:tcW w:w="1275" w:type="dxa"/>
            <w:tcBorders>
              <w:top w:val="single" w:sz="12" w:space="0" w:color="auto"/>
              <w:bottom w:val="single" w:sz="12" w:space="0" w:color="auto"/>
            </w:tcBorders>
            <w:shd w:val="clear" w:color="auto" w:fill="FFFFFF"/>
            <w:vAlign w:val="bottom"/>
          </w:tcPr>
          <w:p w:rsidR="00B4001A" w:rsidRPr="000C0789" w:rsidRDefault="00B4001A" w:rsidP="00B4001A">
            <w:pPr>
              <w:spacing w:before="90"/>
              <w:jc w:val="right"/>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3---</w:t>
            </w:r>
          </w:p>
        </w:tc>
        <w:tc>
          <w:tcPr>
            <w:tcW w:w="1276" w:type="dxa"/>
            <w:tcBorders>
              <w:top w:val="single" w:sz="12" w:space="0" w:color="auto"/>
              <w:bottom w:val="single" w:sz="12" w:space="0" w:color="auto"/>
            </w:tcBorders>
            <w:shd w:val="clear" w:color="auto" w:fill="FFFFFF"/>
            <w:vAlign w:val="bottom"/>
          </w:tcPr>
          <w:p w:rsidR="00B4001A" w:rsidRPr="000C0789" w:rsidRDefault="00B4001A" w:rsidP="00B4001A">
            <w:pPr>
              <w:spacing w:before="90"/>
              <w:jc w:val="right"/>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4---</w:t>
            </w:r>
          </w:p>
        </w:tc>
        <w:tc>
          <w:tcPr>
            <w:tcW w:w="1276" w:type="dxa"/>
            <w:tcBorders>
              <w:top w:val="single" w:sz="12" w:space="0" w:color="auto"/>
              <w:bottom w:val="single" w:sz="12" w:space="0" w:color="auto"/>
            </w:tcBorders>
            <w:shd w:val="clear" w:color="auto" w:fill="FFFFFF"/>
            <w:vAlign w:val="bottom"/>
          </w:tcPr>
          <w:p w:rsidR="00B4001A" w:rsidRPr="000C0789" w:rsidRDefault="00B4001A" w:rsidP="00B4001A">
            <w:pPr>
              <w:spacing w:before="90"/>
              <w:jc w:val="right"/>
              <w:rPr>
                <w:rFonts w:ascii="Times New Roman" w:hAnsi="Times New Roman"/>
                <w:b/>
                <w:sz w:val="22"/>
                <w:szCs w:val="22"/>
              </w:rPr>
            </w:pPr>
            <w:r w:rsidRPr="000C0789">
              <w:rPr>
                <w:rFonts w:ascii="Times New Roman" w:hAnsi="Times New Roman"/>
                <w:b/>
                <w:sz w:val="22"/>
                <w:szCs w:val="22"/>
              </w:rPr>
              <w:t>---</w:t>
            </w:r>
            <w:proofErr w:type="spellStart"/>
            <w:r w:rsidRPr="000C0789">
              <w:rPr>
                <w:rFonts w:ascii="Times New Roman" w:hAnsi="Times New Roman"/>
                <w:b/>
                <w:sz w:val="22"/>
                <w:szCs w:val="22"/>
              </w:rPr>
              <w:t>Step</w:t>
            </w:r>
            <w:proofErr w:type="spellEnd"/>
            <w:r w:rsidRPr="000C0789">
              <w:rPr>
                <w:rFonts w:ascii="Times New Roman" w:hAnsi="Times New Roman"/>
                <w:b/>
                <w:sz w:val="22"/>
                <w:szCs w:val="22"/>
              </w:rPr>
              <w:t xml:space="preserve"> 5---</w:t>
            </w:r>
          </w:p>
        </w:tc>
      </w:tr>
      <w:tr w:rsidR="0049390F" w:rsidRPr="000C0789" w:rsidTr="000C0789">
        <w:tc>
          <w:tcPr>
            <w:tcW w:w="2410"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49390F" w:rsidRPr="000C0789" w:rsidRDefault="0049390F" w:rsidP="0049390F">
            <w:pPr>
              <w:spacing w:before="90"/>
              <w:rPr>
                <w:rFonts w:ascii="Times New Roman" w:hAnsi="Times New Roman"/>
                <w:sz w:val="22"/>
                <w:szCs w:val="22"/>
              </w:rPr>
            </w:pPr>
            <w:r w:rsidRPr="000C0789">
              <w:rPr>
                <w:rFonts w:ascii="Times New Roman" w:hAnsi="Times New Roman"/>
                <w:sz w:val="22"/>
                <w:szCs w:val="22"/>
              </w:rPr>
              <w:t xml:space="preserve">Government </w:t>
            </w:r>
            <w:proofErr w:type="spellStart"/>
            <w:r w:rsidRPr="000C0789">
              <w:rPr>
                <w:rFonts w:ascii="Times New Roman" w:hAnsi="Times New Roman"/>
                <w:sz w:val="22"/>
                <w:szCs w:val="22"/>
              </w:rPr>
              <w:t>grant</w:t>
            </w:r>
            <w:proofErr w:type="spellEnd"/>
            <w:r w:rsidRPr="000C0789">
              <w:rPr>
                <w:rFonts w:ascii="Times New Roman" w:hAnsi="Times New Roman"/>
                <w:sz w:val="22"/>
                <w:szCs w:val="22"/>
              </w:rPr>
              <w:t xml:space="preserve"> </w:t>
            </w:r>
          </w:p>
        </w:tc>
        <w:tc>
          <w:tcPr>
            <w:tcW w:w="1276" w:type="dxa"/>
            <w:tcBorders>
              <w:top w:val="single" w:sz="12" w:space="0" w:color="auto"/>
              <w:bottom w:val="single" w:sz="4" w:space="0" w:color="auto"/>
            </w:tcBorders>
            <w:shd w:val="clear" w:color="auto" w:fill="FFFFFF"/>
            <w:noWrap/>
            <w:tcMar>
              <w:top w:w="15" w:type="dxa"/>
              <w:left w:w="105" w:type="dxa"/>
              <w:bottom w:w="15" w:type="dxa"/>
              <w:right w:w="105" w:type="dxa"/>
            </w:tcMar>
            <w:hideMark/>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1,75</w:t>
            </w:r>
          </w:p>
        </w:tc>
        <w:tc>
          <w:tcPr>
            <w:tcW w:w="1276" w:type="dxa"/>
            <w:tcBorders>
              <w:top w:val="single" w:sz="12"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1,94</w:t>
            </w:r>
          </w:p>
        </w:tc>
        <w:tc>
          <w:tcPr>
            <w:tcW w:w="1275" w:type="dxa"/>
            <w:tcBorders>
              <w:top w:val="single" w:sz="12"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2,87</w:t>
            </w:r>
          </w:p>
        </w:tc>
        <w:tc>
          <w:tcPr>
            <w:tcW w:w="1276" w:type="dxa"/>
            <w:tcBorders>
              <w:top w:val="single" w:sz="12"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2,56</w:t>
            </w:r>
          </w:p>
        </w:tc>
        <w:tc>
          <w:tcPr>
            <w:tcW w:w="1276" w:type="dxa"/>
            <w:tcBorders>
              <w:top w:val="single" w:sz="12"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p>
        </w:tc>
      </w:tr>
      <w:tr w:rsidR="00FA1718"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FA1718" w:rsidRPr="000C0789" w:rsidRDefault="00FA1718" w:rsidP="00FA1718">
            <w:pPr>
              <w:spacing w:before="90"/>
              <w:rPr>
                <w:rFonts w:ascii="Times New Roman" w:hAnsi="Times New Roman"/>
                <w:sz w:val="22"/>
                <w:szCs w:val="22"/>
              </w:rPr>
            </w:pPr>
            <w:proofErr w:type="spellStart"/>
            <w:r w:rsidRPr="000C0789">
              <w:rPr>
                <w:rFonts w:ascii="Times New Roman" w:hAnsi="Times New Roman"/>
                <w:sz w:val="22"/>
                <w:szCs w:val="22"/>
              </w:rPr>
              <w:t>ln</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dr</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range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3,40</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1,77</w:t>
            </w:r>
          </w:p>
        </w:tc>
        <w:tc>
          <w:tcPr>
            <w:tcW w:w="1275"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1,88</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1,81</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1,77</w:t>
            </w:r>
          </w:p>
        </w:tc>
      </w:tr>
      <w:tr w:rsidR="00FA1718"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FA1718" w:rsidRPr="000C0789" w:rsidRDefault="00FA1718" w:rsidP="00FA1718">
            <w:pPr>
              <w:spacing w:before="90"/>
              <w:rPr>
                <w:rFonts w:ascii="Times New Roman" w:hAnsi="Times New Roman"/>
                <w:sz w:val="22"/>
                <w:szCs w:val="22"/>
              </w:rPr>
            </w:pPr>
            <w:proofErr w:type="spellStart"/>
            <w:r w:rsidRPr="000C0789">
              <w:rPr>
                <w:rFonts w:ascii="Times New Roman" w:hAnsi="Times New Roman"/>
                <w:sz w:val="22"/>
                <w:szCs w:val="22"/>
              </w:rPr>
              <w:t>ln</w:t>
            </w:r>
            <w:proofErr w:type="spellEnd"/>
            <w:r w:rsidRPr="000C0789">
              <w:rPr>
                <w:rFonts w:ascii="Times New Roman" w:hAnsi="Times New Roman"/>
                <w:sz w:val="22"/>
                <w:szCs w:val="22"/>
              </w:rPr>
              <w:t xml:space="preserve"> fast </w:t>
            </w:r>
            <w:proofErr w:type="spellStart"/>
            <w:r w:rsidRPr="000C0789">
              <w:rPr>
                <w:rFonts w:ascii="Times New Roman" w:hAnsi="Times New Roman"/>
                <w:sz w:val="22"/>
                <w:szCs w:val="22"/>
              </w:rPr>
              <w:t>ch</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st-ns</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1,88</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2,82</w:t>
            </w:r>
          </w:p>
        </w:tc>
        <w:tc>
          <w:tcPr>
            <w:tcW w:w="1275"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3,46</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3,09</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2,25</w:t>
            </w:r>
          </w:p>
        </w:tc>
      </w:tr>
      <w:tr w:rsidR="007F7084"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7F7084" w:rsidRPr="000C0789" w:rsidRDefault="007F7084" w:rsidP="007F7084">
            <w:pPr>
              <w:spacing w:before="90"/>
              <w:rPr>
                <w:rFonts w:ascii="Times New Roman" w:hAnsi="Times New Roman"/>
                <w:sz w:val="22"/>
                <w:szCs w:val="22"/>
              </w:rPr>
            </w:pPr>
            <w:proofErr w:type="spellStart"/>
            <w:r w:rsidRPr="000C0789">
              <w:rPr>
                <w:rFonts w:ascii="Times New Roman" w:hAnsi="Times New Roman"/>
                <w:sz w:val="22"/>
                <w:szCs w:val="22"/>
              </w:rPr>
              <w:t>ln</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price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7F7084" w:rsidRPr="000C0789" w:rsidRDefault="007F7084" w:rsidP="000C0789">
            <w:pPr>
              <w:spacing w:before="90"/>
              <w:jc w:val="center"/>
              <w:rPr>
                <w:rFonts w:ascii="Times New Roman" w:hAnsi="Times New Roman"/>
                <w:sz w:val="22"/>
                <w:szCs w:val="22"/>
              </w:rPr>
            </w:pPr>
            <w:r w:rsidRPr="000C0789">
              <w:rPr>
                <w:rFonts w:ascii="Times New Roman" w:hAnsi="Times New Roman"/>
                <w:sz w:val="22"/>
                <w:szCs w:val="22"/>
              </w:rPr>
              <w:t>3,48</w:t>
            </w: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c>
          <w:tcPr>
            <w:tcW w:w="1275"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r>
      <w:tr w:rsidR="0049390F"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49390F" w:rsidRPr="000C0789" w:rsidRDefault="0049390F" w:rsidP="0049390F">
            <w:pPr>
              <w:spacing w:before="90"/>
              <w:rPr>
                <w:rFonts w:ascii="Times New Roman" w:hAnsi="Times New Roman"/>
                <w:sz w:val="22"/>
                <w:szCs w:val="22"/>
              </w:rPr>
            </w:pPr>
            <w:r w:rsidRPr="000C0789">
              <w:rPr>
                <w:rFonts w:ascii="Times New Roman" w:hAnsi="Times New Roman"/>
                <w:sz w:val="22"/>
                <w:szCs w:val="22"/>
              </w:rPr>
              <w:t xml:space="preserve">VAT </w:t>
            </w:r>
            <w:proofErr w:type="spellStart"/>
            <w:r w:rsidRPr="000C0789">
              <w:rPr>
                <w:rFonts w:ascii="Times New Roman" w:hAnsi="Times New Roman"/>
                <w:sz w:val="22"/>
                <w:szCs w:val="22"/>
              </w:rPr>
              <w:t>Amount</w:t>
            </w:r>
            <w:proofErr w:type="spellEnd"/>
            <w:r w:rsidRPr="000C0789">
              <w:rPr>
                <w:rFonts w:ascii="Times New Roman" w:hAnsi="Times New Roman"/>
                <w:sz w:val="22"/>
                <w:szCs w:val="22"/>
              </w:rPr>
              <w:t xml:space="preserve"> </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9390F" w:rsidRPr="000C0789" w:rsidRDefault="0049390F" w:rsidP="000C0789">
            <w:pPr>
              <w:spacing w:before="90"/>
              <w:jc w:val="center"/>
              <w:rPr>
                <w:rFonts w:ascii="Times New Roman" w:hAnsi="Times New Roman"/>
                <w:sz w:val="22"/>
                <w:szCs w:val="22"/>
                <w:lang w:val="en-US"/>
              </w:rPr>
            </w:pP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2,10</w:t>
            </w:r>
          </w:p>
        </w:tc>
        <w:tc>
          <w:tcPr>
            <w:tcW w:w="1275"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2,29</w:t>
            </w: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2,25</w:t>
            </w:r>
          </w:p>
        </w:tc>
        <w:tc>
          <w:tcPr>
            <w:tcW w:w="1276" w:type="dxa"/>
            <w:tcBorders>
              <w:top w:val="single" w:sz="4" w:space="0" w:color="auto"/>
              <w:bottom w:val="single" w:sz="4" w:space="0" w:color="auto"/>
            </w:tcBorders>
            <w:shd w:val="clear" w:color="auto" w:fill="FFFFFF"/>
          </w:tcPr>
          <w:p w:rsidR="0049390F" w:rsidRPr="000C0789" w:rsidRDefault="00FA1718" w:rsidP="000C0789">
            <w:pPr>
              <w:spacing w:before="90"/>
              <w:jc w:val="center"/>
              <w:rPr>
                <w:rFonts w:ascii="Times New Roman" w:hAnsi="Times New Roman"/>
                <w:sz w:val="22"/>
                <w:szCs w:val="22"/>
                <w:lang w:val="en-US"/>
              </w:rPr>
            </w:pPr>
            <w:r w:rsidRPr="000C0789">
              <w:rPr>
                <w:rFonts w:ascii="Times New Roman" w:hAnsi="Times New Roman"/>
                <w:sz w:val="22"/>
                <w:szCs w:val="22"/>
              </w:rPr>
              <w:t>2,21</w:t>
            </w:r>
          </w:p>
        </w:tc>
      </w:tr>
      <w:tr w:rsidR="0049390F"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hideMark/>
          </w:tcPr>
          <w:p w:rsidR="0049390F" w:rsidRPr="000C0789" w:rsidRDefault="0049390F" w:rsidP="0049390F">
            <w:pPr>
              <w:spacing w:before="90"/>
              <w:rPr>
                <w:rFonts w:ascii="Times New Roman" w:hAnsi="Times New Roman"/>
                <w:sz w:val="22"/>
                <w:szCs w:val="22"/>
              </w:rPr>
            </w:pPr>
            <w:proofErr w:type="spellStart"/>
            <w:r w:rsidRPr="000C0789">
              <w:rPr>
                <w:rFonts w:ascii="Times New Roman" w:hAnsi="Times New Roman"/>
                <w:sz w:val="22"/>
                <w:szCs w:val="22"/>
              </w:rPr>
              <w:t>Reduction</w:t>
            </w:r>
            <w:proofErr w:type="spellEnd"/>
            <w:r w:rsidRPr="000C0789">
              <w:rPr>
                <w:rFonts w:ascii="Times New Roman" w:hAnsi="Times New Roman"/>
                <w:sz w:val="22"/>
                <w:szCs w:val="22"/>
              </w:rPr>
              <w:t xml:space="preserve"> (annual </w:t>
            </w:r>
            <w:proofErr w:type="spellStart"/>
            <w:r w:rsidRPr="000C0789">
              <w:rPr>
                <w:rFonts w:ascii="Times New Roman" w:hAnsi="Times New Roman"/>
                <w:sz w:val="22"/>
                <w:szCs w:val="22"/>
              </w:rPr>
              <w:t>tax</w:t>
            </w:r>
            <w:proofErr w:type="spellEnd"/>
            <w:r w:rsidRPr="000C0789">
              <w:rPr>
                <w:rFonts w:ascii="Times New Roman" w:hAnsi="Times New Roman"/>
                <w:sz w:val="22"/>
                <w:szCs w:val="22"/>
              </w:rPr>
              <w:t>)</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9390F" w:rsidRPr="000C0789" w:rsidRDefault="0049390F"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1,65</w:t>
            </w:r>
          </w:p>
        </w:tc>
        <w:tc>
          <w:tcPr>
            <w:tcW w:w="1275"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1,79</w:t>
            </w: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1,76</w:t>
            </w: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p>
        </w:tc>
      </w:tr>
      <w:tr w:rsidR="0049390F"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tcPr>
          <w:p w:rsidR="0049390F" w:rsidRPr="000C0789" w:rsidRDefault="0049390F" w:rsidP="0049390F">
            <w:pPr>
              <w:spacing w:before="90"/>
              <w:rPr>
                <w:rFonts w:ascii="Times New Roman" w:hAnsi="Times New Roman"/>
                <w:sz w:val="22"/>
                <w:szCs w:val="22"/>
              </w:rPr>
            </w:pPr>
            <w:proofErr w:type="spellStart"/>
            <w:r w:rsidRPr="000C0789">
              <w:rPr>
                <w:rFonts w:ascii="Times New Roman" w:hAnsi="Times New Roman"/>
                <w:sz w:val="22"/>
                <w:szCs w:val="22"/>
              </w:rPr>
              <w:t>Reduction</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purchase</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tax</w:t>
            </w:r>
            <w:proofErr w:type="spellEnd"/>
            <w:r w:rsidRPr="000C0789">
              <w:rPr>
                <w:rFonts w:ascii="Times New Roman" w:hAnsi="Times New Roman"/>
                <w:sz w:val="22"/>
                <w:szCs w:val="22"/>
              </w:rPr>
              <w:t>)</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49390F" w:rsidRPr="000C0789" w:rsidRDefault="0049390F"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1,69</w:t>
            </w:r>
          </w:p>
        </w:tc>
        <w:tc>
          <w:tcPr>
            <w:tcW w:w="1275"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1,96</w:t>
            </w: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r w:rsidRPr="000C0789">
              <w:rPr>
                <w:rFonts w:ascii="Times New Roman" w:hAnsi="Times New Roman"/>
                <w:sz w:val="22"/>
                <w:szCs w:val="22"/>
              </w:rPr>
              <w:t>1,95</w:t>
            </w:r>
          </w:p>
        </w:tc>
        <w:tc>
          <w:tcPr>
            <w:tcW w:w="1276" w:type="dxa"/>
            <w:tcBorders>
              <w:top w:val="single" w:sz="4" w:space="0" w:color="auto"/>
              <w:bottom w:val="single" w:sz="4" w:space="0" w:color="auto"/>
            </w:tcBorders>
            <w:shd w:val="clear" w:color="auto" w:fill="FFFFFF"/>
          </w:tcPr>
          <w:p w:rsidR="0049390F" w:rsidRPr="000C0789" w:rsidRDefault="0049390F" w:rsidP="000C0789">
            <w:pPr>
              <w:spacing w:before="90"/>
              <w:jc w:val="center"/>
              <w:rPr>
                <w:rFonts w:ascii="Times New Roman" w:hAnsi="Times New Roman"/>
                <w:sz w:val="22"/>
                <w:szCs w:val="22"/>
              </w:rPr>
            </w:pPr>
          </w:p>
        </w:tc>
      </w:tr>
      <w:tr w:rsidR="00FA1718"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FA1718">
            <w:pPr>
              <w:spacing w:before="90"/>
              <w:rPr>
                <w:rFonts w:ascii="Times New Roman" w:hAnsi="Times New Roman"/>
                <w:sz w:val="22"/>
                <w:szCs w:val="22"/>
              </w:rPr>
            </w:pPr>
            <w:proofErr w:type="spellStart"/>
            <w:r w:rsidRPr="000C0789">
              <w:rPr>
                <w:rFonts w:ascii="Times New Roman" w:hAnsi="Times New Roman"/>
                <w:sz w:val="22"/>
                <w:szCs w:val="22"/>
              </w:rPr>
              <w:t>Reduction</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company</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car</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tax</w:t>
            </w:r>
            <w:proofErr w:type="spellEnd"/>
            <w:r w:rsidRPr="000C0789">
              <w:rPr>
                <w:rFonts w:ascii="Times New Roman" w:hAnsi="Times New Roman"/>
                <w:sz w:val="22"/>
                <w:szCs w:val="22"/>
              </w:rPr>
              <w:t>)</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1,43</w:t>
            </w:r>
          </w:p>
        </w:tc>
        <w:tc>
          <w:tcPr>
            <w:tcW w:w="1275"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2,32</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1,99</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1,37</w:t>
            </w:r>
          </w:p>
        </w:tc>
      </w:tr>
      <w:tr w:rsidR="00FA1718"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FA1718">
            <w:pPr>
              <w:spacing w:before="90"/>
              <w:rPr>
                <w:rFonts w:ascii="Times New Roman" w:hAnsi="Times New Roman"/>
                <w:sz w:val="22"/>
                <w:szCs w:val="22"/>
              </w:rPr>
            </w:pPr>
            <w:r w:rsidRPr="000C0789">
              <w:rPr>
                <w:rFonts w:ascii="Times New Roman" w:hAnsi="Times New Roman"/>
                <w:sz w:val="22"/>
                <w:szCs w:val="22"/>
              </w:rPr>
              <w:t xml:space="preserve">Urban </w:t>
            </w:r>
            <w:proofErr w:type="spellStart"/>
            <w:r w:rsidRPr="000C0789">
              <w:rPr>
                <w:rFonts w:ascii="Times New Roman" w:hAnsi="Times New Roman"/>
                <w:sz w:val="22"/>
                <w:szCs w:val="22"/>
              </w:rPr>
              <w:t>density</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p>
        </w:tc>
        <w:tc>
          <w:tcPr>
            <w:tcW w:w="1275"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3,28</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2,82</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2,15</w:t>
            </w:r>
          </w:p>
        </w:tc>
      </w:tr>
      <w:tr w:rsidR="00FA1718"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FA1718">
            <w:pPr>
              <w:spacing w:before="90"/>
              <w:rPr>
                <w:rFonts w:ascii="Times New Roman" w:hAnsi="Times New Roman"/>
                <w:sz w:val="22"/>
                <w:szCs w:val="22"/>
              </w:rPr>
            </w:pPr>
            <w:r w:rsidRPr="000C0789">
              <w:rPr>
                <w:rFonts w:ascii="Times New Roman" w:hAnsi="Times New Roman"/>
                <w:sz w:val="22"/>
                <w:szCs w:val="22"/>
              </w:rPr>
              <w:t xml:space="preserve">BEV </w:t>
            </w:r>
            <w:proofErr w:type="spellStart"/>
            <w:r w:rsidRPr="000C0789">
              <w:rPr>
                <w:rFonts w:ascii="Times New Roman" w:hAnsi="Times New Roman"/>
                <w:sz w:val="22"/>
                <w:szCs w:val="22"/>
              </w:rPr>
              <w:t>models</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available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FA1718" w:rsidRPr="000C0789" w:rsidRDefault="00FA1718"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p>
        </w:tc>
        <w:tc>
          <w:tcPr>
            <w:tcW w:w="1275"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3,93</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2,81</w:t>
            </w:r>
          </w:p>
        </w:tc>
        <w:tc>
          <w:tcPr>
            <w:tcW w:w="1276" w:type="dxa"/>
            <w:tcBorders>
              <w:top w:val="single" w:sz="4" w:space="0" w:color="auto"/>
              <w:bottom w:val="single" w:sz="4" w:space="0" w:color="auto"/>
            </w:tcBorders>
            <w:shd w:val="clear" w:color="auto" w:fill="FFFFFF"/>
          </w:tcPr>
          <w:p w:rsidR="00FA1718" w:rsidRPr="000C0789" w:rsidRDefault="00FA1718" w:rsidP="000C0789">
            <w:pPr>
              <w:spacing w:before="90"/>
              <w:jc w:val="center"/>
              <w:rPr>
                <w:rFonts w:ascii="Times New Roman" w:hAnsi="Times New Roman"/>
                <w:sz w:val="22"/>
                <w:szCs w:val="22"/>
              </w:rPr>
            </w:pPr>
            <w:r w:rsidRPr="000C0789">
              <w:rPr>
                <w:rFonts w:ascii="Times New Roman" w:hAnsi="Times New Roman"/>
                <w:sz w:val="22"/>
                <w:szCs w:val="22"/>
              </w:rPr>
              <w:t>2,49</w:t>
            </w:r>
          </w:p>
        </w:tc>
      </w:tr>
      <w:tr w:rsidR="007F7084"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tcPr>
          <w:p w:rsidR="007F7084" w:rsidRPr="000C0789" w:rsidRDefault="007F7084" w:rsidP="007F7084">
            <w:pPr>
              <w:spacing w:before="90"/>
              <w:rPr>
                <w:rFonts w:ascii="Times New Roman" w:hAnsi="Times New Roman"/>
                <w:sz w:val="22"/>
                <w:szCs w:val="22"/>
              </w:rPr>
            </w:pPr>
            <w:r w:rsidRPr="000C0789">
              <w:rPr>
                <w:rFonts w:ascii="Times New Roman" w:hAnsi="Times New Roman"/>
                <w:sz w:val="22"/>
                <w:szCs w:val="22"/>
              </w:rPr>
              <w:t>Interest score</w:t>
            </w:r>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7F7084" w:rsidRPr="000C0789" w:rsidRDefault="007F7084"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c>
          <w:tcPr>
            <w:tcW w:w="1275"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r w:rsidRPr="000C0789">
              <w:rPr>
                <w:rFonts w:ascii="Times New Roman" w:hAnsi="Times New Roman"/>
                <w:sz w:val="22"/>
                <w:szCs w:val="22"/>
              </w:rPr>
              <w:t>4,03</w:t>
            </w: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r>
      <w:tr w:rsidR="007F7084" w:rsidRPr="000C0789" w:rsidTr="000C0789">
        <w:tc>
          <w:tcPr>
            <w:tcW w:w="2410" w:type="dxa"/>
            <w:tcBorders>
              <w:top w:val="single" w:sz="4" w:space="0" w:color="auto"/>
              <w:bottom w:val="single" w:sz="4" w:space="0" w:color="auto"/>
            </w:tcBorders>
            <w:shd w:val="clear" w:color="auto" w:fill="FFFFFF"/>
            <w:noWrap/>
            <w:tcMar>
              <w:top w:w="15" w:type="dxa"/>
              <w:left w:w="105" w:type="dxa"/>
              <w:bottom w:w="15" w:type="dxa"/>
              <w:right w:w="105" w:type="dxa"/>
            </w:tcMar>
          </w:tcPr>
          <w:p w:rsidR="007F7084" w:rsidRPr="000C0789" w:rsidRDefault="007F7084" w:rsidP="007F7084">
            <w:pPr>
              <w:spacing w:before="90"/>
              <w:rPr>
                <w:rFonts w:ascii="Times New Roman" w:hAnsi="Times New Roman"/>
                <w:sz w:val="22"/>
                <w:szCs w:val="22"/>
              </w:rPr>
            </w:pPr>
            <w:proofErr w:type="spellStart"/>
            <w:r w:rsidRPr="000C0789">
              <w:rPr>
                <w:rFonts w:ascii="Times New Roman" w:hAnsi="Times New Roman"/>
                <w:sz w:val="22"/>
                <w:szCs w:val="22"/>
              </w:rPr>
              <w:t>ln</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el-ty</w:t>
            </w:r>
            <w:proofErr w:type="spellEnd"/>
            <w:r w:rsidRPr="000C0789">
              <w:rPr>
                <w:rFonts w:ascii="Times New Roman" w:hAnsi="Times New Roman"/>
                <w:sz w:val="22"/>
                <w:szCs w:val="22"/>
              </w:rPr>
              <w:t xml:space="preserve"> </w:t>
            </w:r>
            <w:proofErr w:type="spellStart"/>
            <w:r w:rsidRPr="000C0789">
              <w:rPr>
                <w:rFonts w:ascii="Times New Roman" w:hAnsi="Times New Roman"/>
                <w:sz w:val="22"/>
                <w:szCs w:val="22"/>
              </w:rPr>
              <w:t>price</w:t>
            </w:r>
            <w:proofErr w:type="spellEnd"/>
          </w:p>
        </w:tc>
        <w:tc>
          <w:tcPr>
            <w:tcW w:w="1276" w:type="dxa"/>
            <w:tcBorders>
              <w:top w:val="single" w:sz="4" w:space="0" w:color="auto"/>
              <w:bottom w:val="single" w:sz="4" w:space="0" w:color="auto"/>
            </w:tcBorders>
            <w:shd w:val="clear" w:color="auto" w:fill="FFFFFF"/>
            <w:noWrap/>
            <w:tcMar>
              <w:top w:w="15" w:type="dxa"/>
              <w:left w:w="105" w:type="dxa"/>
              <w:bottom w:w="15" w:type="dxa"/>
              <w:right w:w="105" w:type="dxa"/>
            </w:tcMar>
          </w:tcPr>
          <w:p w:rsidR="007F7084" w:rsidRPr="000C0789" w:rsidRDefault="007F7084" w:rsidP="000C0789">
            <w:pPr>
              <w:spacing w:before="90"/>
              <w:jc w:val="center"/>
              <w:rPr>
                <w:rFonts w:ascii="Times New Roman" w:hAnsi="Times New Roman"/>
                <w:sz w:val="22"/>
                <w:szCs w:val="22"/>
                <w:lang w:val="en-US"/>
              </w:rPr>
            </w:pP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lang w:val="en-US"/>
              </w:rPr>
            </w:pPr>
          </w:p>
        </w:tc>
        <w:tc>
          <w:tcPr>
            <w:tcW w:w="1275"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r w:rsidRPr="000C0789">
              <w:rPr>
                <w:rFonts w:ascii="Times New Roman" w:hAnsi="Times New Roman"/>
                <w:sz w:val="22"/>
                <w:szCs w:val="22"/>
              </w:rPr>
              <w:t>4,69</w:t>
            </w: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c>
          <w:tcPr>
            <w:tcW w:w="1276" w:type="dxa"/>
            <w:tcBorders>
              <w:top w:val="single" w:sz="4" w:space="0" w:color="auto"/>
              <w:bottom w:val="single" w:sz="4" w:space="0" w:color="auto"/>
            </w:tcBorders>
            <w:shd w:val="clear" w:color="auto" w:fill="FFFFFF"/>
          </w:tcPr>
          <w:p w:rsidR="007F7084" w:rsidRPr="000C0789" w:rsidRDefault="007F7084" w:rsidP="000C0789">
            <w:pPr>
              <w:spacing w:before="90"/>
              <w:jc w:val="center"/>
              <w:rPr>
                <w:rFonts w:ascii="Times New Roman" w:hAnsi="Times New Roman"/>
                <w:sz w:val="22"/>
                <w:szCs w:val="22"/>
              </w:rPr>
            </w:pPr>
          </w:p>
        </w:tc>
      </w:tr>
      <w:tr w:rsidR="007F7084" w:rsidRPr="000C0789" w:rsidTr="000C0789">
        <w:tc>
          <w:tcPr>
            <w:tcW w:w="2410" w:type="dxa"/>
            <w:tcBorders>
              <w:top w:val="single" w:sz="4" w:space="0" w:color="auto"/>
              <w:bottom w:val="single" w:sz="12" w:space="0" w:color="auto"/>
            </w:tcBorders>
            <w:shd w:val="clear" w:color="auto" w:fill="FFFFFF"/>
            <w:noWrap/>
            <w:tcMar>
              <w:top w:w="15" w:type="dxa"/>
              <w:left w:w="105" w:type="dxa"/>
              <w:bottom w:w="15" w:type="dxa"/>
              <w:right w:w="105" w:type="dxa"/>
            </w:tcMar>
          </w:tcPr>
          <w:p w:rsidR="007F7084" w:rsidRPr="000C0789" w:rsidRDefault="00F201CD" w:rsidP="007F7084">
            <w:pPr>
              <w:spacing w:before="90"/>
              <w:rPr>
                <w:rFonts w:ascii="Times New Roman" w:hAnsi="Times New Roman"/>
                <w:sz w:val="22"/>
                <w:szCs w:val="22"/>
                <w:lang w:val="en-US"/>
              </w:rPr>
            </w:pPr>
            <w:r>
              <w:rPr>
                <w:rFonts w:ascii="Times New Roman" w:hAnsi="Times New Roman"/>
                <w:sz w:val="22"/>
                <w:szCs w:val="22"/>
                <w:lang w:val="en-US"/>
              </w:rPr>
              <w:t xml:space="preserve">HOV/Bus </w:t>
            </w:r>
            <w:r w:rsidR="007F7084" w:rsidRPr="000C0789">
              <w:rPr>
                <w:rFonts w:ascii="Times New Roman" w:hAnsi="Times New Roman"/>
                <w:sz w:val="22"/>
                <w:szCs w:val="22"/>
                <w:lang w:val="en-US"/>
              </w:rPr>
              <w:t xml:space="preserve">lane access </w:t>
            </w:r>
          </w:p>
        </w:tc>
        <w:tc>
          <w:tcPr>
            <w:tcW w:w="1276" w:type="dxa"/>
            <w:tcBorders>
              <w:top w:val="single" w:sz="4" w:space="0" w:color="auto"/>
              <w:bottom w:val="single" w:sz="12" w:space="0" w:color="auto"/>
            </w:tcBorders>
            <w:shd w:val="clear" w:color="auto" w:fill="FFFFFF"/>
            <w:noWrap/>
            <w:tcMar>
              <w:top w:w="15" w:type="dxa"/>
              <w:left w:w="105" w:type="dxa"/>
              <w:bottom w:w="15" w:type="dxa"/>
              <w:right w:w="105" w:type="dxa"/>
            </w:tcMar>
          </w:tcPr>
          <w:p w:rsidR="007F7084" w:rsidRPr="000C0789" w:rsidRDefault="007F7084" w:rsidP="000C0789">
            <w:pPr>
              <w:spacing w:before="90"/>
              <w:jc w:val="center"/>
              <w:rPr>
                <w:rFonts w:ascii="Times New Roman" w:hAnsi="Times New Roman"/>
                <w:sz w:val="22"/>
                <w:szCs w:val="22"/>
                <w:lang w:val="en-US"/>
              </w:rPr>
            </w:pPr>
          </w:p>
        </w:tc>
        <w:tc>
          <w:tcPr>
            <w:tcW w:w="1276" w:type="dxa"/>
            <w:tcBorders>
              <w:top w:val="single" w:sz="4" w:space="0" w:color="auto"/>
              <w:bottom w:val="single" w:sz="12" w:space="0" w:color="auto"/>
            </w:tcBorders>
            <w:shd w:val="clear" w:color="auto" w:fill="FFFFFF"/>
          </w:tcPr>
          <w:p w:rsidR="007F7084" w:rsidRPr="000C0789" w:rsidRDefault="007F7084" w:rsidP="000C0789">
            <w:pPr>
              <w:spacing w:before="90"/>
              <w:jc w:val="center"/>
              <w:rPr>
                <w:rFonts w:ascii="Times New Roman" w:hAnsi="Times New Roman"/>
                <w:sz w:val="22"/>
                <w:szCs w:val="22"/>
                <w:lang w:val="en-US"/>
              </w:rPr>
            </w:pPr>
            <w:r w:rsidRPr="000C0789">
              <w:rPr>
                <w:rFonts w:ascii="Times New Roman" w:hAnsi="Times New Roman"/>
                <w:sz w:val="22"/>
                <w:szCs w:val="22"/>
              </w:rPr>
              <w:t>2,13</w:t>
            </w:r>
          </w:p>
        </w:tc>
        <w:tc>
          <w:tcPr>
            <w:tcW w:w="1275" w:type="dxa"/>
            <w:tcBorders>
              <w:top w:val="single" w:sz="4" w:space="0" w:color="auto"/>
              <w:bottom w:val="single" w:sz="12" w:space="0" w:color="auto"/>
            </w:tcBorders>
            <w:shd w:val="clear" w:color="auto" w:fill="FFFFFF"/>
          </w:tcPr>
          <w:p w:rsidR="007F7084" w:rsidRPr="000C0789" w:rsidRDefault="007F7084" w:rsidP="000C0789">
            <w:pPr>
              <w:spacing w:before="90"/>
              <w:jc w:val="center"/>
              <w:rPr>
                <w:rFonts w:ascii="Times New Roman" w:hAnsi="Times New Roman"/>
                <w:sz w:val="22"/>
                <w:szCs w:val="22"/>
                <w:lang w:val="en-US"/>
              </w:rPr>
            </w:pPr>
            <w:r w:rsidRPr="000C0789">
              <w:rPr>
                <w:rFonts w:ascii="Times New Roman" w:hAnsi="Times New Roman"/>
                <w:sz w:val="22"/>
                <w:szCs w:val="22"/>
              </w:rPr>
              <w:t>4,72</w:t>
            </w:r>
          </w:p>
        </w:tc>
        <w:tc>
          <w:tcPr>
            <w:tcW w:w="1276" w:type="dxa"/>
            <w:tcBorders>
              <w:top w:val="single" w:sz="4" w:space="0" w:color="auto"/>
              <w:bottom w:val="single" w:sz="12" w:space="0" w:color="auto"/>
            </w:tcBorders>
            <w:shd w:val="clear" w:color="auto" w:fill="FFFFFF"/>
          </w:tcPr>
          <w:p w:rsidR="007F7084" w:rsidRPr="000C0789" w:rsidRDefault="0049390F" w:rsidP="000C0789">
            <w:pPr>
              <w:spacing w:before="90"/>
              <w:jc w:val="center"/>
              <w:rPr>
                <w:rFonts w:ascii="Times New Roman" w:hAnsi="Times New Roman"/>
                <w:sz w:val="22"/>
                <w:szCs w:val="22"/>
                <w:lang w:val="en-US"/>
              </w:rPr>
            </w:pPr>
            <w:r w:rsidRPr="000C0789">
              <w:rPr>
                <w:rFonts w:ascii="Times New Roman" w:hAnsi="Times New Roman"/>
                <w:sz w:val="22"/>
                <w:szCs w:val="22"/>
              </w:rPr>
              <w:t>2,15</w:t>
            </w:r>
          </w:p>
        </w:tc>
        <w:tc>
          <w:tcPr>
            <w:tcW w:w="1276" w:type="dxa"/>
            <w:tcBorders>
              <w:top w:val="single" w:sz="4" w:space="0" w:color="auto"/>
              <w:bottom w:val="single" w:sz="12" w:space="0" w:color="auto"/>
            </w:tcBorders>
            <w:shd w:val="clear" w:color="auto" w:fill="FFFFFF"/>
          </w:tcPr>
          <w:p w:rsidR="007F7084" w:rsidRPr="000C0789" w:rsidRDefault="00FA1718" w:rsidP="000C0789">
            <w:pPr>
              <w:spacing w:before="90"/>
              <w:jc w:val="center"/>
              <w:rPr>
                <w:rFonts w:ascii="Times New Roman" w:hAnsi="Times New Roman"/>
                <w:sz w:val="22"/>
                <w:szCs w:val="22"/>
                <w:lang w:val="en-US"/>
              </w:rPr>
            </w:pPr>
            <w:r w:rsidRPr="000C0789">
              <w:rPr>
                <w:rFonts w:ascii="Times New Roman" w:hAnsi="Times New Roman"/>
                <w:sz w:val="22"/>
                <w:szCs w:val="22"/>
              </w:rPr>
              <w:t>2,00</w:t>
            </w:r>
          </w:p>
        </w:tc>
      </w:tr>
      <w:bookmarkEnd w:id="40"/>
    </w:tbl>
    <w:p w:rsidR="000C0789" w:rsidRDefault="000C0789" w:rsidP="00FA1718">
      <w:pPr>
        <w:shd w:val="clear" w:color="auto" w:fill="FFFFFF"/>
        <w:spacing w:after="75"/>
        <w:rPr>
          <w:rFonts w:ascii="Times New Roman" w:hAnsi="Times New Roman"/>
          <w:color w:val="004D72"/>
          <w:sz w:val="22"/>
          <w:szCs w:val="22"/>
        </w:rPr>
      </w:pPr>
    </w:p>
    <w:p w:rsidR="00FA1718" w:rsidRPr="000C0789" w:rsidRDefault="00FA1718" w:rsidP="00FA1718">
      <w:pPr>
        <w:shd w:val="clear" w:color="auto" w:fill="FFFFFF"/>
        <w:spacing w:after="75"/>
        <w:rPr>
          <w:rFonts w:ascii="Times New Roman" w:hAnsi="Times New Roman"/>
          <w:b/>
          <w:sz w:val="22"/>
          <w:szCs w:val="22"/>
        </w:rPr>
      </w:pPr>
      <w:r w:rsidRPr="000C0789">
        <w:rPr>
          <w:rFonts w:ascii="Times New Roman" w:hAnsi="Times New Roman"/>
          <w:b/>
          <w:sz w:val="22"/>
          <w:szCs w:val="22"/>
        </w:rPr>
        <w:t xml:space="preserve">Final Regression </w:t>
      </w:r>
      <w:proofErr w:type="spellStart"/>
      <w:r w:rsidRPr="000C0789">
        <w:rPr>
          <w:rFonts w:ascii="Times New Roman" w:hAnsi="Times New Roman"/>
          <w:b/>
          <w:sz w:val="22"/>
          <w:szCs w:val="22"/>
        </w:rPr>
        <w:t>Equation</w:t>
      </w:r>
      <w:proofErr w:type="spellEnd"/>
    </w:p>
    <w:tbl>
      <w:tblPr>
        <w:tblW w:w="9007" w:type="dxa"/>
        <w:tblCellMar>
          <w:top w:w="15" w:type="dxa"/>
          <w:left w:w="15" w:type="dxa"/>
          <w:bottom w:w="15" w:type="dxa"/>
          <w:right w:w="15" w:type="dxa"/>
        </w:tblCellMar>
        <w:tblLook w:val="04A0" w:firstRow="1" w:lastRow="0" w:firstColumn="1" w:lastColumn="0" w:noHBand="0" w:noVBand="1"/>
      </w:tblPr>
      <w:tblGrid>
        <w:gridCol w:w="1276"/>
        <w:gridCol w:w="1134"/>
        <w:gridCol w:w="335"/>
        <w:gridCol w:w="6367"/>
      </w:tblGrid>
      <w:tr w:rsidR="00FA1718" w:rsidRPr="000C0789" w:rsidTr="000C0789">
        <w:tc>
          <w:tcPr>
            <w:tcW w:w="1276"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A1718" w:rsidRPr="000C0789" w:rsidRDefault="00F201CD" w:rsidP="00B63BC5">
            <w:pPr>
              <w:spacing w:before="90"/>
              <w:rPr>
                <w:rFonts w:ascii="Times New Roman" w:hAnsi="Times New Roman"/>
                <w:sz w:val="22"/>
                <w:szCs w:val="22"/>
                <w:lang w:val="en-US"/>
              </w:rPr>
            </w:pPr>
            <w:r>
              <w:rPr>
                <w:rFonts w:ascii="Times New Roman" w:hAnsi="Times New Roman"/>
                <w:sz w:val="22"/>
                <w:szCs w:val="22"/>
                <w:lang w:val="en-US"/>
              </w:rPr>
              <w:t xml:space="preserve">HOV/Bus </w:t>
            </w:r>
            <w:r w:rsidR="00FA1718" w:rsidRPr="000C0789">
              <w:rPr>
                <w:rFonts w:ascii="Times New Roman" w:hAnsi="Times New Roman"/>
                <w:sz w:val="22"/>
                <w:szCs w:val="22"/>
                <w:lang w:val="en-US"/>
              </w:rPr>
              <w:t>lane</w:t>
            </w:r>
            <w:r w:rsidR="002F2979" w:rsidRPr="000C0789">
              <w:rPr>
                <w:rFonts w:ascii="Times New Roman" w:hAnsi="Times New Roman"/>
                <w:sz w:val="22"/>
                <w:szCs w:val="22"/>
                <w:lang w:val="en-US"/>
              </w:rPr>
              <w:t xml:space="preserve"> </w:t>
            </w:r>
            <w:r w:rsidR="00FA1718" w:rsidRPr="000C0789">
              <w:rPr>
                <w:rFonts w:ascii="Times New Roman" w:hAnsi="Times New Roman"/>
                <w:sz w:val="22"/>
                <w:szCs w:val="22"/>
                <w:lang w:val="en-US"/>
              </w:rPr>
              <w:t>access</w:t>
            </w:r>
          </w:p>
        </w:tc>
        <w:tc>
          <w:tcPr>
            <w:tcW w:w="1134"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A1718" w:rsidRPr="000C0789" w:rsidRDefault="00FA1718" w:rsidP="00B63BC5">
            <w:pPr>
              <w:spacing w:before="90"/>
              <w:rPr>
                <w:rFonts w:ascii="Times New Roman" w:hAnsi="Times New Roman"/>
                <w:sz w:val="22"/>
                <w:szCs w:val="22"/>
                <w:lang w:val="en-US"/>
              </w:rPr>
            </w:pPr>
          </w:p>
        </w:tc>
        <w:tc>
          <w:tcPr>
            <w:tcW w:w="230"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A1718" w:rsidRPr="000C0789" w:rsidRDefault="00FA1718" w:rsidP="00B63BC5">
            <w:pPr>
              <w:spacing w:before="90"/>
              <w:rPr>
                <w:rFonts w:ascii="Times New Roman" w:hAnsi="Times New Roman"/>
                <w:sz w:val="22"/>
                <w:szCs w:val="22"/>
                <w:lang w:val="en-US"/>
              </w:rPr>
            </w:pPr>
          </w:p>
        </w:tc>
        <w:tc>
          <w:tcPr>
            <w:tcW w:w="6367" w:type="dxa"/>
            <w:tcBorders>
              <w:top w:val="single" w:sz="12" w:space="0" w:color="auto"/>
              <w:left w:val="nil"/>
              <w:bottom w:val="single" w:sz="12" w:space="0" w:color="auto"/>
              <w:right w:val="nil"/>
            </w:tcBorders>
            <w:shd w:val="clear" w:color="auto" w:fill="FFFFFF"/>
            <w:noWrap/>
            <w:tcMar>
              <w:top w:w="15" w:type="dxa"/>
              <w:left w:w="105" w:type="dxa"/>
              <w:bottom w:w="15" w:type="dxa"/>
              <w:right w:w="105" w:type="dxa"/>
            </w:tcMar>
            <w:vAlign w:val="bottom"/>
            <w:hideMark/>
          </w:tcPr>
          <w:p w:rsidR="00FA1718" w:rsidRPr="000C0789" w:rsidRDefault="00FA1718" w:rsidP="00B63BC5">
            <w:pPr>
              <w:spacing w:before="90"/>
              <w:rPr>
                <w:rFonts w:ascii="Times New Roman" w:hAnsi="Times New Roman"/>
                <w:sz w:val="22"/>
                <w:szCs w:val="22"/>
                <w:lang w:val="en-US"/>
              </w:rPr>
            </w:pPr>
          </w:p>
        </w:tc>
      </w:tr>
      <w:tr w:rsidR="00FA1718" w:rsidRPr="003163AE" w:rsidTr="000C0789">
        <w:tc>
          <w:tcPr>
            <w:tcW w:w="1276" w:type="dxa"/>
            <w:tcBorders>
              <w:top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rPr>
            </w:pPr>
            <w:r w:rsidRPr="000C0789">
              <w:rPr>
                <w:rFonts w:ascii="Times New Roman" w:hAnsi="Times New Roman"/>
                <w:sz w:val="22"/>
                <w:szCs w:val="22"/>
              </w:rPr>
              <w:t>0</w:t>
            </w:r>
          </w:p>
        </w:tc>
        <w:tc>
          <w:tcPr>
            <w:tcW w:w="1134" w:type="dxa"/>
            <w:tcBorders>
              <w:top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rPr>
            </w:pPr>
            <w:proofErr w:type="spellStart"/>
            <w:r w:rsidRPr="000C0789">
              <w:rPr>
                <w:rFonts w:ascii="Times New Roman" w:hAnsi="Times New Roman"/>
                <w:sz w:val="22"/>
                <w:szCs w:val="22"/>
              </w:rPr>
              <w:t>ln</w:t>
            </w:r>
            <w:proofErr w:type="spellEnd"/>
            <w:r w:rsidRPr="000C0789">
              <w:rPr>
                <w:rFonts w:ascii="Times New Roman" w:hAnsi="Times New Roman"/>
                <w:sz w:val="22"/>
                <w:szCs w:val="22"/>
              </w:rPr>
              <w:t xml:space="preserve"> BEV reg-</w:t>
            </w:r>
            <w:proofErr w:type="spellStart"/>
            <w:r w:rsidRPr="000C0789">
              <w:rPr>
                <w:rFonts w:ascii="Times New Roman" w:hAnsi="Times New Roman"/>
                <w:sz w:val="22"/>
                <w:szCs w:val="22"/>
              </w:rPr>
              <w:t>ns</w:t>
            </w:r>
            <w:proofErr w:type="spellEnd"/>
          </w:p>
        </w:tc>
        <w:tc>
          <w:tcPr>
            <w:tcW w:w="230" w:type="dxa"/>
            <w:tcBorders>
              <w:top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rPr>
            </w:pPr>
            <w:r w:rsidRPr="000C0789">
              <w:rPr>
                <w:rFonts w:ascii="Times New Roman" w:hAnsi="Times New Roman"/>
                <w:sz w:val="22"/>
                <w:szCs w:val="22"/>
              </w:rPr>
              <w:t>=</w:t>
            </w:r>
          </w:p>
        </w:tc>
        <w:tc>
          <w:tcPr>
            <w:tcW w:w="6367" w:type="dxa"/>
            <w:tcBorders>
              <w:top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lang w:val="en-US"/>
              </w:rPr>
            </w:pPr>
            <w:r w:rsidRPr="000C0789">
              <w:rPr>
                <w:rFonts w:ascii="Times New Roman" w:hAnsi="Times New Roman"/>
                <w:sz w:val="22"/>
                <w:szCs w:val="22"/>
                <w:lang w:val="en-US"/>
              </w:rPr>
              <w:t>-8,48 + 1,337 ln </w:t>
            </w:r>
            <w:proofErr w:type="spellStart"/>
            <w:r w:rsidRPr="000C0789">
              <w:rPr>
                <w:rFonts w:ascii="Times New Roman" w:hAnsi="Times New Roman"/>
                <w:sz w:val="22"/>
                <w:szCs w:val="22"/>
                <w:lang w:val="en-US"/>
              </w:rPr>
              <w:t>dr</w:t>
            </w:r>
            <w:proofErr w:type="spellEnd"/>
            <w:r w:rsidRPr="000C0789">
              <w:rPr>
                <w:rFonts w:ascii="Times New Roman" w:hAnsi="Times New Roman"/>
                <w:sz w:val="22"/>
                <w:szCs w:val="22"/>
                <w:lang w:val="en-US"/>
              </w:rPr>
              <w:t> range + 0,5939 ln fast </w:t>
            </w:r>
            <w:proofErr w:type="spellStart"/>
            <w:r w:rsidRPr="000C0789">
              <w:rPr>
                <w:rFonts w:ascii="Times New Roman" w:hAnsi="Times New Roman"/>
                <w:sz w:val="22"/>
                <w:szCs w:val="22"/>
                <w:lang w:val="en-US"/>
              </w:rPr>
              <w:t>ch</w:t>
            </w:r>
            <w:proofErr w:type="spellEnd"/>
            <w:r w:rsidRPr="000C0789">
              <w:rPr>
                <w:rFonts w:ascii="Times New Roman" w:hAnsi="Times New Roman"/>
                <w:sz w:val="22"/>
                <w:szCs w:val="22"/>
                <w:lang w:val="en-US"/>
              </w:rPr>
              <w:t> </w:t>
            </w:r>
            <w:proofErr w:type="spellStart"/>
            <w:r w:rsidRPr="000C0789">
              <w:rPr>
                <w:rFonts w:ascii="Times New Roman" w:hAnsi="Times New Roman"/>
                <w:sz w:val="22"/>
                <w:szCs w:val="22"/>
                <w:lang w:val="en-US"/>
              </w:rPr>
              <w:t>st</w:t>
            </w:r>
            <w:proofErr w:type="spellEnd"/>
            <w:r w:rsidRPr="000C0789">
              <w:rPr>
                <w:rFonts w:ascii="Times New Roman" w:hAnsi="Times New Roman"/>
                <w:sz w:val="22"/>
                <w:szCs w:val="22"/>
                <w:lang w:val="en-US"/>
              </w:rPr>
              <w:t>-ns</w:t>
            </w:r>
            <w:r w:rsidRPr="000C0789">
              <w:rPr>
                <w:rFonts w:ascii="Times New Roman" w:hAnsi="Times New Roman"/>
                <w:sz w:val="22"/>
                <w:szCs w:val="22"/>
                <w:lang w:val="en-US"/>
              </w:rPr>
              <w:br/>
              <w:t>- 0,000055 VAT Amount </w:t>
            </w:r>
            <w:r w:rsidRPr="000C0789">
              <w:rPr>
                <w:rFonts w:ascii="Times New Roman" w:hAnsi="Times New Roman"/>
                <w:sz w:val="22"/>
                <w:szCs w:val="22"/>
                <w:lang w:val="en-US"/>
              </w:rPr>
              <w:br/>
              <w:t>+ 0,758 Reduction (company car tax) + 0,000995 Urban density</w:t>
            </w:r>
            <w:r w:rsidRPr="000C0789">
              <w:rPr>
                <w:rFonts w:ascii="Times New Roman" w:hAnsi="Times New Roman"/>
                <w:sz w:val="22"/>
                <w:szCs w:val="22"/>
                <w:lang w:val="en-US"/>
              </w:rPr>
              <w:br/>
              <w:t>+ 0,0580 BEV models available</w:t>
            </w:r>
          </w:p>
        </w:tc>
      </w:tr>
      <w:tr w:rsidR="00FA1718" w:rsidRPr="003163AE" w:rsidTr="000C0789">
        <w:tc>
          <w:tcPr>
            <w:tcW w:w="1276" w:type="dxa"/>
            <w:tcBorders>
              <w:bottom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rPr>
            </w:pPr>
            <w:r w:rsidRPr="000C0789">
              <w:rPr>
                <w:rFonts w:ascii="Times New Roman" w:hAnsi="Times New Roman"/>
                <w:sz w:val="22"/>
                <w:szCs w:val="22"/>
              </w:rPr>
              <w:t>1</w:t>
            </w:r>
          </w:p>
        </w:tc>
        <w:tc>
          <w:tcPr>
            <w:tcW w:w="1134" w:type="dxa"/>
            <w:tcBorders>
              <w:bottom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rPr>
            </w:pPr>
            <w:proofErr w:type="spellStart"/>
            <w:r w:rsidRPr="000C0789">
              <w:rPr>
                <w:rFonts w:ascii="Times New Roman" w:hAnsi="Times New Roman"/>
                <w:sz w:val="22"/>
                <w:szCs w:val="22"/>
              </w:rPr>
              <w:t>ln</w:t>
            </w:r>
            <w:proofErr w:type="spellEnd"/>
            <w:r w:rsidRPr="000C0789">
              <w:rPr>
                <w:rFonts w:ascii="Times New Roman" w:hAnsi="Times New Roman"/>
                <w:sz w:val="22"/>
                <w:szCs w:val="22"/>
              </w:rPr>
              <w:t xml:space="preserve"> BEV reg-</w:t>
            </w:r>
            <w:proofErr w:type="spellStart"/>
            <w:r w:rsidRPr="000C0789">
              <w:rPr>
                <w:rFonts w:ascii="Times New Roman" w:hAnsi="Times New Roman"/>
                <w:sz w:val="22"/>
                <w:szCs w:val="22"/>
              </w:rPr>
              <w:t>ns</w:t>
            </w:r>
            <w:proofErr w:type="spellEnd"/>
          </w:p>
        </w:tc>
        <w:tc>
          <w:tcPr>
            <w:tcW w:w="230" w:type="dxa"/>
            <w:tcBorders>
              <w:bottom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rPr>
            </w:pPr>
            <w:r w:rsidRPr="000C0789">
              <w:rPr>
                <w:rFonts w:ascii="Times New Roman" w:hAnsi="Times New Roman"/>
                <w:sz w:val="22"/>
                <w:szCs w:val="22"/>
              </w:rPr>
              <w:t>=</w:t>
            </w:r>
          </w:p>
        </w:tc>
        <w:tc>
          <w:tcPr>
            <w:tcW w:w="6367" w:type="dxa"/>
            <w:tcBorders>
              <w:bottom w:val="single" w:sz="12" w:space="0" w:color="auto"/>
            </w:tcBorders>
            <w:shd w:val="clear" w:color="auto" w:fill="FFFFFF"/>
            <w:noWrap/>
            <w:tcMar>
              <w:top w:w="15" w:type="dxa"/>
              <w:left w:w="105" w:type="dxa"/>
              <w:bottom w:w="15" w:type="dxa"/>
              <w:right w:w="105" w:type="dxa"/>
            </w:tcMar>
            <w:hideMark/>
          </w:tcPr>
          <w:p w:rsidR="00FA1718" w:rsidRPr="000C0789" w:rsidRDefault="00FA1718" w:rsidP="00B63BC5">
            <w:pPr>
              <w:spacing w:before="90"/>
              <w:rPr>
                <w:rFonts w:ascii="Times New Roman" w:hAnsi="Times New Roman"/>
                <w:sz w:val="22"/>
                <w:szCs w:val="22"/>
                <w:lang w:val="en-US"/>
              </w:rPr>
            </w:pPr>
            <w:r w:rsidRPr="000C0789">
              <w:rPr>
                <w:rFonts w:ascii="Times New Roman" w:hAnsi="Times New Roman"/>
                <w:sz w:val="22"/>
                <w:szCs w:val="22"/>
                <w:lang w:val="en-US"/>
              </w:rPr>
              <w:t>-7,74 + 1,337 ln </w:t>
            </w:r>
            <w:proofErr w:type="spellStart"/>
            <w:r w:rsidRPr="000C0789">
              <w:rPr>
                <w:rFonts w:ascii="Times New Roman" w:hAnsi="Times New Roman"/>
                <w:sz w:val="22"/>
                <w:szCs w:val="22"/>
                <w:lang w:val="en-US"/>
              </w:rPr>
              <w:t>dr</w:t>
            </w:r>
            <w:proofErr w:type="spellEnd"/>
            <w:r w:rsidRPr="000C0789">
              <w:rPr>
                <w:rFonts w:ascii="Times New Roman" w:hAnsi="Times New Roman"/>
                <w:sz w:val="22"/>
                <w:szCs w:val="22"/>
                <w:lang w:val="en-US"/>
              </w:rPr>
              <w:t> range + 0,5939 ln fast </w:t>
            </w:r>
            <w:proofErr w:type="spellStart"/>
            <w:r w:rsidRPr="000C0789">
              <w:rPr>
                <w:rFonts w:ascii="Times New Roman" w:hAnsi="Times New Roman"/>
                <w:sz w:val="22"/>
                <w:szCs w:val="22"/>
                <w:lang w:val="en-US"/>
              </w:rPr>
              <w:t>ch</w:t>
            </w:r>
            <w:proofErr w:type="spellEnd"/>
            <w:r w:rsidRPr="000C0789">
              <w:rPr>
                <w:rFonts w:ascii="Times New Roman" w:hAnsi="Times New Roman"/>
                <w:sz w:val="22"/>
                <w:szCs w:val="22"/>
                <w:lang w:val="en-US"/>
              </w:rPr>
              <w:t> </w:t>
            </w:r>
            <w:proofErr w:type="spellStart"/>
            <w:r w:rsidRPr="000C0789">
              <w:rPr>
                <w:rFonts w:ascii="Times New Roman" w:hAnsi="Times New Roman"/>
                <w:sz w:val="22"/>
                <w:szCs w:val="22"/>
                <w:lang w:val="en-US"/>
              </w:rPr>
              <w:t>st</w:t>
            </w:r>
            <w:proofErr w:type="spellEnd"/>
            <w:r w:rsidRPr="000C0789">
              <w:rPr>
                <w:rFonts w:ascii="Times New Roman" w:hAnsi="Times New Roman"/>
                <w:sz w:val="22"/>
                <w:szCs w:val="22"/>
                <w:lang w:val="en-US"/>
              </w:rPr>
              <w:t>-ns</w:t>
            </w:r>
            <w:r w:rsidRPr="000C0789">
              <w:rPr>
                <w:rFonts w:ascii="Times New Roman" w:hAnsi="Times New Roman"/>
                <w:sz w:val="22"/>
                <w:szCs w:val="22"/>
                <w:lang w:val="en-US"/>
              </w:rPr>
              <w:br/>
              <w:t>- 0,000055 VAT Amount </w:t>
            </w:r>
            <w:r w:rsidRPr="000C0789">
              <w:rPr>
                <w:rFonts w:ascii="Times New Roman" w:hAnsi="Times New Roman"/>
                <w:sz w:val="22"/>
                <w:szCs w:val="22"/>
                <w:lang w:val="en-US"/>
              </w:rPr>
              <w:br/>
              <w:t>+ 0,758 Reduction (company car tax) + 0,000995 Urban density</w:t>
            </w:r>
            <w:r w:rsidRPr="000C0789">
              <w:rPr>
                <w:rFonts w:ascii="Times New Roman" w:hAnsi="Times New Roman"/>
                <w:sz w:val="22"/>
                <w:szCs w:val="22"/>
                <w:lang w:val="en-US"/>
              </w:rPr>
              <w:br/>
              <w:t>+ 0,0580 BEV models available</w:t>
            </w:r>
          </w:p>
        </w:tc>
      </w:tr>
    </w:tbl>
    <w:p w:rsidR="00610676" w:rsidRDefault="00610676" w:rsidP="00610676">
      <w:pPr>
        <w:spacing w:line="360" w:lineRule="auto"/>
        <w:jc w:val="both"/>
        <w:rPr>
          <w:rFonts w:ascii="Times New Roman" w:hAnsi="Times New Roman"/>
          <w:b/>
          <w:lang w:val="en-US"/>
        </w:rPr>
      </w:pPr>
      <w:r>
        <w:rPr>
          <w:rFonts w:ascii="Times New Roman" w:hAnsi="Times New Roman"/>
          <w:b/>
          <w:lang w:val="en-US"/>
        </w:rPr>
        <w:t xml:space="preserve">Table </w:t>
      </w:r>
      <w:r w:rsidR="00E42DF0">
        <w:rPr>
          <w:rFonts w:ascii="Times New Roman" w:hAnsi="Times New Roman"/>
          <w:b/>
          <w:lang w:val="en-US"/>
        </w:rPr>
        <w:t>10</w:t>
      </w:r>
      <w:r w:rsidR="00DB496A">
        <w:rPr>
          <w:rFonts w:ascii="Times New Roman" w:hAnsi="Times New Roman"/>
          <w:b/>
          <w:lang w:val="en-US"/>
        </w:rPr>
        <w:t>. Regression outputs</w:t>
      </w:r>
      <w:r>
        <w:rPr>
          <w:rFonts w:ascii="Times New Roman" w:hAnsi="Times New Roman"/>
          <w:b/>
          <w:lang w:val="en-US"/>
        </w:rPr>
        <w:t xml:space="preserve"> with fast</w:t>
      </w:r>
      <w:r w:rsidR="00287DC8">
        <w:rPr>
          <w:rFonts w:ascii="Times New Roman" w:hAnsi="Times New Roman"/>
          <w:b/>
          <w:lang w:val="en-US"/>
        </w:rPr>
        <w:t>-</w:t>
      </w:r>
      <w:r>
        <w:rPr>
          <w:rFonts w:ascii="Times New Roman" w:hAnsi="Times New Roman"/>
          <w:b/>
          <w:lang w:val="en-US"/>
        </w:rPr>
        <w:t>charging infrastructure</w:t>
      </w:r>
      <w:r w:rsidR="00DB496A">
        <w:rPr>
          <w:rFonts w:ascii="Times New Roman" w:hAnsi="Times New Roman"/>
          <w:b/>
          <w:lang w:val="en-US"/>
        </w:rPr>
        <w:t xml:space="preserve"> </w:t>
      </w:r>
    </w:p>
    <w:p w:rsidR="00DB496A" w:rsidRDefault="00466106" w:rsidP="00CE182C">
      <w:pPr>
        <w:spacing w:line="360" w:lineRule="auto"/>
        <w:jc w:val="both"/>
        <w:rPr>
          <w:rFonts w:ascii="Times New Roman" w:hAnsi="Times New Roman"/>
          <w:b/>
          <w:lang w:val="en-US"/>
        </w:rPr>
      </w:pPr>
      <w:r w:rsidRPr="006B4FCA">
        <w:rPr>
          <w:noProof/>
          <w:lang w:val="en-US"/>
        </w:rPr>
        <w:lastRenderedPageBreak/>
        <w:drawing>
          <wp:anchor distT="0" distB="0" distL="114300" distR="114300" simplePos="0" relativeHeight="251680768" behindDoc="0" locked="0" layoutInCell="1" allowOverlap="1" wp14:anchorId="6680543A">
            <wp:simplePos x="0" y="0"/>
            <wp:positionH relativeFrom="page">
              <wp:align>center</wp:align>
            </wp:positionH>
            <wp:positionV relativeFrom="paragraph">
              <wp:posOffset>3985895</wp:posOffset>
            </wp:positionV>
            <wp:extent cx="4222800" cy="2815200"/>
            <wp:effectExtent l="0" t="0" r="6350" b="444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2800" cy="2815200"/>
                    </a:xfrm>
                    <a:prstGeom prst="rect">
                      <a:avLst/>
                    </a:prstGeom>
                    <a:noFill/>
                    <a:ln>
                      <a:noFill/>
                    </a:ln>
                  </pic:spPr>
                </pic:pic>
              </a:graphicData>
            </a:graphic>
          </wp:anchor>
        </w:drawing>
      </w:r>
      <w:r w:rsidR="00FA1718" w:rsidRPr="00234917">
        <w:rPr>
          <w:noProof/>
          <w:lang w:val="en-US"/>
        </w:rPr>
        <w:drawing>
          <wp:anchor distT="0" distB="0" distL="114300" distR="114300" simplePos="0" relativeHeight="251679744" behindDoc="0" locked="0" layoutInCell="1" allowOverlap="1" wp14:anchorId="55971F76">
            <wp:simplePos x="0" y="0"/>
            <wp:positionH relativeFrom="column">
              <wp:posOffset>-3810</wp:posOffset>
            </wp:positionH>
            <wp:positionV relativeFrom="paragraph">
              <wp:posOffset>4445</wp:posOffset>
            </wp:positionV>
            <wp:extent cx="5486400" cy="36576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sidR="00DB496A">
        <w:rPr>
          <w:rFonts w:ascii="Times New Roman" w:hAnsi="Times New Roman"/>
          <w:b/>
          <w:lang w:val="en-US"/>
        </w:rPr>
        <w:t>Graph 3.</w:t>
      </w:r>
      <w:r w:rsidR="00F201CD">
        <w:rPr>
          <w:rFonts w:ascii="Times New Roman" w:hAnsi="Times New Roman"/>
          <w:b/>
          <w:lang w:val="en-US"/>
        </w:rPr>
        <w:t>1</w:t>
      </w:r>
      <w:r w:rsidR="00DB496A">
        <w:rPr>
          <w:rFonts w:ascii="Times New Roman" w:hAnsi="Times New Roman"/>
          <w:b/>
          <w:lang w:val="en-US"/>
        </w:rPr>
        <w:t>. Residual plots for model specification with fast</w:t>
      </w:r>
      <w:r w:rsidR="00287DC8">
        <w:rPr>
          <w:rFonts w:ascii="Times New Roman" w:hAnsi="Times New Roman"/>
          <w:b/>
          <w:lang w:val="en-US"/>
        </w:rPr>
        <w:t>-</w:t>
      </w:r>
      <w:r w:rsidR="00DB496A">
        <w:rPr>
          <w:rFonts w:ascii="Times New Roman" w:hAnsi="Times New Roman"/>
          <w:b/>
          <w:lang w:val="en-US"/>
        </w:rPr>
        <w:t>charging infrastructure (Step 5)</w:t>
      </w:r>
    </w:p>
    <w:p w:rsidR="00610676" w:rsidRDefault="00FA1718" w:rsidP="00CE182C">
      <w:pPr>
        <w:spacing w:line="360" w:lineRule="auto"/>
        <w:jc w:val="both"/>
        <w:rPr>
          <w:rFonts w:ascii="Times New Roman" w:hAnsi="Times New Roman"/>
          <w:b/>
          <w:lang w:val="en-US"/>
        </w:rPr>
      </w:pPr>
      <w:r>
        <w:rPr>
          <w:rFonts w:ascii="Times New Roman" w:hAnsi="Times New Roman"/>
          <w:b/>
          <w:lang w:val="en-US"/>
        </w:rPr>
        <w:t>Graph 3.</w:t>
      </w:r>
      <w:r w:rsidR="00F201CD">
        <w:rPr>
          <w:rFonts w:ascii="Times New Roman" w:hAnsi="Times New Roman"/>
          <w:b/>
          <w:lang w:val="en-US"/>
        </w:rPr>
        <w:t>2</w:t>
      </w:r>
      <w:r>
        <w:rPr>
          <w:rFonts w:ascii="Times New Roman" w:hAnsi="Times New Roman"/>
          <w:b/>
          <w:lang w:val="en-US"/>
        </w:rPr>
        <w:t>. Anderson-Darling test of residuals for model specification with fast</w:t>
      </w:r>
      <w:r w:rsidR="00287DC8">
        <w:rPr>
          <w:rFonts w:ascii="Times New Roman" w:hAnsi="Times New Roman"/>
          <w:b/>
          <w:lang w:val="en-US"/>
        </w:rPr>
        <w:t>-</w:t>
      </w:r>
      <w:r>
        <w:rPr>
          <w:rFonts w:ascii="Times New Roman" w:hAnsi="Times New Roman"/>
          <w:b/>
          <w:lang w:val="en-US"/>
        </w:rPr>
        <w:t xml:space="preserve">charging infrastructure </w:t>
      </w:r>
    </w:p>
    <w:p w:rsidR="00466106" w:rsidRDefault="00466106" w:rsidP="00CE182C">
      <w:pPr>
        <w:spacing w:line="360" w:lineRule="auto"/>
        <w:jc w:val="both"/>
        <w:rPr>
          <w:rFonts w:ascii="Times New Roman" w:hAnsi="Times New Roman"/>
          <w:sz w:val="24"/>
          <w:szCs w:val="24"/>
          <w:lang w:val="en-US"/>
        </w:rPr>
      </w:pPr>
    </w:p>
    <w:p w:rsidR="00466106" w:rsidRDefault="00466106" w:rsidP="00CE182C">
      <w:pPr>
        <w:spacing w:line="360" w:lineRule="auto"/>
        <w:jc w:val="both"/>
        <w:rPr>
          <w:rFonts w:ascii="Times New Roman" w:hAnsi="Times New Roman"/>
          <w:sz w:val="24"/>
          <w:szCs w:val="24"/>
          <w:lang w:val="en-US"/>
        </w:rPr>
      </w:pPr>
    </w:p>
    <w:p w:rsidR="00466106" w:rsidRDefault="00466106" w:rsidP="00CE182C">
      <w:pPr>
        <w:spacing w:line="360" w:lineRule="auto"/>
        <w:jc w:val="both"/>
        <w:rPr>
          <w:rFonts w:ascii="Times New Roman" w:hAnsi="Times New Roman"/>
          <w:sz w:val="24"/>
          <w:szCs w:val="24"/>
          <w:lang w:val="en-US"/>
        </w:rPr>
      </w:pPr>
    </w:p>
    <w:p w:rsidR="00466106" w:rsidRDefault="00466106" w:rsidP="00CE182C">
      <w:pPr>
        <w:spacing w:line="360" w:lineRule="auto"/>
        <w:jc w:val="both"/>
        <w:rPr>
          <w:rFonts w:ascii="Times New Roman" w:hAnsi="Times New Roman"/>
          <w:sz w:val="24"/>
          <w:szCs w:val="24"/>
          <w:lang w:val="en-US"/>
        </w:rPr>
      </w:pPr>
    </w:p>
    <w:p w:rsidR="00466106" w:rsidRDefault="00466106" w:rsidP="00CE182C">
      <w:pPr>
        <w:spacing w:line="360" w:lineRule="auto"/>
        <w:jc w:val="both"/>
        <w:rPr>
          <w:rFonts w:ascii="Times New Roman" w:hAnsi="Times New Roman"/>
          <w:sz w:val="24"/>
          <w:szCs w:val="24"/>
          <w:lang w:val="en-US"/>
        </w:rPr>
      </w:pPr>
    </w:p>
    <w:p w:rsidR="00466106" w:rsidRDefault="00466106" w:rsidP="00CE182C">
      <w:pPr>
        <w:spacing w:line="360" w:lineRule="auto"/>
        <w:jc w:val="both"/>
        <w:rPr>
          <w:rFonts w:ascii="Times New Roman" w:hAnsi="Times New Roman"/>
          <w:sz w:val="24"/>
          <w:szCs w:val="24"/>
          <w:lang w:val="en-US"/>
        </w:r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833"/>
        <w:gridCol w:w="2695"/>
        <w:gridCol w:w="1694"/>
      </w:tblGrid>
      <w:tr w:rsidR="00A96B87" w:rsidTr="00466106">
        <w:trPr>
          <w:trHeight w:val="680"/>
        </w:trPr>
        <w:tc>
          <w:tcPr>
            <w:tcW w:w="1555" w:type="dxa"/>
            <w:tcBorders>
              <w:top w:val="single" w:sz="12" w:space="0" w:color="auto"/>
              <w:bottom w:val="single" w:sz="12" w:space="0" w:color="auto"/>
            </w:tcBorders>
          </w:tcPr>
          <w:p w:rsidR="00A96B87" w:rsidRPr="00466106" w:rsidRDefault="00A96B87" w:rsidP="00466106">
            <w:pPr>
              <w:rPr>
                <w:rFonts w:ascii="Times New Roman" w:hAnsi="Times New Roman"/>
                <w:b/>
                <w:sz w:val="22"/>
                <w:szCs w:val="22"/>
                <w:lang w:val="en-US"/>
              </w:rPr>
            </w:pPr>
            <w:r w:rsidRPr="00466106">
              <w:rPr>
                <w:rFonts w:ascii="Times New Roman" w:hAnsi="Times New Roman"/>
                <w:b/>
                <w:sz w:val="22"/>
                <w:szCs w:val="22"/>
                <w:lang w:val="en-US"/>
              </w:rPr>
              <w:lastRenderedPageBreak/>
              <w:t>Significant variable</w:t>
            </w:r>
          </w:p>
        </w:tc>
        <w:tc>
          <w:tcPr>
            <w:tcW w:w="2833" w:type="dxa"/>
            <w:tcBorders>
              <w:top w:val="single" w:sz="12" w:space="0" w:color="auto"/>
              <w:bottom w:val="single" w:sz="12" w:space="0" w:color="auto"/>
            </w:tcBorders>
          </w:tcPr>
          <w:p w:rsidR="00466106" w:rsidRDefault="00A96B87" w:rsidP="00466106">
            <w:pPr>
              <w:jc w:val="center"/>
              <w:rPr>
                <w:rFonts w:ascii="Times New Roman" w:hAnsi="Times New Roman"/>
                <w:b/>
                <w:sz w:val="22"/>
                <w:szCs w:val="22"/>
                <w:lang w:val="en-US"/>
              </w:rPr>
            </w:pPr>
            <w:r w:rsidRPr="00466106">
              <w:rPr>
                <w:rFonts w:ascii="Times New Roman" w:hAnsi="Times New Roman"/>
                <w:b/>
                <w:sz w:val="22"/>
                <w:szCs w:val="22"/>
                <w:lang w:val="en-US"/>
              </w:rPr>
              <w:t>Adj. R-squared</w:t>
            </w:r>
          </w:p>
          <w:p w:rsidR="00A96B87" w:rsidRPr="00466106" w:rsidRDefault="00A96B87" w:rsidP="00466106">
            <w:pPr>
              <w:jc w:val="center"/>
              <w:rPr>
                <w:rFonts w:ascii="Times New Roman" w:hAnsi="Times New Roman"/>
                <w:b/>
                <w:sz w:val="22"/>
                <w:szCs w:val="22"/>
                <w:lang w:val="en-US"/>
              </w:rPr>
            </w:pPr>
            <w:r w:rsidRPr="00466106">
              <w:rPr>
                <w:rFonts w:ascii="Times New Roman" w:hAnsi="Times New Roman"/>
                <w:b/>
                <w:sz w:val="22"/>
                <w:szCs w:val="22"/>
                <w:lang w:val="en-US"/>
              </w:rPr>
              <w:t>before deletion</w:t>
            </w:r>
          </w:p>
        </w:tc>
        <w:tc>
          <w:tcPr>
            <w:tcW w:w="2695" w:type="dxa"/>
            <w:tcBorders>
              <w:top w:val="single" w:sz="12" w:space="0" w:color="auto"/>
              <w:bottom w:val="single" w:sz="12" w:space="0" w:color="auto"/>
            </w:tcBorders>
          </w:tcPr>
          <w:p w:rsidR="00466106" w:rsidRDefault="00A96B87" w:rsidP="00466106">
            <w:pPr>
              <w:jc w:val="center"/>
              <w:rPr>
                <w:rFonts w:ascii="Times New Roman" w:hAnsi="Times New Roman"/>
                <w:b/>
                <w:sz w:val="22"/>
                <w:szCs w:val="22"/>
                <w:lang w:val="en-US"/>
              </w:rPr>
            </w:pPr>
            <w:r w:rsidRPr="00466106">
              <w:rPr>
                <w:rFonts w:ascii="Times New Roman" w:hAnsi="Times New Roman"/>
                <w:b/>
                <w:sz w:val="22"/>
                <w:szCs w:val="22"/>
                <w:lang w:val="en-US"/>
              </w:rPr>
              <w:t>Adj. R-squared</w:t>
            </w:r>
          </w:p>
          <w:p w:rsidR="00A96B87" w:rsidRPr="00466106" w:rsidRDefault="00A96B87" w:rsidP="00466106">
            <w:pPr>
              <w:jc w:val="center"/>
              <w:rPr>
                <w:rFonts w:ascii="Times New Roman" w:hAnsi="Times New Roman"/>
                <w:b/>
                <w:sz w:val="22"/>
                <w:szCs w:val="22"/>
                <w:lang w:val="en-US"/>
              </w:rPr>
            </w:pPr>
            <w:r w:rsidRPr="00466106">
              <w:rPr>
                <w:rFonts w:ascii="Times New Roman" w:hAnsi="Times New Roman"/>
                <w:b/>
                <w:sz w:val="22"/>
                <w:szCs w:val="22"/>
                <w:lang w:val="en-US"/>
              </w:rPr>
              <w:t>after deletion</w:t>
            </w:r>
          </w:p>
        </w:tc>
        <w:tc>
          <w:tcPr>
            <w:tcW w:w="1694" w:type="dxa"/>
            <w:tcBorders>
              <w:top w:val="single" w:sz="12" w:space="0" w:color="auto"/>
              <w:bottom w:val="single" w:sz="12" w:space="0" w:color="auto"/>
            </w:tcBorders>
          </w:tcPr>
          <w:p w:rsidR="00A96B87" w:rsidRPr="00466106" w:rsidRDefault="00A96B87" w:rsidP="00466106">
            <w:pPr>
              <w:jc w:val="center"/>
              <w:rPr>
                <w:rFonts w:ascii="Times New Roman" w:hAnsi="Times New Roman"/>
                <w:b/>
                <w:sz w:val="22"/>
                <w:szCs w:val="22"/>
                <w:lang w:val="en-US"/>
              </w:rPr>
            </w:pPr>
            <w:r w:rsidRPr="00466106">
              <w:rPr>
                <w:rFonts w:ascii="Times New Roman" w:hAnsi="Times New Roman"/>
                <w:b/>
                <w:sz w:val="22"/>
                <w:szCs w:val="22"/>
                <w:lang w:val="en-US"/>
              </w:rPr>
              <w:t>Adj. R-squared drop</w:t>
            </w:r>
          </w:p>
        </w:tc>
      </w:tr>
      <w:tr w:rsidR="00A96B87" w:rsidTr="002F2979">
        <w:tc>
          <w:tcPr>
            <w:tcW w:w="1555" w:type="dxa"/>
            <w:tcBorders>
              <w:top w:val="single" w:sz="12" w:space="0" w:color="auto"/>
            </w:tcBorders>
          </w:tcPr>
          <w:p w:rsidR="00A96B87" w:rsidRPr="00466106" w:rsidRDefault="00A96B87" w:rsidP="00CA4971">
            <w:pPr>
              <w:spacing w:after="120"/>
              <w:jc w:val="both"/>
              <w:rPr>
                <w:rFonts w:ascii="Times New Roman" w:hAnsi="Times New Roman"/>
                <w:sz w:val="22"/>
                <w:szCs w:val="22"/>
                <w:lang w:val="en-US"/>
              </w:rPr>
            </w:pPr>
            <w:r w:rsidRPr="00466106">
              <w:rPr>
                <w:rFonts w:ascii="Times New Roman" w:hAnsi="Times New Roman"/>
                <w:sz w:val="22"/>
                <w:szCs w:val="22"/>
                <w:lang w:val="en-US"/>
              </w:rPr>
              <w:t xml:space="preserve">ln fast </w:t>
            </w:r>
            <w:proofErr w:type="spellStart"/>
            <w:r w:rsidRPr="00466106">
              <w:rPr>
                <w:rFonts w:ascii="Times New Roman" w:hAnsi="Times New Roman"/>
                <w:sz w:val="22"/>
                <w:szCs w:val="22"/>
                <w:lang w:val="en-US"/>
              </w:rPr>
              <w:t>ch</w:t>
            </w:r>
            <w:proofErr w:type="spellEnd"/>
            <w:r w:rsidRPr="00466106">
              <w:rPr>
                <w:rFonts w:ascii="Times New Roman" w:hAnsi="Times New Roman"/>
                <w:sz w:val="22"/>
                <w:szCs w:val="22"/>
                <w:lang w:val="en-US"/>
              </w:rPr>
              <w:t xml:space="preserve"> </w:t>
            </w:r>
            <w:proofErr w:type="spellStart"/>
            <w:r w:rsidRPr="00466106">
              <w:rPr>
                <w:rFonts w:ascii="Times New Roman" w:hAnsi="Times New Roman"/>
                <w:sz w:val="22"/>
                <w:szCs w:val="22"/>
                <w:lang w:val="en-US"/>
              </w:rPr>
              <w:t>st</w:t>
            </w:r>
            <w:proofErr w:type="spellEnd"/>
            <w:r w:rsidR="00466106">
              <w:rPr>
                <w:rFonts w:ascii="Times New Roman" w:hAnsi="Times New Roman"/>
                <w:sz w:val="22"/>
                <w:szCs w:val="22"/>
                <w:lang w:val="en-US"/>
              </w:rPr>
              <w:t>-</w:t>
            </w:r>
            <w:r w:rsidRPr="00466106">
              <w:rPr>
                <w:rFonts w:ascii="Times New Roman" w:hAnsi="Times New Roman"/>
                <w:sz w:val="22"/>
                <w:szCs w:val="22"/>
                <w:lang w:val="en-US"/>
              </w:rPr>
              <w:t>ns</w:t>
            </w:r>
          </w:p>
        </w:tc>
        <w:tc>
          <w:tcPr>
            <w:tcW w:w="2833" w:type="dxa"/>
            <w:tcBorders>
              <w:top w:val="single" w:sz="12" w:space="0" w:color="auto"/>
            </w:tcBorders>
          </w:tcPr>
          <w:p w:rsidR="00A96B87" w:rsidRPr="00466106" w:rsidRDefault="00A96B87" w:rsidP="00466106">
            <w:pPr>
              <w:jc w:val="center"/>
              <w:rPr>
                <w:sz w:val="22"/>
                <w:szCs w:val="22"/>
              </w:rPr>
            </w:pPr>
            <w:r w:rsidRPr="00466106">
              <w:rPr>
                <w:rFonts w:ascii="Times New Roman" w:hAnsi="Times New Roman"/>
                <w:sz w:val="22"/>
                <w:szCs w:val="22"/>
                <w:lang w:val="en-US"/>
              </w:rPr>
              <w:t>59,51%</w:t>
            </w:r>
          </w:p>
        </w:tc>
        <w:tc>
          <w:tcPr>
            <w:tcW w:w="2695" w:type="dxa"/>
            <w:tcBorders>
              <w:top w:val="single" w:sz="12" w:space="0" w:color="auto"/>
            </w:tcBorders>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46,27%</w:t>
            </w:r>
          </w:p>
        </w:tc>
        <w:tc>
          <w:tcPr>
            <w:tcW w:w="1694" w:type="dxa"/>
            <w:tcBorders>
              <w:top w:val="single" w:sz="12" w:space="0" w:color="auto"/>
            </w:tcBorders>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13,24%</w:t>
            </w:r>
          </w:p>
        </w:tc>
      </w:tr>
      <w:tr w:rsidR="00A96B87" w:rsidTr="002F2979">
        <w:tc>
          <w:tcPr>
            <w:tcW w:w="1555" w:type="dxa"/>
          </w:tcPr>
          <w:p w:rsidR="00A96B87" w:rsidRPr="00466106" w:rsidRDefault="00A96B87" w:rsidP="00CA4971">
            <w:pPr>
              <w:spacing w:after="120" w:line="360" w:lineRule="auto"/>
              <w:jc w:val="both"/>
              <w:rPr>
                <w:rFonts w:ascii="Times New Roman" w:hAnsi="Times New Roman"/>
                <w:sz w:val="22"/>
                <w:szCs w:val="22"/>
                <w:lang w:val="en-US"/>
              </w:rPr>
            </w:pPr>
            <w:r w:rsidRPr="00466106">
              <w:rPr>
                <w:rFonts w:ascii="Times New Roman" w:hAnsi="Times New Roman"/>
                <w:sz w:val="22"/>
                <w:szCs w:val="22"/>
                <w:lang w:val="en-US"/>
              </w:rPr>
              <w:t xml:space="preserve">ln </w:t>
            </w:r>
            <w:proofErr w:type="spellStart"/>
            <w:r w:rsidRPr="00466106">
              <w:rPr>
                <w:rFonts w:ascii="Times New Roman" w:hAnsi="Times New Roman"/>
                <w:sz w:val="22"/>
                <w:szCs w:val="22"/>
                <w:lang w:val="en-US"/>
              </w:rPr>
              <w:t>dr</w:t>
            </w:r>
            <w:proofErr w:type="spellEnd"/>
            <w:r w:rsidRPr="00466106">
              <w:rPr>
                <w:rFonts w:ascii="Times New Roman" w:hAnsi="Times New Roman"/>
                <w:sz w:val="22"/>
                <w:szCs w:val="22"/>
                <w:lang w:val="en-US"/>
              </w:rPr>
              <w:t xml:space="preserve"> range</w:t>
            </w:r>
          </w:p>
        </w:tc>
        <w:tc>
          <w:tcPr>
            <w:tcW w:w="2833" w:type="dxa"/>
          </w:tcPr>
          <w:p w:rsidR="00A96B87" w:rsidRPr="00466106" w:rsidRDefault="00A96B87" w:rsidP="00466106">
            <w:pPr>
              <w:jc w:val="center"/>
              <w:rPr>
                <w:sz w:val="22"/>
                <w:szCs w:val="22"/>
              </w:rPr>
            </w:pPr>
            <w:r w:rsidRPr="00466106">
              <w:rPr>
                <w:rFonts w:ascii="Times New Roman" w:hAnsi="Times New Roman"/>
                <w:sz w:val="22"/>
                <w:szCs w:val="22"/>
                <w:lang w:val="en-US"/>
              </w:rPr>
              <w:t>59,51%</w:t>
            </w:r>
          </w:p>
        </w:tc>
        <w:tc>
          <w:tcPr>
            <w:tcW w:w="2695"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54,15%</w:t>
            </w:r>
          </w:p>
        </w:tc>
        <w:tc>
          <w:tcPr>
            <w:tcW w:w="1694"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5,36%</w:t>
            </w:r>
          </w:p>
        </w:tc>
      </w:tr>
      <w:tr w:rsidR="00A96B87" w:rsidTr="002F2979">
        <w:tc>
          <w:tcPr>
            <w:tcW w:w="1555" w:type="dxa"/>
          </w:tcPr>
          <w:p w:rsidR="00A96B87" w:rsidRPr="00466106" w:rsidRDefault="00A96B87" w:rsidP="00CA4971">
            <w:pPr>
              <w:spacing w:after="120"/>
              <w:jc w:val="both"/>
              <w:rPr>
                <w:rFonts w:ascii="Times New Roman" w:hAnsi="Times New Roman"/>
                <w:sz w:val="22"/>
                <w:szCs w:val="22"/>
                <w:lang w:val="en-US"/>
              </w:rPr>
            </w:pPr>
            <w:r w:rsidRPr="00466106">
              <w:rPr>
                <w:rFonts w:ascii="Times New Roman" w:hAnsi="Times New Roman"/>
                <w:sz w:val="22"/>
                <w:szCs w:val="22"/>
                <w:lang w:val="en-US"/>
              </w:rPr>
              <w:t>Urban density</w:t>
            </w:r>
          </w:p>
        </w:tc>
        <w:tc>
          <w:tcPr>
            <w:tcW w:w="2833" w:type="dxa"/>
          </w:tcPr>
          <w:p w:rsidR="00A96B87" w:rsidRPr="00466106" w:rsidRDefault="00A96B87" w:rsidP="00466106">
            <w:pPr>
              <w:jc w:val="center"/>
              <w:rPr>
                <w:sz w:val="22"/>
                <w:szCs w:val="22"/>
              </w:rPr>
            </w:pPr>
            <w:r w:rsidRPr="00466106">
              <w:rPr>
                <w:rFonts w:ascii="Times New Roman" w:hAnsi="Times New Roman"/>
                <w:sz w:val="22"/>
                <w:szCs w:val="22"/>
                <w:lang w:val="en-US"/>
              </w:rPr>
              <w:t>59,51%</w:t>
            </w:r>
          </w:p>
        </w:tc>
        <w:tc>
          <w:tcPr>
            <w:tcW w:w="2695"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55,78%</w:t>
            </w:r>
          </w:p>
        </w:tc>
        <w:tc>
          <w:tcPr>
            <w:tcW w:w="1694"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3,73%</w:t>
            </w:r>
          </w:p>
        </w:tc>
      </w:tr>
      <w:tr w:rsidR="00A96B87" w:rsidTr="002F2979">
        <w:tc>
          <w:tcPr>
            <w:tcW w:w="1555" w:type="dxa"/>
          </w:tcPr>
          <w:p w:rsidR="00A96B87" w:rsidRPr="00466106" w:rsidRDefault="00A96B87" w:rsidP="00CA4971">
            <w:pPr>
              <w:spacing w:after="120"/>
              <w:jc w:val="both"/>
              <w:rPr>
                <w:rFonts w:ascii="Times New Roman" w:hAnsi="Times New Roman"/>
                <w:sz w:val="22"/>
                <w:szCs w:val="22"/>
                <w:lang w:val="en-US"/>
              </w:rPr>
            </w:pPr>
            <w:r w:rsidRPr="00466106">
              <w:rPr>
                <w:rFonts w:ascii="Times New Roman" w:hAnsi="Times New Roman"/>
                <w:sz w:val="22"/>
                <w:szCs w:val="22"/>
                <w:lang w:val="en-US"/>
              </w:rPr>
              <w:t>Reduction (company car tax)</w:t>
            </w:r>
          </w:p>
        </w:tc>
        <w:tc>
          <w:tcPr>
            <w:tcW w:w="2833" w:type="dxa"/>
          </w:tcPr>
          <w:p w:rsidR="00A96B87" w:rsidRPr="00466106" w:rsidRDefault="00A96B87" w:rsidP="00466106">
            <w:pPr>
              <w:jc w:val="center"/>
              <w:rPr>
                <w:sz w:val="22"/>
                <w:szCs w:val="22"/>
              </w:rPr>
            </w:pPr>
            <w:r w:rsidRPr="00466106">
              <w:rPr>
                <w:rFonts w:ascii="Times New Roman" w:hAnsi="Times New Roman"/>
                <w:sz w:val="22"/>
                <w:szCs w:val="22"/>
                <w:lang w:val="en-US"/>
              </w:rPr>
              <w:t>59,51%</w:t>
            </w:r>
          </w:p>
        </w:tc>
        <w:tc>
          <w:tcPr>
            <w:tcW w:w="2695"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58,11%</w:t>
            </w:r>
          </w:p>
        </w:tc>
        <w:tc>
          <w:tcPr>
            <w:tcW w:w="1694"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1,4%</w:t>
            </w:r>
          </w:p>
        </w:tc>
      </w:tr>
      <w:tr w:rsidR="00A96B87" w:rsidTr="002F2979">
        <w:tc>
          <w:tcPr>
            <w:tcW w:w="1555" w:type="dxa"/>
          </w:tcPr>
          <w:p w:rsidR="00A96B87" w:rsidRPr="00466106" w:rsidRDefault="00F201CD" w:rsidP="00CA4971">
            <w:pPr>
              <w:spacing w:after="120"/>
              <w:jc w:val="both"/>
              <w:rPr>
                <w:rFonts w:ascii="Times New Roman" w:hAnsi="Times New Roman"/>
                <w:sz w:val="22"/>
                <w:szCs w:val="22"/>
                <w:lang w:val="en-US"/>
              </w:rPr>
            </w:pPr>
            <w:r>
              <w:rPr>
                <w:rFonts w:ascii="Times New Roman" w:hAnsi="Times New Roman"/>
                <w:sz w:val="22"/>
                <w:szCs w:val="22"/>
                <w:lang w:val="en-US"/>
              </w:rPr>
              <w:t xml:space="preserve">HOV/Bus </w:t>
            </w:r>
            <w:r w:rsidR="00A96B87" w:rsidRPr="00466106">
              <w:rPr>
                <w:rFonts w:ascii="Times New Roman" w:hAnsi="Times New Roman"/>
                <w:sz w:val="22"/>
                <w:szCs w:val="22"/>
                <w:lang w:val="en-US"/>
              </w:rPr>
              <w:t>lane access</w:t>
            </w:r>
          </w:p>
        </w:tc>
        <w:tc>
          <w:tcPr>
            <w:tcW w:w="2833" w:type="dxa"/>
          </w:tcPr>
          <w:p w:rsidR="00A96B87" w:rsidRPr="00466106" w:rsidRDefault="00A96B87" w:rsidP="00466106">
            <w:pPr>
              <w:spacing w:after="120"/>
              <w:jc w:val="center"/>
              <w:rPr>
                <w:rFonts w:ascii="Times New Roman" w:hAnsi="Times New Roman"/>
                <w:sz w:val="22"/>
                <w:szCs w:val="22"/>
                <w:lang w:val="en-US"/>
              </w:rPr>
            </w:pPr>
            <w:r w:rsidRPr="00466106">
              <w:rPr>
                <w:rFonts w:ascii="Times New Roman" w:hAnsi="Times New Roman"/>
                <w:sz w:val="22"/>
                <w:szCs w:val="22"/>
                <w:lang w:val="en-US"/>
              </w:rPr>
              <w:t>59,51%</w:t>
            </w:r>
          </w:p>
        </w:tc>
        <w:tc>
          <w:tcPr>
            <w:tcW w:w="2695"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58,45%</w:t>
            </w:r>
          </w:p>
        </w:tc>
        <w:tc>
          <w:tcPr>
            <w:tcW w:w="1694"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1,06%</w:t>
            </w:r>
          </w:p>
        </w:tc>
      </w:tr>
      <w:tr w:rsidR="00A96B87" w:rsidTr="002F2979">
        <w:tc>
          <w:tcPr>
            <w:tcW w:w="1555" w:type="dxa"/>
          </w:tcPr>
          <w:p w:rsidR="00A96B87" w:rsidRPr="00466106" w:rsidRDefault="00A96B87" w:rsidP="00CA4971">
            <w:pPr>
              <w:spacing w:after="120"/>
              <w:jc w:val="both"/>
              <w:rPr>
                <w:rFonts w:ascii="Times New Roman" w:hAnsi="Times New Roman"/>
                <w:sz w:val="22"/>
                <w:szCs w:val="22"/>
                <w:lang w:val="en-US"/>
              </w:rPr>
            </w:pPr>
            <w:r w:rsidRPr="00466106">
              <w:rPr>
                <w:rFonts w:ascii="Times New Roman" w:hAnsi="Times New Roman"/>
                <w:sz w:val="22"/>
                <w:szCs w:val="22"/>
                <w:lang w:val="en-US"/>
              </w:rPr>
              <w:t>BEV models available</w:t>
            </w:r>
          </w:p>
        </w:tc>
        <w:tc>
          <w:tcPr>
            <w:tcW w:w="2833" w:type="dxa"/>
          </w:tcPr>
          <w:p w:rsidR="00A96B87" w:rsidRPr="00466106" w:rsidRDefault="00A96B87" w:rsidP="00466106">
            <w:pPr>
              <w:jc w:val="center"/>
              <w:rPr>
                <w:sz w:val="22"/>
                <w:szCs w:val="22"/>
              </w:rPr>
            </w:pPr>
            <w:r w:rsidRPr="00466106">
              <w:rPr>
                <w:rFonts w:ascii="Times New Roman" w:hAnsi="Times New Roman"/>
                <w:sz w:val="22"/>
                <w:szCs w:val="22"/>
                <w:lang w:val="en-US"/>
              </w:rPr>
              <w:t>59,51%</w:t>
            </w:r>
          </w:p>
        </w:tc>
        <w:tc>
          <w:tcPr>
            <w:tcW w:w="2695"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58,65%</w:t>
            </w:r>
          </w:p>
        </w:tc>
        <w:tc>
          <w:tcPr>
            <w:tcW w:w="1694" w:type="dxa"/>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0,86%</w:t>
            </w:r>
          </w:p>
        </w:tc>
      </w:tr>
      <w:tr w:rsidR="00A96B87" w:rsidTr="002F2979">
        <w:tc>
          <w:tcPr>
            <w:tcW w:w="1555" w:type="dxa"/>
            <w:tcBorders>
              <w:bottom w:val="single" w:sz="12" w:space="0" w:color="auto"/>
            </w:tcBorders>
          </w:tcPr>
          <w:p w:rsidR="00A96B87" w:rsidRPr="00466106" w:rsidRDefault="00A96B87" w:rsidP="00CA4971">
            <w:pPr>
              <w:spacing w:after="120"/>
              <w:jc w:val="both"/>
              <w:rPr>
                <w:rFonts w:ascii="Times New Roman" w:hAnsi="Times New Roman"/>
                <w:sz w:val="22"/>
                <w:szCs w:val="22"/>
                <w:lang w:val="en-US"/>
              </w:rPr>
            </w:pPr>
            <w:r w:rsidRPr="00466106">
              <w:rPr>
                <w:rFonts w:ascii="Times New Roman" w:hAnsi="Times New Roman"/>
                <w:sz w:val="22"/>
                <w:szCs w:val="22"/>
                <w:lang w:val="en-US"/>
              </w:rPr>
              <w:t>VAT Amount</w:t>
            </w:r>
          </w:p>
        </w:tc>
        <w:tc>
          <w:tcPr>
            <w:tcW w:w="2833" w:type="dxa"/>
            <w:tcBorders>
              <w:bottom w:val="single" w:sz="12" w:space="0" w:color="auto"/>
            </w:tcBorders>
          </w:tcPr>
          <w:p w:rsidR="00A96B87" w:rsidRPr="00466106" w:rsidRDefault="00A96B87" w:rsidP="00466106">
            <w:pPr>
              <w:jc w:val="center"/>
              <w:rPr>
                <w:sz w:val="22"/>
                <w:szCs w:val="22"/>
              </w:rPr>
            </w:pPr>
            <w:r w:rsidRPr="00466106">
              <w:rPr>
                <w:rFonts w:ascii="Times New Roman" w:hAnsi="Times New Roman"/>
                <w:sz w:val="22"/>
                <w:szCs w:val="22"/>
                <w:lang w:val="en-US"/>
              </w:rPr>
              <w:t>59,51%</w:t>
            </w:r>
          </w:p>
        </w:tc>
        <w:tc>
          <w:tcPr>
            <w:tcW w:w="2695" w:type="dxa"/>
            <w:tcBorders>
              <w:bottom w:val="single" w:sz="12" w:space="0" w:color="auto"/>
            </w:tcBorders>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58,77%</w:t>
            </w:r>
          </w:p>
        </w:tc>
        <w:tc>
          <w:tcPr>
            <w:tcW w:w="1694" w:type="dxa"/>
            <w:tcBorders>
              <w:bottom w:val="single" w:sz="12" w:space="0" w:color="auto"/>
            </w:tcBorders>
          </w:tcPr>
          <w:p w:rsidR="00A96B87" w:rsidRPr="00466106" w:rsidRDefault="00A96B87" w:rsidP="00466106">
            <w:pPr>
              <w:spacing w:after="120" w:line="360" w:lineRule="auto"/>
              <w:jc w:val="center"/>
              <w:rPr>
                <w:rFonts w:ascii="Times New Roman" w:hAnsi="Times New Roman"/>
                <w:sz w:val="22"/>
                <w:szCs w:val="22"/>
                <w:lang w:val="en-US"/>
              </w:rPr>
            </w:pPr>
            <w:r w:rsidRPr="00466106">
              <w:rPr>
                <w:rFonts w:ascii="Times New Roman" w:hAnsi="Times New Roman"/>
                <w:sz w:val="22"/>
                <w:szCs w:val="22"/>
                <w:lang w:val="en-US"/>
              </w:rPr>
              <w:t>0,74%</w:t>
            </w:r>
          </w:p>
        </w:tc>
      </w:tr>
    </w:tbl>
    <w:p w:rsidR="00A80EF6" w:rsidRDefault="00E42DF0" w:rsidP="00CE182C">
      <w:pPr>
        <w:spacing w:line="360" w:lineRule="auto"/>
        <w:jc w:val="both"/>
        <w:rPr>
          <w:rFonts w:ascii="Times New Roman" w:hAnsi="Times New Roman"/>
          <w:sz w:val="24"/>
          <w:szCs w:val="24"/>
          <w:lang w:val="en-US"/>
        </w:rPr>
      </w:pPr>
      <w:r>
        <w:rPr>
          <w:rFonts w:ascii="Times New Roman" w:hAnsi="Times New Roman"/>
          <w:b/>
          <w:lang w:val="en-US"/>
        </w:rPr>
        <w:t>Table 11. Sensitivity tests of the model with fast</w:t>
      </w:r>
      <w:r w:rsidR="00287DC8">
        <w:rPr>
          <w:rFonts w:ascii="Times New Roman" w:hAnsi="Times New Roman"/>
          <w:b/>
          <w:lang w:val="en-US"/>
        </w:rPr>
        <w:t>-</w:t>
      </w:r>
      <w:r>
        <w:rPr>
          <w:rFonts w:ascii="Times New Roman" w:hAnsi="Times New Roman"/>
          <w:b/>
          <w:lang w:val="en-US"/>
        </w:rPr>
        <w:t>charging stations</w:t>
      </w:r>
    </w:p>
    <w:p w:rsidR="00E42DF0" w:rsidRDefault="00E42DF0" w:rsidP="00CE182C">
      <w:pPr>
        <w:spacing w:line="360" w:lineRule="auto"/>
        <w:jc w:val="both"/>
        <w:rPr>
          <w:rFonts w:ascii="Times New Roman" w:hAnsi="Times New Roman"/>
          <w:sz w:val="24"/>
          <w:szCs w:val="24"/>
          <w:lang w:val="en-US"/>
        </w:rPr>
      </w:pPr>
    </w:p>
    <w:p w:rsidR="00E42DF0" w:rsidRDefault="00E42DF0" w:rsidP="00CE182C">
      <w:pPr>
        <w:spacing w:line="360" w:lineRule="auto"/>
        <w:jc w:val="both"/>
        <w:rPr>
          <w:rFonts w:ascii="Times New Roman" w:hAnsi="Times New Roman"/>
          <w:sz w:val="24"/>
          <w:szCs w:val="24"/>
          <w:lang w:val="en-US"/>
        </w:rPr>
        <w:sectPr w:rsidR="00E42DF0" w:rsidSect="00BB42B8">
          <w:pgSz w:w="11906" w:h="16838"/>
          <w:pgMar w:top="1418" w:right="1418" w:bottom="1418" w:left="1701" w:header="709" w:footer="709" w:gutter="0"/>
          <w:cols w:space="708"/>
          <w:docGrid w:linePitch="360"/>
        </w:sectPr>
      </w:pPr>
    </w:p>
    <w:p w:rsidR="00600CF9" w:rsidRPr="00F74A7A" w:rsidRDefault="00F74A7A" w:rsidP="00F84058">
      <w:pPr>
        <w:pStyle w:val="1"/>
        <w:rPr>
          <w:lang w:val="en-US"/>
        </w:rPr>
      </w:pPr>
      <w:bookmarkStart w:id="41" w:name="_Toc535248670"/>
      <w:r w:rsidRPr="00F74A7A">
        <w:rPr>
          <w:lang w:val="en-US"/>
        </w:rPr>
        <w:lastRenderedPageBreak/>
        <w:t>Declaration of authorship of an academic paper</w:t>
      </w:r>
      <w:bookmarkEnd w:id="41"/>
    </w:p>
    <w:p w:rsidR="003E2F79" w:rsidRPr="003E2F79" w:rsidRDefault="003E2F79" w:rsidP="00CE182C">
      <w:pPr>
        <w:spacing w:after="120" w:line="360" w:lineRule="auto"/>
        <w:jc w:val="both"/>
        <w:rPr>
          <w:rFonts w:ascii="Times New Roman" w:hAnsi="Times New Roman"/>
          <w:sz w:val="24"/>
          <w:szCs w:val="24"/>
          <w:lang w:val="en-US"/>
        </w:rPr>
      </w:pPr>
      <w:r w:rsidRPr="003E2F79">
        <w:rPr>
          <w:rFonts w:ascii="Times New Roman" w:hAnsi="Times New Roman"/>
          <w:sz w:val="24"/>
          <w:szCs w:val="24"/>
          <w:lang w:val="en-US"/>
        </w:rPr>
        <w:t xml:space="preserve">I hereby declare that I have written this paper myself and used no other sources  or resources than those indicated, have clearly marked verbatim quotations as such, and clearly indicated the source of all paraphrased references, and have observed the General Study and Examination Regulations of Reutlingen University for bachelor and master </w:t>
      </w:r>
      <w:proofErr w:type="spellStart"/>
      <w:r w:rsidRPr="003E2F79">
        <w:rPr>
          <w:rFonts w:ascii="Times New Roman" w:hAnsi="Times New Roman"/>
          <w:sz w:val="24"/>
          <w:szCs w:val="24"/>
          <w:lang w:val="en-US"/>
        </w:rPr>
        <w:t>programmes</w:t>
      </w:r>
      <w:proofErr w:type="spellEnd"/>
      <w:r w:rsidRPr="003E2F79">
        <w:rPr>
          <w:rFonts w:ascii="Times New Roman" w:hAnsi="Times New Roman"/>
          <w:sz w:val="24"/>
          <w:szCs w:val="24"/>
          <w:lang w:val="en-US"/>
        </w:rPr>
        <w:t xml:space="preserve">, the specific regulations for study and examinations of my study </w:t>
      </w:r>
      <w:proofErr w:type="spellStart"/>
      <w:r w:rsidRPr="003E2F79">
        <w:rPr>
          <w:rFonts w:ascii="Times New Roman" w:hAnsi="Times New Roman"/>
          <w:sz w:val="24"/>
          <w:szCs w:val="24"/>
          <w:lang w:val="en-US"/>
        </w:rPr>
        <w:t>programme</w:t>
      </w:r>
      <w:proofErr w:type="spellEnd"/>
      <w:r w:rsidRPr="003E2F79">
        <w:rPr>
          <w:rFonts w:ascii="Times New Roman" w:hAnsi="Times New Roman"/>
          <w:sz w:val="24"/>
          <w:szCs w:val="24"/>
          <w:lang w:val="en-US"/>
        </w:rPr>
        <w:t>, and the Regulations for Ensuring Good Academic Practice of Reutlingen University.</w:t>
      </w:r>
    </w:p>
    <w:p w:rsidR="00E6572A" w:rsidRPr="00E6572A" w:rsidRDefault="00E6572A" w:rsidP="00CE182C">
      <w:pPr>
        <w:spacing w:after="120" w:line="360" w:lineRule="auto"/>
        <w:jc w:val="both"/>
        <w:rPr>
          <w:rFonts w:ascii="Times New Roman" w:hAnsi="Times New Roman"/>
          <w:sz w:val="24"/>
          <w:szCs w:val="24"/>
          <w:lang w:val="en-US"/>
        </w:rPr>
      </w:pPr>
      <w:r w:rsidRPr="00E6572A">
        <w:rPr>
          <w:rFonts w:ascii="Times New Roman" w:hAnsi="Times New Roman"/>
          <w:sz w:val="24"/>
          <w:szCs w:val="24"/>
          <w:lang w:val="en-US"/>
        </w:rPr>
        <w:t>Neither this paper nor any part of this paper is a part of any other material presented for examination at this or any other institution.</w:t>
      </w:r>
    </w:p>
    <w:p w:rsidR="00600CF9" w:rsidRDefault="00600CF9"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Default="00FA376A" w:rsidP="00CE182C">
      <w:pPr>
        <w:spacing w:after="120" w:line="360" w:lineRule="auto"/>
        <w:jc w:val="both"/>
        <w:rPr>
          <w:rFonts w:ascii="Times New Roman" w:hAnsi="Times New Roman"/>
          <w:sz w:val="24"/>
          <w:szCs w:val="24"/>
          <w:lang w:val="en-US"/>
        </w:rPr>
      </w:pPr>
    </w:p>
    <w:p w:rsidR="00FA376A" w:rsidRPr="00FA376A" w:rsidRDefault="00FA376A" w:rsidP="00CE182C">
      <w:pPr>
        <w:spacing w:after="120" w:line="360" w:lineRule="auto"/>
        <w:jc w:val="both"/>
        <w:rPr>
          <w:rFonts w:ascii="Times New Roman" w:hAnsi="Times New Roman"/>
          <w:sz w:val="24"/>
          <w:szCs w:val="24"/>
          <w:lang w:val="en-GB"/>
        </w:rPr>
      </w:pPr>
    </w:p>
    <w:p w:rsidR="00FA376A" w:rsidRPr="00FA376A" w:rsidRDefault="00FA376A" w:rsidP="00CE182C">
      <w:pPr>
        <w:spacing w:after="120" w:line="360" w:lineRule="auto"/>
        <w:jc w:val="both"/>
        <w:rPr>
          <w:rFonts w:ascii="Times New Roman" w:hAnsi="Times New Roman"/>
          <w:sz w:val="24"/>
          <w:szCs w:val="24"/>
          <w:lang w:val="en-GB"/>
        </w:rPr>
      </w:pPr>
      <w:r>
        <w:rPr>
          <w:rFonts w:ascii="Times New Roman" w:hAnsi="Times New Roman"/>
          <w:sz w:val="24"/>
          <w:szCs w:val="24"/>
          <w:lang w:val="en-GB"/>
        </w:rPr>
        <w:t>Reutlingen, 1</w:t>
      </w:r>
      <w:r w:rsidR="00146A00">
        <w:rPr>
          <w:rFonts w:ascii="Times New Roman" w:hAnsi="Times New Roman"/>
          <w:sz w:val="24"/>
          <w:szCs w:val="24"/>
          <w:lang w:val="en-GB"/>
        </w:rPr>
        <w:t>5</w:t>
      </w:r>
      <w:r>
        <w:rPr>
          <w:rFonts w:ascii="Times New Roman" w:hAnsi="Times New Roman"/>
          <w:sz w:val="24"/>
          <w:szCs w:val="24"/>
          <w:lang w:val="en-GB"/>
        </w:rPr>
        <w:t>.0</w:t>
      </w:r>
      <w:r w:rsidR="004D2379">
        <w:rPr>
          <w:rFonts w:ascii="Times New Roman" w:hAnsi="Times New Roman"/>
          <w:sz w:val="24"/>
          <w:szCs w:val="24"/>
          <w:lang w:val="en-GB"/>
        </w:rPr>
        <w:t>1</w:t>
      </w:r>
      <w:r>
        <w:rPr>
          <w:rFonts w:ascii="Times New Roman" w:hAnsi="Times New Roman"/>
          <w:sz w:val="24"/>
          <w:szCs w:val="24"/>
          <w:lang w:val="en-GB"/>
        </w:rPr>
        <w:t>.201</w:t>
      </w:r>
      <w:r w:rsidR="004D2379">
        <w:rPr>
          <w:rFonts w:ascii="Times New Roman" w:hAnsi="Times New Roman"/>
          <w:sz w:val="24"/>
          <w:szCs w:val="24"/>
          <w:lang w:val="en-GB"/>
        </w:rPr>
        <w:t>9</w:t>
      </w:r>
      <w:r w:rsidRPr="00FA376A">
        <w:rPr>
          <w:rFonts w:ascii="Times New Roman" w:hAnsi="Times New Roman"/>
          <w:sz w:val="24"/>
          <w:szCs w:val="24"/>
          <w:lang w:val="en-GB"/>
        </w:rPr>
        <w:tab/>
      </w:r>
      <w:r w:rsidRPr="00FA376A">
        <w:rPr>
          <w:rFonts w:ascii="Times New Roman" w:hAnsi="Times New Roman"/>
          <w:sz w:val="24"/>
          <w:szCs w:val="24"/>
          <w:lang w:val="en-GB"/>
        </w:rPr>
        <w:tab/>
      </w:r>
      <w:r w:rsidRPr="00FA376A">
        <w:rPr>
          <w:rFonts w:ascii="Times New Roman" w:hAnsi="Times New Roman"/>
          <w:sz w:val="24"/>
          <w:szCs w:val="24"/>
          <w:lang w:val="en-GB"/>
        </w:rPr>
        <w:tab/>
      </w:r>
      <w:r w:rsidRPr="00FA376A">
        <w:rPr>
          <w:rFonts w:ascii="Times New Roman" w:hAnsi="Times New Roman"/>
          <w:sz w:val="24"/>
          <w:szCs w:val="24"/>
          <w:lang w:val="en-GB"/>
        </w:rPr>
        <w:tab/>
      </w:r>
      <w:r>
        <w:rPr>
          <w:rFonts w:ascii="Times New Roman" w:hAnsi="Times New Roman"/>
          <w:sz w:val="24"/>
          <w:szCs w:val="24"/>
          <w:lang w:val="en-GB"/>
        </w:rPr>
        <w:tab/>
      </w:r>
      <w:r>
        <w:rPr>
          <w:rFonts w:ascii="Times New Roman" w:hAnsi="Times New Roman"/>
          <w:sz w:val="24"/>
          <w:szCs w:val="24"/>
          <w:lang w:val="en-GB"/>
        </w:rPr>
        <w:tab/>
        <w:t>_______________</w:t>
      </w:r>
    </w:p>
    <w:p w:rsidR="00FA376A" w:rsidRPr="00FA376A" w:rsidRDefault="004D2379" w:rsidP="00CE182C">
      <w:pPr>
        <w:spacing w:after="120" w:line="360" w:lineRule="auto"/>
        <w:ind w:left="5672" w:firstLine="709"/>
        <w:jc w:val="both"/>
        <w:rPr>
          <w:rFonts w:ascii="Times New Roman" w:hAnsi="Times New Roman"/>
          <w:sz w:val="24"/>
          <w:szCs w:val="24"/>
          <w:lang w:val="en-GB"/>
        </w:rPr>
      </w:pPr>
      <w:r>
        <w:rPr>
          <w:rFonts w:ascii="Times New Roman" w:hAnsi="Times New Roman"/>
          <w:sz w:val="24"/>
          <w:szCs w:val="24"/>
          <w:lang w:val="en-GB"/>
        </w:rPr>
        <w:t>Maria Kholopova</w:t>
      </w:r>
    </w:p>
    <w:p w:rsidR="00FA376A" w:rsidRPr="00FA376A" w:rsidRDefault="00FA376A" w:rsidP="00CE182C">
      <w:pPr>
        <w:spacing w:after="120" w:line="360" w:lineRule="auto"/>
        <w:jc w:val="both"/>
        <w:rPr>
          <w:rFonts w:ascii="Times New Roman" w:hAnsi="Times New Roman"/>
          <w:sz w:val="24"/>
          <w:szCs w:val="24"/>
          <w:lang w:val="en-US"/>
        </w:rPr>
      </w:pPr>
    </w:p>
    <w:sectPr w:rsidR="00FA376A" w:rsidRPr="00FA376A" w:rsidSect="00BB42B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DE0" w:rsidRDefault="00506DE0" w:rsidP="00EE7C39">
      <w:r>
        <w:separator/>
      </w:r>
    </w:p>
  </w:endnote>
  <w:endnote w:type="continuationSeparator" w:id="0">
    <w:p w:rsidR="00506DE0" w:rsidRDefault="00506DE0" w:rsidP="00EE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lusLF">
    <w:altName w:val="Calibri"/>
    <w:charset w:val="00"/>
    <w:family w:val="auto"/>
    <w:pitch w:val="variable"/>
    <w:sig w:usb0="800002AF" w:usb1="4000204A" w:usb2="00000000" w:usb3="00000000" w:csb0="00000097"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3AE" w:rsidRDefault="003163AE" w:rsidP="00341649">
    <w:pPr>
      <w:pStyle w:val="a4"/>
      <w:jc w:val="center"/>
      <w:rPr>
        <w:rFonts w:ascii="Arial Unicode MS" w:eastAsia="Arial Unicode MS" w:hAnsi="Arial Unicode MS" w:cs="Arial Unicode MS"/>
        <w:color w:val="000000"/>
        <w:sz w:val="17"/>
      </w:rPr>
    </w:pPr>
    <w:bookmarkStart w:id="2" w:name="aliashAdvancedHF1FooterEvenPages"/>
    <w:proofErr w:type="spellStart"/>
    <w:r w:rsidRPr="00341649">
      <w:rPr>
        <w:rFonts w:ascii="Arial Unicode MS" w:eastAsia="Arial Unicode MS" w:hAnsi="Arial Unicode MS" w:cs="Arial Unicode MS"/>
        <w:color w:val="000000"/>
        <w:sz w:val="17"/>
      </w:rPr>
      <w:t>For</w:t>
    </w:r>
    <w:proofErr w:type="spellEnd"/>
    <w:r w:rsidRPr="00341649">
      <w:rPr>
        <w:rFonts w:ascii="Arial Unicode MS" w:eastAsia="Arial Unicode MS" w:hAnsi="Arial Unicode MS" w:cs="Arial Unicode MS"/>
        <w:color w:val="000000"/>
        <w:sz w:val="17"/>
      </w:rPr>
      <w:t xml:space="preserve"> internal </w:t>
    </w:r>
    <w:proofErr w:type="spellStart"/>
    <w:r w:rsidRPr="00341649">
      <w:rPr>
        <w:rFonts w:ascii="Arial Unicode MS" w:eastAsia="Arial Unicode MS" w:hAnsi="Arial Unicode MS" w:cs="Arial Unicode MS"/>
        <w:color w:val="000000"/>
        <w:sz w:val="17"/>
      </w:rPr>
      <w:t>use</w:t>
    </w:r>
    <w:proofErr w:type="spellEnd"/>
    <w:r w:rsidRPr="00341649">
      <w:rPr>
        <w:rFonts w:ascii="Arial Unicode MS" w:eastAsia="Arial Unicode MS" w:hAnsi="Arial Unicode MS" w:cs="Arial Unicode MS"/>
        <w:color w:val="000000"/>
        <w:sz w:val="17"/>
      </w:rPr>
      <w:t xml:space="preserve"> </w:t>
    </w:r>
    <w:proofErr w:type="spellStart"/>
    <w:r w:rsidRPr="00341649">
      <w:rPr>
        <w:rFonts w:ascii="Arial Unicode MS" w:eastAsia="Arial Unicode MS" w:hAnsi="Arial Unicode MS" w:cs="Arial Unicode MS"/>
        <w:color w:val="000000"/>
        <w:sz w:val="17"/>
      </w:rPr>
      <w:t>only</w:t>
    </w:r>
    <w:proofErr w:type="spellEnd"/>
  </w:p>
  <w:bookmarkEnd w:id="2"/>
  <w:p w:rsidR="003163AE" w:rsidRDefault="003163A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3AE" w:rsidRPr="00E66357" w:rsidRDefault="003163AE" w:rsidP="00341649">
    <w:pPr>
      <w:pStyle w:val="a4"/>
      <w:jc w:val="center"/>
      <w:rPr>
        <w:rFonts w:ascii="Arial Unicode MS" w:eastAsia="Arial Unicode MS" w:hAnsi="Arial Unicode MS" w:cs="Arial Unicode MS"/>
        <w:color w:val="000000"/>
        <w:sz w:val="17"/>
        <w:lang w:val="en-US"/>
      </w:rPr>
    </w:pPr>
    <w:bookmarkStart w:id="3" w:name="aliashAdvancedHF1FooterPrimary"/>
  </w:p>
  <w:bookmarkEnd w:id="3" w:displacedByCustomXml="next"/>
  <w:sdt>
    <w:sdtPr>
      <w:id w:val="-1167868330"/>
      <w:docPartObj>
        <w:docPartGallery w:val="Page Numbers (Bottom of Page)"/>
        <w:docPartUnique/>
      </w:docPartObj>
    </w:sdtPr>
    <w:sdtEndPr/>
    <w:sdtContent>
      <w:p w:rsidR="003163AE" w:rsidRPr="00E66357" w:rsidRDefault="003163AE">
        <w:pPr>
          <w:pStyle w:val="a4"/>
          <w:jc w:val="right"/>
          <w:rPr>
            <w:lang w:val="en-US"/>
          </w:rPr>
        </w:pPr>
        <w:r>
          <w:fldChar w:fldCharType="begin"/>
        </w:r>
        <w:r w:rsidRPr="00E66357">
          <w:rPr>
            <w:lang w:val="en-US"/>
          </w:rPr>
          <w:instrText>PAGE   \* MERGEFORMAT</w:instrText>
        </w:r>
        <w:r>
          <w:fldChar w:fldCharType="separate"/>
        </w:r>
        <w:r w:rsidRPr="00E66357">
          <w:rPr>
            <w:noProof/>
            <w:lang w:val="en-US"/>
          </w:rPr>
          <w:t>ii</w:t>
        </w:r>
        <w:r>
          <w:fldChar w:fldCharType="end"/>
        </w:r>
      </w:p>
    </w:sdtContent>
  </w:sdt>
  <w:p w:rsidR="003163AE" w:rsidRPr="00E66357" w:rsidRDefault="003163AE">
    <w:pPr>
      <w:pStyle w:val="a4"/>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3AE" w:rsidRDefault="003163AE" w:rsidP="00341649">
    <w:pPr>
      <w:pStyle w:val="a4"/>
      <w:jc w:val="center"/>
      <w:rPr>
        <w:rFonts w:ascii="Arial Unicode MS" w:eastAsia="Arial Unicode MS" w:hAnsi="Arial Unicode MS" w:cs="Arial Unicode MS"/>
        <w:color w:val="000000"/>
        <w:sz w:val="17"/>
      </w:rPr>
    </w:pPr>
    <w:bookmarkStart w:id="11" w:name="aliashAdvancedHF5FooterPrimary"/>
  </w:p>
  <w:bookmarkEnd w:id="11" w:displacedByCustomXml="next"/>
  <w:sdt>
    <w:sdtPr>
      <w:id w:val="213775257"/>
      <w:docPartObj>
        <w:docPartGallery w:val="Page Numbers (Bottom of Page)"/>
        <w:docPartUnique/>
      </w:docPartObj>
    </w:sdtPr>
    <w:sdtEndPr/>
    <w:sdtContent>
      <w:p w:rsidR="003163AE" w:rsidRDefault="003163AE">
        <w:pPr>
          <w:pStyle w:val="a4"/>
          <w:jc w:val="right"/>
        </w:pPr>
        <w:r>
          <w:fldChar w:fldCharType="begin"/>
        </w:r>
        <w:r>
          <w:instrText>PAGE   \* MERGEFORMAT</w:instrText>
        </w:r>
        <w:r>
          <w:fldChar w:fldCharType="separate"/>
        </w:r>
        <w:r>
          <w:rPr>
            <w:noProof/>
          </w:rPr>
          <w:t>15</w:t>
        </w:r>
        <w:r>
          <w:fldChar w:fldCharType="end"/>
        </w:r>
      </w:p>
    </w:sdtContent>
  </w:sdt>
  <w:p w:rsidR="003163AE" w:rsidRDefault="003163A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DE0" w:rsidRDefault="00506DE0" w:rsidP="00EE7C39">
      <w:r>
        <w:separator/>
      </w:r>
    </w:p>
  </w:footnote>
  <w:footnote w:type="continuationSeparator" w:id="0">
    <w:p w:rsidR="00506DE0" w:rsidRDefault="00506DE0" w:rsidP="00EE7C39">
      <w:r>
        <w:continuationSeparator/>
      </w:r>
    </w:p>
  </w:footnote>
  <w:footnote w:id="1">
    <w:p w:rsidR="003163AE" w:rsidRPr="00C65BE4" w:rsidRDefault="003163AE">
      <w:pPr>
        <w:pStyle w:val="af5"/>
        <w:rPr>
          <w:lang w:val="en-US"/>
        </w:rPr>
      </w:pPr>
      <w:r>
        <w:rPr>
          <w:rStyle w:val="af7"/>
        </w:rPr>
        <w:footnoteRef/>
      </w:r>
      <w:r w:rsidRPr="00C65BE4">
        <w:rPr>
          <w:lang w:val="en-US"/>
        </w:rPr>
        <w:t xml:space="preserve"> </w:t>
      </w:r>
      <w:r w:rsidRPr="006C6678">
        <w:rPr>
          <w:rFonts w:ascii="Times New Roman" w:hAnsi="Times New Roman"/>
          <w:lang w:val="en-US"/>
        </w:rPr>
        <w:t>Please note that all the numbers in graphs, figures and statistical tables are in European format, due to the software settings. We apologize for the inconvenience.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5A41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9099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923D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D4C0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DA78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D613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00B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A84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7C56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2E6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F4BAE"/>
    <w:multiLevelType w:val="hybridMultilevel"/>
    <w:tmpl w:val="644631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16188D"/>
    <w:multiLevelType w:val="singleLevel"/>
    <w:tmpl w:val="6726AEE6"/>
    <w:lvl w:ilvl="0">
      <w:start w:val="1"/>
      <w:numFmt w:val="decimal"/>
      <w:lvlText w:val="%1."/>
      <w:lvlJc w:val="left"/>
      <w:pPr>
        <w:tabs>
          <w:tab w:val="num" w:pos="360"/>
        </w:tabs>
        <w:ind w:left="360" w:hanging="360"/>
      </w:pPr>
    </w:lvl>
  </w:abstractNum>
  <w:abstractNum w:abstractNumId="12" w15:restartNumberingAfterBreak="0">
    <w:nsid w:val="11BC03C9"/>
    <w:multiLevelType w:val="hybridMultilevel"/>
    <w:tmpl w:val="E99CC1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BC346EE"/>
    <w:multiLevelType w:val="singleLevel"/>
    <w:tmpl w:val="BA2CB5C0"/>
    <w:lvl w:ilvl="0">
      <w:numFmt w:val="decimal"/>
      <w:lvlText w:val="%1"/>
      <w:legacy w:legacy="1" w:legacySpace="0" w:legacyIndent="0"/>
      <w:lvlJc w:val="left"/>
    </w:lvl>
  </w:abstractNum>
  <w:abstractNum w:abstractNumId="14" w15:restartNumberingAfterBreak="0">
    <w:nsid w:val="20C01340"/>
    <w:multiLevelType w:val="singleLevel"/>
    <w:tmpl w:val="28C440D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147641A"/>
    <w:multiLevelType w:val="hybridMultilevel"/>
    <w:tmpl w:val="22E612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8A550E"/>
    <w:multiLevelType w:val="hybridMultilevel"/>
    <w:tmpl w:val="4B58C1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D717A5"/>
    <w:multiLevelType w:val="hybridMultilevel"/>
    <w:tmpl w:val="5AF49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5CC34D5"/>
    <w:multiLevelType w:val="hybridMultilevel"/>
    <w:tmpl w:val="E8942DCA"/>
    <w:lvl w:ilvl="0" w:tplc="133EAC9A">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8BD2349"/>
    <w:multiLevelType w:val="hybridMultilevel"/>
    <w:tmpl w:val="257EC066"/>
    <w:lvl w:ilvl="0" w:tplc="C1EABC26">
      <w:start w:val="1"/>
      <w:numFmt w:val="bullet"/>
      <w:pStyle w:val="a"/>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2B15AE1"/>
    <w:multiLevelType w:val="hybridMultilevel"/>
    <w:tmpl w:val="42E48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35E57A9"/>
    <w:multiLevelType w:val="hybridMultilevel"/>
    <w:tmpl w:val="4CD60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5B21DF1"/>
    <w:multiLevelType w:val="hybridMultilevel"/>
    <w:tmpl w:val="DEDE7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9355962"/>
    <w:multiLevelType w:val="multilevel"/>
    <w:tmpl w:val="28CA3336"/>
    <w:lvl w:ilvl="0">
      <w:start w:val="1"/>
      <w:numFmt w:val="decimal"/>
      <w:pStyle w:val="1"/>
      <w:lvlText w:val="%1"/>
      <w:lvlJc w:val="left"/>
      <w:pPr>
        <w:tabs>
          <w:tab w:val="num" w:pos="432"/>
        </w:tabs>
        <w:ind w:left="432" w:hanging="432"/>
      </w:pPr>
      <w:rPr>
        <w:color w:val="auto"/>
      </w:rPr>
    </w:lvl>
    <w:lvl w:ilvl="1">
      <w:start w:val="1"/>
      <w:numFmt w:val="decimal"/>
      <w:pStyle w:val="2"/>
      <w:lvlText w:val="%1.%2"/>
      <w:lvlJc w:val="left"/>
      <w:pPr>
        <w:tabs>
          <w:tab w:val="num" w:pos="7097"/>
        </w:tabs>
        <w:ind w:left="7097" w:hanging="576"/>
      </w:pPr>
    </w:lvl>
    <w:lvl w:ilvl="2">
      <w:start w:val="1"/>
      <w:numFmt w:val="decimal"/>
      <w:pStyle w:val="3"/>
      <w:lvlText w:val="%1.%2.%3"/>
      <w:lvlJc w:val="left"/>
      <w:pPr>
        <w:tabs>
          <w:tab w:val="num" w:pos="861"/>
        </w:tabs>
        <w:ind w:left="861" w:hanging="720"/>
      </w:pPr>
      <w:rPr>
        <w:rFonts w:ascii="Times New Roman" w:hAnsi="Times New Roman" w:cs="Times New Roman" w:hint="default"/>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4" w15:restartNumberingAfterBreak="0">
    <w:nsid w:val="3DC45427"/>
    <w:multiLevelType w:val="hybridMultilevel"/>
    <w:tmpl w:val="DC82075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6A440AA"/>
    <w:multiLevelType w:val="hybridMultilevel"/>
    <w:tmpl w:val="5AF49D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8E3BA7"/>
    <w:multiLevelType w:val="hybridMultilevel"/>
    <w:tmpl w:val="4DC4D6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D974E82"/>
    <w:multiLevelType w:val="hybridMultilevel"/>
    <w:tmpl w:val="2A0C6962"/>
    <w:lvl w:ilvl="0" w:tplc="BC440F0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7585632"/>
    <w:multiLevelType w:val="hybridMultilevel"/>
    <w:tmpl w:val="A3E04AC8"/>
    <w:lvl w:ilvl="0" w:tplc="BC440F0A">
      <w:start w:val="1"/>
      <w:numFmt w:val="decimal"/>
      <w:lvlText w:val="%1."/>
      <w:lvlJc w:val="left"/>
      <w:pPr>
        <w:ind w:left="1044" w:hanging="360"/>
      </w:pPr>
      <w:rPr>
        <w:rFonts w:hint="default"/>
      </w:rPr>
    </w:lvl>
    <w:lvl w:ilvl="1" w:tplc="04070019" w:tentative="1">
      <w:start w:val="1"/>
      <w:numFmt w:val="lowerLetter"/>
      <w:lvlText w:val="%2."/>
      <w:lvlJc w:val="left"/>
      <w:pPr>
        <w:ind w:left="1404" w:hanging="360"/>
      </w:pPr>
    </w:lvl>
    <w:lvl w:ilvl="2" w:tplc="0407001B" w:tentative="1">
      <w:start w:val="1"/>
      <w:numFmt w:val="lowerRoman"/>
      <w:lvlText w:val="%3."/>
      <w:lvlJc w:val="right"/>
      <w:pPr>
        <w:ind w:left="2124" w:hanging="180"/>
      </w:pPr>
    </w:lvl>
    <w:lvl w:ilvl="3" w:tplc="0407000F" w:tentative="1">
      <w:start w:val="1"/>
      <w:numFmt w:val="decimal"/>
      <w:lvlText w:val="%4."/>
      <w:lvlJc w:val="left"/>
      <w:pPr>
        <w:ind w:left="2844" w:hanging="360"/>
      </w:pPr>
    </w:lvl>
    <w:lvl w:ilvl="4" w:tplc="04070019" w:tentative="1">
      <w:start w:val="1"/>
      <w:numFmt w:val="lowerLetter"/>
      <w:lvlText w:val="%5."/>
      <w:lvlJc w:val="left"/>
      <w:pPr>
        <w:ind w:left="3564" w:hanging="360"/>
      </w:pPr>
    </w:lvl>
    <w:lvl w:ilvl="5" w:tplc="0407001B" w:tentative="1">
      <w:start w:val="1"/>
      <w:numFmt w:val="lowerRoman"/>
      <w:lvlText w:val="%6."/>
      <w:lvlJc w:val="right"/>
      <w:pPr>
        <w:ind w:left="4284" w:hanging="180"/>
      </w:pPr>
    </w:lvl>
    <w:lvl w:ilvl="6" w:tplc="0407000F" w:tentative="1">
      <w:start w:val="1"/>
      <w:numFmt w:val="decimal"/>
      <w:lvlText w:val="%7."/>
      <w:lvlJc w:val="left"/>
      <w:pPr>
        <w:ind w:left="5004" w:hanging="360"/>
      </w:pPr>
    </w:lvl>
    <w:lvl w:ilvl="7" w:tplc="04070019" w:tentative="1">
      <w:start w:val="1"/>
      <w:numFmt w:val="lowerLetter"/>
      <w:lvlText w:val="%8."/>
      <w:lvlJc w:val="left"/>
      <w:pPr>
        <w:ind w:left="5724" w:hanging="360"/>
      </w:pPr>
    </w:lvl>
    <w:lvl w:ilvl="8" w:tplc="0407001B" w:tentative="1">
      <w:start w:val="1"/>
      <w:numFmt w:val="lowerRoman"/>
      <w:lvlText w:val="%9."/>
      <w:lvlJc w:val="right"/>
      <w:pPr>
        <w:ind w:left="6444" w:hanging="180"/>
      </w:pPr>
    </w:lvl>
  </w:abstractNum>
  <w:abstractNum w:abstractNumId="29" w15:restartNumberingAfterBreak="0">
    <w:nsid w:val="745F2298"/>
    <w:multiLevelType w:val="singleLevel"/>
    <w:tmpl w:val="BA2CB5C0"/>
    <w:lvl w:ilvl="0">
      <w:numFmt w:val="decimal"/>
      <w:lvlText w:val="%1"/>
      <w:legacy w:legacy="1" w:legacySpace="0" w:legacyIndent="0"/>
      <w:lvlJc w:val="left"/>
    </w:lvl>
  </w:abstractNum>
  <w:abstractNum w:abstractNumId="30" w15:restartNumberingAfterBreak="0">
    <w:nsid w:val="756B6943"/>
    <w:multiLevelType w:val="hybridMultilevel"/>
    <w:tmpl w:val="1E40F9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251C12"/>
    <w:multiLevelType w:val="multilevel"/>
    <w:tmpl w:val="8856D57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A0D1DA3"/>
    <w:multiLevelType w:val="hybridMultilevel"/>
    <w:tmpl w:val="1E40F9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14"/>
  </w:num>
  <w:num w:numId="3">
    <w:abstractNumId w:val="2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29"/>
  </w:num>
  <w:num w:numId="13">
    <w:abstractNumId w:val="1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30"/>
  </w:num>
  <w:num w:numId="26">
    <w:abstractNumId w:val="27"/>
  </w:num>
  <w:num w:numId="27">
    <w:abstractNumId w:val="28"/>
  </w:num>
  <w:num w:numId="28">
    <w:abstractNumId w:val="16"/>
  </w:num>
  <w:num w:numId="29">
    <w:abstractNumId w:val="18"/>
  </w:num>
  <w:num w:numId="30">
    <w:abstractNumId w:val="12"/>
  </w:num>
  <w:num w:numId="31">
    <w:abstractNumId w:val="31"/>
  </w:num>
  <w:num w:numId="32">
    <w:abstractNumId w:val="32"/>
  </w:num>
  <w:num w:numId="33">
    <w:abstractNumId w:val="22"/>
  </w:num>
  <w:num w:numId="34">
    <w:abstractNumId w:val="24"/>
  </w:num>
  <w:num w:numId="35">
    <w:abstractNumId w:val="20"/>
  </w:num>
  <w:num w:numId="36">
    <w:abstractNumId w:val="17"/>
  </w:num>
  <w:num w:numId="37">
    <w:abstractNumId w:val="25"/>
  </w:num>
  <w:num w:numId="38">
    <w:abstractNumId w:val="10"/>
  </w:num>
  <w:num w:numId="39">
    <w:abstractNumId w:val="23"/>
  </w:num>
  <w:num w:numId="40">
    <w:abstractNumId w:val="23"/>
  </w:num>
  <w:num w:numId="41">
    <w:abstractNumId w:val="21"/>
  </w:num>
  <w:num w:numId="42">
    <w:abstractNumId w:val="1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BBA"/>
    <w:rsid w:val="00001AC5"/>
    <w:rsid w:val="0000250A"/>
    <w:rsid w:val="000035F3"/>
    <w:rsid w:val="00003657"/>
    <w:rsid w:val="0000374E"/>
    <w:rsid w:val="00005BCF"/>
    <w:rsid w:val="000062BC"/>
    <w:rsid w:val="00016EA7"/>
    <w:rsid w:val="000172D1"/>
    <w:rsid w:val="00020EE5"/>
    <w:rsid w:val="000221AD"/>
    <w:rsid w:val="00023050"/>
    <w:rsid w:val="000242D8"/>
    <w:rsid w:val="000242DF"/>
    <w:rsid w:val="00026825"/>
    <w:rsid w:val="000277A9"/>
    <w:rsid w:val="00027FC6"/>
    <w:rsid w:val="000302D9"/>
    <w:rsid w:val="00037732"/>
    <w:rsid w:val="000377FA"/>
    <w:rsid w:val="000415DC"/>
    <w:rsid w:val="00042A51"/>
    <w:rsid w:val="0004344F"/>
    <w:rsid w:val="000442EC"/>
    <w:rsid w:val="00045775"/>
    <w:rsid w:val="0005121A"/>
    <w:rsid w:val="00051409"/>
    <w:rsid w:val="00051B85"/>
    <w:rsid w:val="000542E6"/>
    <w:rsid w:val="00054C06"/>
    <w:rsid w:val="00060B10"/>
    <w:rsid w:val="00061225"/>
    <w:rsid w:val="00063D3C"/>
    <w:rsid w:val="00070764"/>
    <w:rsid w:val="00071866"/>
    <w:rsid w:val="0007228B"/>
    <w:rsid w:val="000727A5"/>
    <w:rsid w:val="000739D9"/>
    <w:rsid w:val="00073C9C"/>
    <w:rsid w:val="000758E9"/>
    <w:rsid w:val="00077DDF"/>
    <w:rsid w:val="00077EF5"/>
    <w:rsid w:val="000822C1"/>
    <w:rsid w:val="00082306"/>
    <w:rsid w:val="00082492"/>
    <w:rsid w:val="00085ECD"/>
    <w:rsid w:val="00086AED"/>
    <w:rsid w:val="00086BF2"/>
    <w:rsid w:val="00090B7B"/>
    <w:rsid w:val="000944CD"/>
    <w:rsid w:val="0009683E"/>
    <w:rsid w:val="00097087"/>
    <w:rsid w:val="000A05A8"/>
    <w:rsid w:val="000A3D18"/>
    <w:rsid w:val="000A5547"/>
    <w:rsid w:val="000B108F"/>
    <w:rsid w:val="000B1ED2"/>
    <w:rsid w:val="000B1F21"/>
    <w:rsid w:val="000B2634"/>
    <w:rsid w:val="000B31CA"/>
    <w:rsid w:val="000B3C38"/>
    <w:rsid w:val="000B3EF9"/>
    <w:rsid w:val="000B45D2"/>
    <w:rsid w:val="000B7FF5"/>
    <w:rsid w:val="000C0789"/>
    <w:rsid w:val="000C1BDD"/>
    <w:rsid w:val="000C1EF6"/>
    <w:rsid w:val="000C40BF"/>
    <w:rsid w:val="000C4748"/>
    <w:rsid w:val="000C57D7"/>
    <w:rsid w:val="000C6A47"/>
    <w:rsid w:val="000C7406"/>
    <w:rsid w:val="000D1091"/>
    <w:rsid w:val="000D1BD1"/>
    <w:rsid w:val="000D2BA9"/>
    <w:rsid w:val="000D3159"/>
    <w:rsid w:val="000D3517"/>
    <w:rsid w:val="000D369E"/>
    <w:rsid w:val="000D5604"/>
    <w:rsid w:val="000D7C36"/>
    <w:rsid w:val="000E353B"/>
    <w:rsid w:val="000E4A07"/>
    <w:rsid w:val="000E4F21"/>
    <w:rsid w:val="000E6272"/>
    <w:rsid w:val="000E66BB"/>
    <w:rsid w:val="000E73CE"/>
    <w:rsid w:val="000E79A4"/>
    <w:rsid w:val="000E7EB9"/>
    <w:rsid w:val="000F393E"/>
    <w:rsid w:val="000F3967"/>
    <w:rsid w:val="000F5CC3"/>
    <w:rsid w:val="000F6837"/>
    <w:rsid w:val="000F7D97"/>
    <w:rsid w:val="0010068E"/>
    <w:rsid w:val="00103DE0"/>
    <w:rsid w:val="0010418C"/>
    <w:rsid w:val="0010498C"/>
    <w:rsid w:val="00105D91"/>
    <w:rsid w:val="00107ECD"/>
    <w:rsid w:val="00112988"/>
    <w:rsid w:val="001136B9"/>
    <w:rsid w:val="00122EA4"/>
    <w:rsid w:val="001232C5"/>
    <w:rsid w:val="00124166"/>
    <w:rsid w:val="0012479D"/>
    <w:rsid w:val="00125ACB"/>
    <w:rsid w:val="00125B91"/>
    <w:rsid w:val="00126797"/>
    <w:rsid w:val="001308E2"/>
    <w:rsid w:val="00134EA9"/>
    <w:rsid w:val="0013576C"/>
    <w:rsid w:val="0013706D"/>
    <w:rsid w:val="001407E9"/>
    <w:rsid w:val="00142A9C"/>
    <w:rsid w:val="001431E6"/>
    <w:rsid w:val="00144056"/>
    <w:rsid w:val="00145C44"/>
    <w:rsid w:val="00146A00"/>
    <w:rsid w:val="00147429"/>
    <w:rsid w:val="0014773F"/>
    <w:rsid w:val="00147A40"/>
    <w:rsid w:val="00154724"/>
    <w:rsid w:val="00154908"/>
    <w:rsid w:val="00155D13"/>
    <w:rsid w:val="00160D1A"/>
    <w:rsid w:val="00162E5C"/>
    <w:rsid w:val="00164CDF"/>
    <w:rsid w:val="00164D8E"/>
    <w:rsid w:val="00165EA9"/>
    <w:rsid w:val="00166C56"/>
    <w:rsid w:val="00171EA5"/>
    <w:rsid w:val="00173099"/>
    <w:rsid w:val="001732AB"/>
    <w:rsid w:val="00176223"/>
    <w:rsid w:val="0017732B"/>
    <w:rsid w:val="00177FCD"/>
    <w:rsid w:val="0018021F"/>
    <w:rsid w:val="001827BD"/>
    <w:rsid w:val="001829D5"/>
    <w:rsid w:val="001872A4"/>
    <w:rsid w:val="00191639"/>
    <w:rsid w:val="001920ED"/>
    <w:rsid w:val="00192EDC"/>
    <w:rsid w:val="00193B6B"/>
    <w:rsid w:val="001A0198"/>
    <w:rsid w:val="001A4BF9"/>
    <w:rsid w:val="001A5C53"/>
    <w:rsid w:val="001A7F80"/>
    <w:rsid w:val="001B1098"/>
    <w:rsid w:val="001B1B39"/>
    <w:rsid w:val="001B3218"/>
    <w:rsid w:val="001B3BD7"/>
    <w:rsid w:val="001B3BEF"/>
    <w:rsid w:val="001B3DD0"/>
    <w:rsid w:val="001B44BC"/>
    <w:rsid w:val="001B48E6"/>
    <w:rsid w:val="001B6CE4"/>
    <w:rsid w:val="001B7A8D"/>
    <w:rsid w:val="001C1759"/>
    <w:rsid w:val="001C1ADD"/>
    <w:rsid w:val="001C1D0A"/>
    <w:rsid w:val="001D00DE"/>
    <w:rsid w:val="001D2457"/>
    <w:rsid w:val="001D24E9"/>
    <w:rsid w:val="001D2A3B"/>
    <w:rsid w:val="001D3B4A"/>
    <w:rsid w:val="001D49AC"/>
    <w:rsid w:val="001D79B5"/>
    <w:rsid w:val="001D7DC1"/>
    <w:rsid w:val="001E1E77"/>
    <w:rsid w:val="001E4089"/>
    <w:rsid w:val="001F21F3"/>
    <w:rsid w:val="001F2EAB"/>
    <w:rsid w:val="001F55BE"/>
    <w:rsid w:val="001F59E5"/>
    <w:rsid w:val="001F67EE"/>
    <w:rsid w:val="00202BE1"/>
    <w:rsid w:val="00203210"/>
    <w:rsid w:val="0020794C"/>
    <w:rsid w:val="00212348"/>
    <w:rsid w:val="002127E5"/>
    <w:rsid w:val="00212AE7"/>
    <w:rsid w:val="00217F03"/>
    <w:rsid w:val="002204FC"/>
    <w:rsid w:val="0022266A"/>
    <w:rsid w:val="0022296B"/>
    <w:rsid w:val="00224607"/>
    <w:rsid w:val="002257BF"/>
    <w:rsid w:val="002273CA"/>
    <w:rsid w:val="00227578"/>
    <w:rsid w:val="002308A1"/>
    <w:rsid w:val="002309FF"/>
    <w:rsid w:val="00230EF7"/>
    <w:rsid w:val="00231040"/>
    <w:rsid w:val="00231EA6"/>
    <w:rsid w:val="00232B47"/>
    <w:rsid w:val="002351D0"/>
    <w:rsid w:val="00235EB3"/>
    <w:rsid w:val="00237051"/>
    <w:rsid w:val="0024101E"/>
    <w:rsid w:val="00251970"/>
    <w:rsid w:val="0025203C"/>
    <w:rsid w:val="002522AE"/>
    <w:rsid w:val="0025349A"/>
    <w:rsid w:val="00253EA9"/>
    <w:rsid w:val="0025466B"/>
    <w:rsid w:val="002567D2"/>
    <w:rsid w:val="00264689"/>
    <w:rsid w:val="00265E90"/>
    <w:rsid w:val="002671C6"/>
    <w:rsid w:val="00272DA1"/>
    <w:rsid w:val="002732B8"/>
    <w:rsid w:val="00274243"/>
    <w:rsid w:val="0027452E"/>
    <w:rsid w:val="002763BD"/>
    <w:rsid w:val="00281100"/>
    <w:rsid w:val="002815B5"/>
    <w:rsid w:val="00282B1B"/>
    <w:rsid w:val="00283E27"/>
    <w:rsid w:val="00285228"/>
    <w:rsid w:val="0028572B"/>
    <w:rsid w:val="00286C0D"/>
    <w:rsid w:val="00286DF1"/>
    <w:rsid w:val="0028764E"/>
    <w:rsid w:val="00287DC8"/>
    <w:rsid w:val="002923B3"/>
    <w:rsid w:val="002947BB"/>
    <w:rsid w:val="00295178"/>
    <w:rsid w:val="00295A41"/>
    <w:rsid w:val="00297DB1"/>
    <w:rsid w:val="002A083C"/>
    <w:rsid w:val="002A3C11"/>
    <w:rsid w:val="002A5CDB"/>
    <w:rsid w:val="002A7ECC"/>
    <w:rsid w:val="002A7EEE"/>
    <w:rsid w:val="002B2504"/>
    <w:rsid w:val="002B289F"/>
    <w:rsid w:val="002B3BA1"/>
    <w:rsid w:val="002B5D3E"/>
    <w:rsid w:val="002B708E"/>
    <w:rsid w:val="002C096A"/>
    <w:rsid w:val="002C51C0"/>
    <w:rsid w:val="002C764C"/>
    <w:rsid w:val="002D10A3"/>
    <w:rsid w:val="002D117B"/>
    <w:rsid w:val="002D363B"/>
    <w:rsid w:val="002D64FC"/>
    <w:rsid w:val="002D7901"/>
    <w:rsid w:val="002E1D1F"/>
    <w:rsid w:val="002E5199"/>
    <w:rsid w:val="002E5448"/>
    <w:rsid w:val="002E5F42"/>
    <w:rsid w:val="002E6CC6"/>
    <w:rsid w:val="002F040D"/>
    <w:rsid w:val="002F2979"/>
    <w:rsid w:val="002F5167"/>
    <w:rsid w:val="002F5295"/>
    <w:rsid w:val="002F56D6"/>
    <w:rsid w:val="002F6A67"/>
    <w:rsid w:val="002F72B8"/>
    <w:rsid w:val="002F7EAB"/>
    <w:rsid w:val="00300432"/>
    <w:rsid w:val="00300C2E"/>
    <w:rsid w:val="0030144B"/>
    <w:rsid w:val="00301A6D"/>
    <w:rsid w:val="00302C36"/>
    <w:rsid w:val="003041C1"/>
    <w:rsid w:val="003130B7"/>
    <w:rsid w:val="00314A5D"/>
    <w:rsid w:val="00314FA3"/>
    <w:rsid w:val="003163AE"/>
    <w:rsid w:val="00316843"/>
    <w:rsid w:val="00316B81"/>
    <w:rsid w:val="00321D14"/>
    <w:rsid w:val="0032319E"/>
    <w:rsid w:val="00323892"/>
    <w:rsid w:val="0032399E"/>
    <w:rsid w:val="003255AF"/>
    <w:rsid w:val="00325FC5"/>
    <w:rsid w:val="00327B75"/>
    <w:rsid w:val="00327C61"/>
    <w:rsid w:val="00331BCE"/>
    <w:rsid w:val="00332A64"/>
    <w:rsid w:val="0033323F"/>
    <w:rsid w:val="00333DCF"/>
    <w:rsid w:val="00335D62"/>
    <w:rsid w:val="00336FC2"/>
    <w:rsid w:val="003378C4"/>
    <w:rsid w:val="00340A38"/>
    <w:rsid w:val="00341649"/>
    <w:rsid w:val="0034238D"/>
    <w:rsid w:val="00345E1C"/>
    <w:rsid w:val="003500D8"/>
    <w:rsid w:val="00352CCE"/>
    <w:rsid w:val="00355FC9"/>
    <w:rsid w:val="00360332"/>
    <w:rsid w:val="00362A3B"/>
    <w:rsid w:val="003635BB"/>
    <w:rsid w:val="00363606"/>
    <w:rsid w:val="00363F3F"/>
    <w:rsid w:val="00364395"/>
    <w:rsid w:val="003645B3"/>
    <w:rsid w:val="0036485A"/>
    <w:rsid w:val="0036599C"/>
    <w:rsid w:val="0036607D"/>
    <w:rsid w:val="00366C23"/>
    <w:rsid w:val="0036742D"/>
    <w:rsid w:val="003675B8"/>
    <w:rsid w:val="003713A4"/>
    <w:rsid w:val="0037361F"/>
    <w:rsid w:val="00375EE4"/>
    <w:rsid w:val="00380ED9"/>
    <w:rsid w:val="00381FE9"/>
    <w:rsid w:val="00382428"/>
    <w:rsid w:val="00384214"/>
    <w:rsid w:val="003854F6"/>
    <w:rsid w:val="003859B0"/>
    <w:rsid w:val="00386387"/>
    <w:rsid w:val="00386DA9"/>
    <w:rsid w:val="003870F0"/>
    <w:rsid w:val="00387F1F"/>
    <w:rsid w:val="0039163D"/>
    <w:rsid w:val="0039208C"/>
    <w:rsid w:val="003928ED"/>
    <w:rsid w:val="003932FB"/>
    <w:rsid w:val="0039563F"/>
    <w:rsid w:val="00395951"/>
    <w:rsid w:val="003A3FF8"/>
    <w:rsid w:val="003A4015"/>
    <w:rsid w:val="003A6048"/>
    <w:rsid w:val="003A6EB9"/>
    <w:rsid w:val="003A7104"/>
    <w:rsid w:val="003B099E"/>
    <w:rsid w:val="003B0D11"/>
    <w:rsid w:val="003B24A3"/>
    <w:rsid w:val="003B265F"/>
    <w:rsid w:val="003B2C41"/>
    <w:rsid w:val="003B37AC"/>
    <w:rsid w:val="003B404B"/>
    <w:rsid w:val="003B44FA"/>
    <w:rsid w:val="003B6B89"/>
    <w:rsid w:val="003B7470"/>
    <w:rsid w:val="003C3475"/>
    <w:rsid w:val="003C42E9"/>
    <w:rsid w:val="003C679C"/>
    <w:rsid w:val="003D0836"/>
    <w:rsid w:val="003D216A"/>
    <w:rsid w:val="003D2E2F"/>
    <w:rsid w:val="003D3379"/>
    <w:rsid w:val="003D6C30"/>
    <w:rsid w:val="003D7318"/>
    <w:rsid w:val="003E08B1"/>
    <w:rsid w:val="003E111D"/>
    <w:rsid w:val="003E2B6C"/>
    <w:rsid w:val="003E2F79"/>
    <w:rsid w:val="003E578C"/>
    <w:rsid w:val="003E5B96"/>
    <w:rsid w:val="003E5DB7"/>
    <w:rsid w:val="003F2F1B"/>
    <w:rsid w:val="003F5A64"/>
    <w:rsid w:val="003F6A2B"/>
    <w:rsid w:val="003F7AE6"/>
    <w:rsid w:val="0040161B"/>
    <w:rsid w:val="00401FDE"/>
    <w:rsid w:val="00403580"/>
    <w:rsid w:val="0040382C"/>
    <w:rsid w:val="00403EAF"/>
    <w:rsid w:val="00404132"/>
    <w:rsid w:val="004043E6"/>
    <w:rsid w:val="0040534B"/>
    <w:rsid w:val="00405411"/>
    <w:rsid w:val="00405EC2"/>
    <w:rsid w:val="00405F8D"/>
    <w:rsid w:val="0040688A"/>
    <w:rsid w:val="00406EC9"/>
    <w:rsid w:val="00412D7E"/>
    <w:rsid w:val="004148D2"/>
    <w:rsid w:val="00414B47"/>
    <w:rsid w:val="0041504F"/>
    <w:rsid w:val="004156BD"/>
    <w:rsid w:val="00416EB5"/>
    <w:rsid w:val="00417C63"/>
    <w:rsid w:val="004219EE"/>
    <w:rsid w:val="00427F66"/>
    <w:rsid w:val="00430E42"/>
    <w:rsid w:val="00432194"/>
    <w:rsid w:val="0043545F"/>
    <w:rsid w:val="00436B6A"/>
    <w:rsid w:val="0044020B"/>
    <w:rsid w:val="00442226"/>
    <w:rsid w:val="00443D55"/>
    <w:rsid w:val="00444DAA"/>
    <w:rsid w:val="00445481"/>
    <w:rsid w:val="00446332"/>
    <w:rsid w:val="00446B43"/>
    <w:rsid w:val="0045103F"/>
    <w:rsid w:val="00451DEE"/>
    <w:rsid w:val="00451FCD"/>
    <w:rsid w:val="00454044"/>
    <w:rsid w:val="00456465"/>
    <w:rsid w:val="00456C2C"/>
    <w:rsid w:val="00457C4D"/>
    <w:rsid w:val="0046015D"/>
    <w:rsid w:val="00460C31"/>
    <w:rsid w:val="00462EAA"/>
    <w:rsid w:val="00464E6D"/>
    <w:rsid w:val="00466106"/>
    <w:rsid w:val="00466FEE"/>
    <w:rsid w:val="00470412"/>
    <w:rsid w:val="00471BE0"/>
    <w:rsid w:val="004737F8"/>
    <w:rsid w:val="00473EA3"/>
    <w:rsid w:val="004744FC"/>
    <w:rsid w:val="00475002"/>
    <w:rsid w:val="00475EB1"/>
    <w:rsid w:val="00480553"/>
    <w:rsid w:val="0048240A"/>
    <w:rsid w:val="004824B0"/>
    <w:rsid w:val="00483D5C"/>
    <w:rsid w:val="00483E67"/>
    <w:rsid w:val="00484E31"/>
    <w:rsid w:val="00486105"/>
    <w:rsid w:val="00486D88"/>
    <w:rsid w:val="0049067B"/>
    <w:rsid w:val="0049132C"/>
    <w:rsid w:val="004915FF"/>
    <w:rsid w:val="0049390F"/>
    <w:rsid w:val="00494F08"/>
    <w:rsid w:val="00495107"/>
    <w:rsid w:val="004959BB"/>
    <w:rsid w:val="0049666C"/>
    <w:rsid w:val="004A19B4"/>
    <w:rsid w:val="004A2446"/>
    <w:rsid w:val="004A3BE7"/>
    <w:rsid w:val="004A3F11"/>
    <w:rsid w:val="004B4348"/>
    <w:rsid w:val="004B4400"/>
    <w:rsid w:val="004B4BEF"/>
    <w:rsid w:val="004B5A01"/>
    <w:rsid w:val="004B6E66"/>
    <w:rsid w:val="004B76CE"/>
    <w:rsid w:val="004C08C1"/>
    <w:rsid w:val="004C1DD1"/>
    <w:rsid w:val="004C1F1E"/>
    <w:rsid w:val="004C40A4"/>
    <w:rsid w:val="004D166D"/>
    <w:rsid w:val="004D1958"/>
    <w:rsid w:val="004D2379"/>
    <w:rsid w:val="004D2B30"/>
    <w:rsid w:val="004D2B61"/>
    <w:rsid w:val="004D540A"/>
    <w:rsid w:val="004D5B56"/>
    <w:rsid w:val="004D73DD"/>
    <w:rsid w:val="004E1210"/>
    <w:rsid w:val="004E3D05"/>
    <w:rsid w:val="004E51E0"/>
    <w:rsid w:val="004F258E"/>
    <w:rsid w:val="004F45C6"/>
    <w:rsid w:val="005005FE"/>
    <w:rsid w:val="005022F4"/>
    <w:rsid w:val="0050243B"/>
    <w:rsid w:val="005037D5"/>
    <w:rsid w:val="00503C7D"/>
    <w:rsid w:val="00504373"/>
    <w:rsid w:val="005052C0"/>
    <w:rsid w:val="0050686D"/>
    <w:rsid w:val="00506DE0"/>
    <w:rsid w:val="00513C3E"/>
    <w:rsid w:val="00516A28"/>
    <w:rsid w:val="00520FB9"/>
    <w:rsid w:val="00522C96"/>
    <w:rsid w:val="00522FB6"/>
    <w:rsid w:val="005251E5"/>
    <w:rsid w:val="005262EB"/>
    <w:rsid w:val="00527CEE"/>
    <w:rsid w:val="0053047F"/>
    <w:rsid w:val="005313E4"/>
    <w:rsid w:val="005337BE"/>
    <w:rsid w:val="005405CE"/>
    <w:rsid w:val="00541234"/>
    <w:rsid w:val="005425E8"/>
    <w:rsid w:val="00544021"/>
    <w:rsid w:val="00544F7B"/>
    <w:rsid w:val="00545742"/>
    <w:rsid w:val="0054716F"/>
    <w:rsid w:val="005509F2"/>
    <w:rsid w:val="00553A46"/>
    <w:rsid w:val="005578C5"/>
    <w:rsid w:val="005625E4"/>
    <w:rsid w:val="00564A16"/>
    <w:rsid w:val="00566621"/>
    <w:rsid w:val="0056759A"/>
    <w:rsid w:val="00570E87"/>
    <w:rsid w:val="0057109A"/>
    <w:rsid w:val="00572D93"/>
    <w:rsid w:val="00574126"/>
    <w:rsid w:val="00574324"/>
    <w:rsid w:val="00576335"/>
    <w:rsid w:val="00576BA0"/>
    <w:rsid w:val="00577C78"/>
    <w:rsid w:val="00582131"/>
    <w:rsid w:val="005854E3"/>
    <w:rsid w:val="00587276"/>
    <w:rsid w:val="00587B40"/>
    <w:rsid w:val="00592432"/>
    <w:rsid w:val="00592C0D"/>
    <w:rsid w:val="00593C2C"/>
    <w:rsid w:val="005943CC"/>
    <w:rsid w:val="00594F07"/>
    <w:rsid w:val="005951C9"/>
    <w:rsid w:val="00595D86"/>
    <w:rsid w:val="005A0176"/>
    <w:rsid w:val="005A174B"/>
    <w:rsid w:val="005A4F16"/>
    <w:rsid w:val="005A720C"/>
    <w:rsid w:val="005A76E0"/>
    <w:rsid w:val="005B0F36"/>
    <w:rsid w:val="005B1C4F"/>
    <w:rsid w:val="005B2BAE"/>
    <w:rsid w:val="005B2E18"/>
    <w:rsid w:val="005B5FC2"/>
    <w:rsid w:val="005B7B34"/>
    <w:rsid w:val="005B7FF1"/>
    <w:rsid w:val="005C02AB"/>
    <w:rsid w:val="005C064D"/>
    <w:rsid w:val="005C2239"/>
    <w:rsid w:val="005C466A"/>
    <w:rsid w:val="005C537E"/>
    <w:rsid w:val="005C6FF3"/>
    <w:rsid w:val="005C754D"/>
    <w:rsid w:val="005C7DB3"/>
    <w:rsid w:val="005D0657"/>
    <w:rsid w:val="005D0974"/>
    <w:rsid w:val="005D0A13"/>
    <w:rsid w:val="005D1517"/>
    <w:rsid w:val="005D1B8A"/>
    <w:rsid w:val="005D1CE9"/>
    <w:rsid w:val="005D3D49"/>
    <w:rsid w:val="005D4622"/>
    <w:rsid w:val="005D7A38"/>
    <w:rsid w:val="005E0967"/>
    <w:rsid w:val="005E12D1"/>
    <w:rsid w:val="005E37B5"/>
    <w:rsid w:val="005F17AC"/>
    <w:rsid w:val="005F6131"/>
    <w:rsid w:val="00600CF9"/>
    <w:rsid w:val="006030F0"/>
    <w:rsid w:val="00604BC4"/>
    <w:rsid w:val="00605B1F"/>
    <w:rsid w:val="00606CB1"/>
    <w:rsid w:val="00607423"/>
    <w:rsid w:val="00607430"/>
    <w:rsid w:val="00610676"/>
    <w:rsid w:val="0061089F"/>
    <w:rsid w:val="006136D1"/>
    <w:rsid w:val="00614B88"/>
    <w:rsid w:val="0061673D"/>
    <w:rsid w:val="00617054"/>
    <w:rsid w:val="006175DB"/>
    <w:rsid w:val="00617B63"/>
    <w:rsid w:val="00620014"/>
    <w:rsid w:val="00620828"/>
    <w:rsid w:val="00621121"/>
    <w:rsid w:val="00621510"/>
    <w:rsid w:val="006221AA"/>
    <w:rsid w:val="00622390"/>
    <w:rsid w:val="0062254E"/>
    <w:rsid w:val="00622673"/>
    <w:rsid w:val="00622D84"/>
    <w:rsid w:val="00627453"/>
    <w:rsid w:val="006428F0"/>
    <w:rsid w:val="00651EE3"/>
    <w:rsid w:val="006522FF"/>
    <w:rsid w:val="00654F3D"/>
    <w:rsid w:val="00655295"/>
    <w:rsid w:val="006616D9"/>
    <w:rsid w:val="0066304D"/>
    <w:rsid w:val="006635F9"/>
    <w:rsid w:val="006637C0"/>
    <w:rsid w:val="00665E62"/>
    <w:rsid w:val="00666DA7"/>
    <w:rsid w:val="0066736F"/>
    <w:rsid w:val="00667EC8"/>
    <w:rsid w:val="00670707"/>
    <w:rsid w:val="00670735"/>
    <w:rsid w:val="00673712"/>
    <w:rsid w:val="00675FB9"/>
    <w:rsid w:val="0068100C"/>
    <w:rsid w:val="006817D2"/>
    <w:rsid w:val="00681CFF"/>
    <w:rsid w:val="006821E9"/>
    <w:rsid w:val="006831E6"/>
    <w:rsid w:val="0068351D"/>
    <w:rsid w:val="006856B3"/>
    <w:rsid w:val="00690171"/>
    <w:rsid w:val="00690CA6"/>
    <w:rsid w:val="00692410"/>
    <w:rsid w:val="00693CDF"/>
    <w:rsid w:val="006941E5"/>
    <w:rsid w:val="006A0807"/>
    <w:rsid w:val="006A1C0C"/>
    <w:rsid w:val="006A2B8B"/>
    <w:rsid w:val="006A481F"/>
    <w:rsid w:val="006A5002"/>
    <w:rsid w:val="006A5C88"/>
    <w:rsid w:val="006B0AE8"/>
    <w:rsid w:val="006B2DD7"/>
    <w:rsid w:val="006B53A6"/>
    <w:rsid w:val="006C36CB"/>
    <w:rsid w:val="006C3E12"/>
    <w:rsid w:val="006C403F"/>
    <w:rsid w:val="006C6678"/>
    <w:rsid w:val="006C79D2"/>
    <w:rsid w:val="006D20FC"/>
    <w:rsid w:val="006D2EFB"/>
    <w:rsid w:val="006D45A6"/>
    <w:rsid w:val="006E1080"/>
    <w:rsid w:val="006E2DD6"/>
    <w:rsid w:val="006E61FE"/>
    <w:rsid w:val="006F194C"/>
    <w:rsid w:val="006F3C65"/>
    <w:rsid w:val="006F3DE5"/>
    <w:rsid w:val="006F6113"/>
    <w:rsid w:val="006F6F22"/>
    <w:rsid w:val="006F74F2"/>
    <w:rsid w:val="006F79C7"/>
    <w:rsid w:val="00703274"/>
    <w:rsid w:val="0070466A"/>
    <w:rsid w:val="00705737"/>
    <w:rsid w:val="007131EF"/>
    <w:rsid w:val="00713DC4"/>
    <w:rsid w:val="00715D54"/>
    <w:rsid w:val="00716118"/>
    <w:rsid w:val="00716A01"/>
    <w:rsid w:val="00722862"/>
    <w:rsid w:val="007246DA"/>
    <w:rsid w:val="0072588F"/>
    <w:rsid w:val="00725E41"/>
    <w:rsid w:val="0073091D"/>
    <w:rsid w:val="00732730"/>
    <w:rsid w:val="00733389"/>
    <w:rsid w:val="0073544B"/>
    <w:rsid w:val="00737CE5"/>
    <w:rsid w:val="007412A9"/>
    <w:rsid w:val="00742E0E"/>
    <w:rsid w:val="00750B9B"/>
    <w:rsid w:val="00751715"/>
    <w:rsid w:val="00754C0B"/>
    <w:rsid w:val="007551DA"/>
    <w:rsid w:val="007554B9"/>
    <w:rsid w:val="00757447"/>
    <w:rsid w:val="00763E55"/>
    <w:rsid w:val="00764EA2"/>
    <w:rsid w:val="00764EB3"/>
    <w:rsid w:val="0076642F"/>
    <w:rsid w:val="007701DD"/>
    <w:rsid w:val="00772D6E"/>
    <w:rsid w:val="0078370A"/>
    <w:rsid w:val="00787809"/>
    <w:rsid w:val="007915B2"/>
    <w:rsid w:val="00793F06"/>
    <w:rsid w:val="00795052"/>
    <w:rsid w:val="007A01F0"/>
    <w:rsid w:val="007A1506"/>
    <w:rsid w:val="007A3B62"/>
    <w:rsid w:val="007A5BF3"/>
    <w:rsid w:val="007A666C"/>
    <w:rsid w:val="007A762B"/>
    <w:rsid w:val="007B30AB"/>
    <w:rsid w:val="007B3D56"/>
    <w:rsid w:val="007B7405"/>
    <w:rsid w:val="007C2B90"/>
    <w:rsid w:val="007C44C0"/>
    <w:rsid w:val="007C48AE"/>
    <w:rsid w:val="007C51C4"/>
    <w:rsid w:val="007C5BCC"/>
    <w:rsid w:val="007C78A0"/>
    <w:rsid w:val="007D0657"/>
    <w:rsid w:val="007D4256"/>
    <w:rsid w:val="007E0722"/>
    <w:rsid w:val="007E2572"/>
    <w:rsid w:val="007E2E4B"/>
    <w:rsid w:val="007E3955"/>
    <w:rsid w:val="007E425A"/>
    <w:rsid w:val="007E44D3"/>
    <w:rsid w:val="007E5C26"/>
    <w:rsid w:val="007F163D"/>
    <w:rsid w:val="007F1DFC"/>
    <w:rsid w:val="007F2646"/>
    <w:rsid w:val="007F2D2E"/>
    <w:rsid w:val="007F7084"/>
    <w:rsid w:val="0080399D"/>
    <w:rsid w:val="0080409C"/>
    <w:rsid w:val="00804770"/>
    <w:rsid w:val="00806A57"/>
    <w:rsid w:val="00806AF1"/>
    <w:rsid w:val="008073C0"/>
    <w:rsid w:val="00807EA9"/>
    <w:rsid w:val="00815766"/>
    <w:rsid w:val="00815C8C"/>
    <w:rsid w:val="00816BA6"/>
    <w:rsid w:val="00822B35"/>
    <w:rsid w:val="008246A7"/>
    <w:rsid w:val="00826C2E"/>
    <w:rsid w:val="008325C3"/>
    <w:rsid w:val="008329A8"/>
    <w:rsid w:val="00837BCE"/>
    <w:rsid w:val="00837C02"/>
    <w:rsid w:val="0084088D"/>
    <w:rsid w:val="00841623"/>
    <w:rsid w:val="00842B6C"/>
    <w:rsid w:val="00844278"/>
    <w:rsid w:val="008452BB"/>
    <w:rsid w:val="008522BA"/>
    <w:rsid w:val="008536D4"/>
    <w:rsid w:val="00853A21"/>
    <w:rsid w:val="00855767"/>
    <w:rsid w:val="00855FB7"/>
    <w:rsid w:val="0085647B"/>
    <w:rsid w:val="00860E34"/>
    <w:rsid w:val="008630D8"/>
    <w:rsid w:val="00863448"/>
    <w:rsid w:val="008660CC"/>
    <w:rsid w:val="00867589"/>
    <w:rsid w:val="00867BF2"/>
    <w:rsid w:val="00870D47"/>
    <w:rsid w:val="00871475"/>
    <w:rsid w:val="00871E6C"/>
    <w:rsid w:val="00876818"/>
    <w:rsid w:val="00881443"/>
    <w:rsid w:val="00882815"/>
    <w:rsid w:val="00883811"/>
    <w:rsid w:val="00883A4D"/>
    <w:rsid w:val="00883F40"/>
    <w:rsid w:val="00884E1B"/>
    <w:rsid w:val="00885372"/>
    <w:rsid w:val="0088552A"/>
    <w:rsid w:val="00885840"/>
    <w:rsid w:val="00890A94"/>
    <w:rsid w:val="00890C4B"/>
    <w:rsid w:val="00891AF1"/>
    <w:rsid w:val="00892794"/>
    <w:rsid w:val="00893B40"/>
    <w:rsid w:val="008945DE"/>
    <w:rsid w:val="008960D0"/>
    <w:rsid w:val="00896B6C"/>
    <w:rsid w:val="008970FE"/>
    <w:rsid w:val="0089734E"/>
    <w:rsid w:val="008A0CC9"/>
    <w:rsid w:val="008A3C33"/>
    <w:rsid w:val="008A7068"/>
    <w:rsid w:val="008A77FA"/>
    <w:rsid w:val="008B1821"/>
    <w:rsid w:val="008B4527"/>
    <w:rsid w:val="008B5ED4"/>
    <w:rsid w:val="008B7426"/>
    <w:rsid w:val="008B7AB4"/>
    <w:rsid w:val="008C217E"/>
    <w:rsid w:val="008C37DE"/>
    <w:rsid w:val="008C3B50"/>
    <w:rsid w:val="008D0626"/>
    <w:rsid w:val="008D0AAC"/>
    <w:rsid w:val="008D5AAA"/>
    <w:rsid w:val="008D603E"/>
    <w:rsid w:val="008D652E"/>
    <w:rsid w:val="008E10A9"/>
    <w:rsid w:val="008E1465"/>
    <w:rsid w:val="008E5FF9"/>
    <w:rsid w:val="008E646C"/>
    <w:rsid w:val="008F2307"/>
    <w:rsid w:val="008F3973"/>
    <w:rsid w:val="008F41FB"/>
    <w:rsid w:val="008F4758"/>
    <w:rsid w:val="008F5E14"/>
    <w:rsid w:val="008F6BEF"/>
    <w:rsid w:val="00900DA9"/>
    <w:rsid w:val="00903110"/>
    <w:rsid w:val="009043B1"/>
    <w:rsid w:val="00910671"/>
    <w:rsid w:val="00910842"/>
    <w:rsid w:val="00912E75"/>
    <w:rsid w:val="0091314A"/>
    <w:rsid w:val="0091357E"/>
    <w:rsid w:val="00913ACD"/>
    <w:rsid w:val="00915A16"/>
    <w:rsid w:val="00921934"/>
    <w:rsid w:val="0092349C"/>
    <w:rsid w:val="009239E3"/>
    <w:rsid w:val="0092487C"/>
    <w:rsid w:val="00924A76"/>
    <w:rsid w:val="00924BD3"/>
    <w:rsid w:val="00926608"/>
    <w:rsid w:val="00926F5D"/>
    <w:rsid w:val="00932888"/>
    <w:rsid w:val="009345FC"/>
    <w:rsid w:val="009355D3"/>
    <w:rsid w:val="009378EA"/>
    <w:rsid w:val="00937ED8"/>
    <w:rsid w:val="009413EF"/>
    <w:rsid w:val="00941897"/>
    <w:rsid w:val="00942FB5"/>
    <w:rsid w:val="009537CC"/>
    <w:rsid w:val="00956115"/>
    <w:rsid w:val="00956DCB"/>
    <w:rsid w:val="00962319"/>
    <w:rsid w:val="00962870"/>
    <w:rsid w:val="00972D49"/>
    <w:rsid w:val="00973EF3"/>
    <w:rsid w:val="00975AE6"/>
    <w:rsid w:val="00976B2E"/>
    <w:rsid w:val="00980178"/>
    <w:rsid w:val="009809D6"/>
    <w:rsid w:val="00983B4C"/>
    <w:rsid w:val="00984A58"/>
    <w:rsid w:val="00986C24"/>
    <w:rsid w:val="00987E1A"/>
    <w:rsid w:val="00990417"/>
    <w:rsid w:val="00992C4C"/>
    <w:rsid w:val="0099406F"/>
    <w:rsid w:val="009961C7"/>
    <w:rsid w:val="00997685"/>
    <w:rsid w:val="009A5046"/>
    <w:rsid w:val="009A5DFD"/>
    <w:rsid w:val="009A7F8F"/>
    <w:rsid w:val="009B024F"/>
    <w:rsid w:val="009B155E"/>
    <w:rsid w:val="009B3928"/>
    <w:rsid w:val="009B4EEF"/>
    <w:rsid w:val="009C0D92"/>
    <w:rsid w:val="009C18F7"/>
    <w:rsid w:val="009C212E"/>
    <w:rsid w:val="009C50DC"/>
    <w:rsid w:val="009C58E3"/>
    <w:rsid w:val="009C5B0D"/>
    <w:rsid w:val="009D2AB8"/>
    <w:rsid w:val="009D2B5D"/>
    <w:rsid w:val="009E066B"/>
    <w:rsid w:val="009E0C46"/>
    <w:rsid w:val="009E1DFB"/>
    <w:rsid w:val="009E1E14"/>
    <w:rsid w:val="009E22AE"/>
    <w:rsid w:val="009E243E"/>
    <w:rsid w:val="009E3B62"/>
    <w:rsid w:val="009E4573"/>
    <w:rsid w:val="009E58AC"/>
    <w:rsid w:val="009E629D"/>
    <w:rsid w:val="009E6F43"/>
    <w:rsid w:val="009F09E2"/>
    <w:rsid w:val="009F0F80"/>
    <w:rsid w:val="009F12E0"/>
    <w:rsid w:val="009F1623"/>
    <w:rsid w:val="009F3C4B"/>
    <w:rsid w:val="009F4414"/>
    <w:rsid w:val="009F4508"/>
    <w:rsid w:val="009F49BB"/>
    <w:rsid w:val="009F5D16"/>
    <w:rsid w:val="009F7CC4"/>
    <w:rsid w:val="009F7EDA"/>
    <w:rsid w:val="00A0004C"/>
    <w:rsid w:val="00A03FE8"/>
    <w:rsid w:val="00A10546"/>
    <w:rsid w:val="00A11E03"/>
    <w:rsid w:val="00A129D5"/>
    <w:rsid w:val="00A14216"/>
    <w:rsid w:val="00A1760F"/>
    <w:rsid w:val="00A17888"/>
    <w:rsid w:val="00A206C1"/>
    <w:rsid w:val="00A20935"/>
    <w:rsid w:val="00A20CF6"/>
    <w:rsid w:val="00A218AD"/>
    <w:rsid w:val="00A22678"/>
    <w:rsid w:val="00A24E3C"/>
    <w:rsid w:val="00A307D0"/>
    <w:rsid w:val="00A312E0"/>
    <w:rsid w:val="00A34531"/>
    <w:rsid w:val="00A3613E"/>
    <w:rsid w:val="00A37A39"/>
    <w:rsid w:val="00A415B3"/>
    <w:rsid w:val="00A445F2"/>
    <w:rsid w:val="00A505EA"/>
    <w:rsid w:val="00A51852"/>
    <w:rsid w:val="00A52E41"/>
    <w:rsid w:val="00A54346"/>
    <w:rsid w:val="00A54604"/>
    <w:rsid w:val="00A6055D"/>
    <w:rsid w:val="00A62E92"/>
    <w:rsid w:val="00A63EFC"/>
    <w:rsid w:val="00A63FE4"/>
    <w:rsid w:val="00A672B6"/>
    <w:rsid w:val="00A675ED"/>
    <w:rsid w:val="00A67FCE"/>
    <w:rsid w:val="00A719B3"/>
    <w:rsid w:val="00A7244F"/>
    <w:rsid w:val="00A73CCD"/>
    <w:rsid w:val="00A73FBC"/>
    <w:rsid w:val="00A7741C"/>
    <w:rsid w:val="00A77510"/>
    <w:rsid w:val="00A80782"/>
    <w:rsid w:val="00A80871"/>
    <w:rsid w:val="00A80EF6"/>
    <w:rsid w:val="00A80F8D"/>
    <w:rsid w:val="00A84559"/>
    <w:rsid w:val="00A86676"/>
    <w:rsid w:val="00A86861"/>
    <w:rsid w:val="00A877EB"/>
    <w:rsid w:val="00A9080C"/>
    <w:rsid w:val="00A9183B"/>
    <w:rsid w:val="00A92531"/>
    <w:rsid w:val="00A96B87"/>
    <w:rsid w:val="00A96F56"/>
    <w:rsid w:val="00AA17DD"/>
    <w:rsid w:val="00AA4811"/>
    <w:rsid w:val="00AA4F2B"/>
    <w:rsid w:val="00AB1EA0"/>
    <w:rsid w:val="00AB231C"/>
    <w:rsid w:val="00AB2F27"/>
    <w:rsid w:val="00AB4829"/>
    <w:rsid w:val="00AB4890"/>
    <w:rsid w:val="00AB636D"/>
    <w:rsid w:val="00AC5037"/>
    <w:rsid w:val="00AD16B8"/>
    <w:rsid w:val="00AD1BCF"/>
    <w:rsid w:val="00AD1CC6"/>
    <w:rsid w:val="00AD1F21"/>
    <w:rsid w:val="00AD1F41"/>
    <w:rsid w:val="00AD238E"/>
    <w:rsid w:val="00AD3A55"/>
    <w:rsid w:val="00AD4751"/>
    <w:rsid w:val="00AD644D"/>
    <w:rsid w:val="00AD6C70"/>
    <w:rsid w:val="00AD6DDF"/>
    <w:rsid w:val="00AE01F1"/>
    <w:rsid w:val="00AE25AE"/>
    <w:rsid w:val="00AF1D79"/>
    <w:rsid w:val="00AF40FF"/>
    <w:rsid w:val="00AF62F6"/>
    <w:rsid w:val="00AF6B5B"/>
    <w:rsid w:val="00B00F39"/>
    <w:rsid w:val="00B02056"/>
    <w:rsid w:val="00B02FB3"/>
    <w:rsid w:val="00B0320D"/>
    <w:rsid w:val="00B032A4"/>
    <w:rsid w:val="00B05B18"/>
    <w:rsid w:val="00B06AD4"/>
    <w:rsid w:val="00B07E66"/>
    <w:rsid w:val="00B10731"/>
    <w:rsid w:val="00B113D3"/>
    <w:rsid w:val="00B11EED"/>
    <w:rsid w:val="00B11FD5"/>
    <w:rsid w:val="00B150A9"/>
    <w:rsid w:val="00B1563E"/>
    <w:rsid w:val="00B20210"/>
    <w:rsid w:val="00B20FFD"/>
    <w:rsid w:val="00B2195D"/>
    <w:rsid w:val="00B21B89"/>
    <w:rsid w:val="00B21B8C"/>
    <w:rsid w:val="00B23548"/>
    <w:rsid w:val="00B240DC"/>
    <w:rsid w:val="00B24553"/>
    <w:rsid w:val="00B25040"/>
    <w:rsid w:val="00B2563F"/>
    <w:rsid w:val="00B25CE5"/>
    <w:rsid w:val="00B26C42"/>
    <w:rsid w:val="00B276B1"/>
    <w:rsid w:val="00B30791"/>
    <w:rsid w:val="00B30877"/>
    <w:rsid w:val="00B32AA8"/>
    <w:rsid w:val="00B33FA2"/>
    <w:rsid w:val="00B33FBF"/>
    <w:rsid w:val="00B35121"/>
    <w:rsid w:val="00B370F7"/>
    <w:rsid w:val="00B4001A"/>
    <w:rsid w:val="00B44402"/>
    <w:rsid w:val="00B4796D"/>
    <w:rsid w:val="00B525E6"/>
    <w:rsid w:val="00B55500"/>
    <w:rsid w:val="00B63BC5"/>
    <w:rsid w:val="00B641F2"/>
    <w:rsid w:val="00B66CAB"/>
    <w:rsid w:val="00B7098A"/>
    <w:rsid w:val="00B7173F"/>
    <w:rsid w:val="00B74EC0"/>
    <w:rsid w:val="00B75AD5"/>
    <w:rsid w:val="00B76D5C"/>
    <w:rsid w:val="00B816F6"/>
    <w:rsid w:val="00B8391F"/>
    <w:rsid w:val="00B857D8"/>
    <w:rsid w:val="00B859C9"/>
    <w:rsid w:val="00B86C14"/>
    <w:rsid w:val="00B86D79"/>
    <w:rsid w:val="00B922BF"/>
    <w:rsid w:val="00B93A8E"/>
    <w:rsid w:val="00B95983"/>
    <w:rsid w:val="00BA0552"/>
    <w:rsid w:val="00BA1B19"/>
    <w:rsid w:val="00BA1DDC"/>
    <w:rsid w:val="00BA2BB1"/>
    <w:rsid w:val="00BA330D"/>
    <w:rsid w:val="00BA49F6"/>
    <w:rsid w:val="00BB104F"/>
    <w:rsid w:val="00BB3891"/>
    <w:rsid w:val="00BB39FA"/>
    <w:rsid w:val="00BB42B8"/>
    <w:rsid w:val="00BB5DB2"/>
    <w:rsid w:val="00BB6D0B"/>
    <w:rsid w:val="00BB701A"/>
    <w:rsid w:val="00BB711E"/>
    <w:rsid w:val="00BB7810"/>
    <w:rsid w:val="00BC0288"/>
    <w:rsid w:val="00BC0354"/>
    <w:rsid w:val="00BC0E0E"/>
    <w:rsid w:val="00BC15F1"/>
    <w:rsid w:val="00BC194A"/>
    <w:rsid w:val="00BC2409"/>
    <w:rsid w:val="00BC28E4"/>
    <w:rsid w:val="00BC4171"/>
    <w:rsid w:val="00BC43D3"/>
    <w:rsid w:val="00BC4570"/>
    <w:rsid w:val="00BC4CEB"/>
    <w:rsid w:val="00BC78ED"/>
    <w:rsid w:val="00BD10C6"/>
    <w:rsid w:val="00BD21C7"/>
    <w:rsid w:val="00BD2F53"/>
    <w:rsid w:val="00BD2FCB"/>
    <w:rsid w:val="00BD378D"/>
    <w:rsid w:val="00BD4DB5"/>
    <w:rsid w:val="00BE000A"/>
    <w:rsid w:val="00BE00C6"/>
    <w:rsid w:val="00BE0C94"/>
    <w:rsid w:val="00BE0E36"/>
    <w:rsid w:val="00BE1FAE"/>
    <w:rsid w:val="00BE3EF9"/>
    <w:rsid w:val="00BE3F9C"/>
    <w:rsid w:val="00BE4DE8"/>
    <w:rsid w:val="00BF08EA"/>
    <w:rsid w:val="00BF2C9C"/>
    <w:rsid w:val="00BF2DE8"/>
    <w:rsid w:val="00BF59DD"/>
    <w:rsid w:val="00BF60E4"/>
    <w:rsid w:val="00BF6C73"/>
    <w:rsid w:val="00BF73DB"/>
    <w:rsid w:val="00C00055"/>
    <w:rsid w:val="00C009EE"/>
    <w:rsid w:val="00C00CA7"/>
    <w:rsid w:val="00C01C31"/>
    <w:rsid w:val="00C027F0"/>
    <w:rsid w:val="00C03C7A"/>
    <w:rsid w:val="00C05101"/>
    <w:rsid w:val="00C06750"/>
    <w:rsid w:val="00C11ED2"/>
    <w:rsid w:val="00C12FE4"/>
    <w:rsid w:val="00C16549"/>
    <w:rsid w:val="00C21D49"/>
    <w:rsid w:val="00C22BBA"/>
    <w:rsid w:val="00C22BEB"/>
    <w:rsid w:val="00C250D6"/>
    <w:rsid w:val="00C2613F"/>
    <w:rsid w:val="00C269F5"/>
    <w:rsid w:val="00C2701C"/>
    <w:rsid w:val="00C276AE"/>
    <w:rsid w:val="00C32CBE"/>
    <w:rsid w:val="00C332C4"/>
    <w:rsid w:val="00C333EB"/>
    <w:rsid w:val="00C336D1"/>
    <w:rsid w:val="00C34A1E"/>
    <w:rsid w:val="00C35D73"/>
    <w:rsid w:val="00C404A3"/>
    <w:rsid w:val="00C40633"/>
    <w:rsid w:val="00C42A49"/>
    <w:rsid w:val="00C42A7B"/>
    <w:rsid w:val="00C430BA"/>
    <w:rsid w:val="00C43655"/>
    <w:rsid w:val="00C45C9A"/>
    <w:rsid w:val="00C45E69"/>
    <w:rsid w:val="00C45F4D"/>
    <w:rsid w:val="00C46FFB"/>
    <w:rsid w:val="00C47013"/>
    <w:rsid w:val="00C4764A"/>
    <w:rsid w:val="00C50AAF"/>
    <w:rsid w:val="00C51352"/>
    <w:rsid w:val="00C55149"/>
    <w:rsid w:val="00C5555D"/>
    <w:rsid w:val="00C55BD8"/>
    <w:rsid w:val="00C55E7F"/>
    <w:rsid w:val="00C57CE4"/>
    <w:rsid w:val="00C6049F"/>
    <w:rsid w:val="00C60ACF"/>
    <w:rsid w:val="00C62437"/>
    <w:rsid w:val="00C654A1"/>
    <w:rsid w:val="00C65BE4"/>
    <w:rsid w:val="00C65D72"/>
    <w:rsid w:val="00C67EDC"/>
    <w:rsid w:val="00C70574"/>
    <w:rsid w:val="00C70AF9"/>
    <w:rsid w:val="00C72C51"/>
    <w:rsid w:val="00C73DEF"/>
    <w:rsid w:val="00C75BD1"/>
    <w:rsid w:val="00C7774D"/>
    <w:rsid w:val="00C8038F"/>
    <w:rsid w:val="00C80791"/>
    <w:rsid w:val="00C81367"/>
    <w:rsid w:val="00C81D15"/>
    <w:rsid w:val="00C82031"/>
    <w:rsid w:val="00C87EA6"/>
    <w:rsid w:val="00C907A4"/>
    <w:rsid w:val="00C9318D"/>
    <w:rsid w:val="00C94149"/>
    <w:rsid w:val="00C950D5"/>
    <w:rsid w:val="00C97AA2"/>
    <w:rsid w:val="00CA01B3"/>
    <w:rsid w:val="00CA1B21"/>
    <w:rsid w:val="00CA1F36"/>
    <w:rsid w:val="00CA2C42"/>
    <w:rsid w:val="00CA3B0A"/>
    <w:rsid w:val="00CA4971"/>
    <w:rsid w:val="00CB1757"/>
    <w:rsid w:val="00CB1889"/>
    <w:rsid w:val="00CB1B80"/>
    <w:rsid w:val="00CB509C"/>
    <w:rsid w:val="00CB6386"/>
    <w:rsid w:val="00CB6BD9"/>
    <w:rsid w:val="00CB747C"/>
    <w:rsid w:val="00CC08D9"/>
    <w:rsid w:val="00CC4A7A"/>
    <w:rsid w:val="00CC5437"/>
    <w:rsid w:val="00CC6D17"/>
    <w:rsid w:val="00CC75B5"/>
    <w:rsid w:val="00CD0616"/>
    <w:rsid w:val="00CD2042"/>
    <w:rsid w:val="00CD4688"/>
    <w:rsid w:val="00CD4B3E"/>
    <w:rsid w:val="00CD629A"/>
    <w:rsid w:val="00CE182C"/>
    <w:rsid w:val="00CE1A8F"/>
    <w:rsid w:val="00CE235A"/>
    <w:rsid w:val="00CE423E"/>
    <w:rsid w:val="00CE4A3F"/>
    <w:rsid w:val="00CE5C73"/>
    <w:rsid w:val="00CE6074"/>
    <w:rsid w:val="00CE747A"/>
    <w:rsid w:val="00CF1081"/>
    <w:rsid w:val="00CF1267"/>
    <w:rsid w:val="00CF268A"/>
    <w:rsid w:val="00CF26D5"/>
    <w:rsid w:val="00CF4AF7"/>
    <w:rsid w:val="00CF4B2B"/>
    <w:rsid w:val="00CF77BD"/>
    <w:rsid w:val="00D00CA7"/>
    <w:rsid w:val="00D00D23"/>
    <w:rsid w:val="00D0264C"/>
    <w:rsid w:val="00D034E4"/>
    <w:rsid w:val="00D0558C"/>
    <w:rsid w:val="00D05FF2"/>
    <w:rsid w:val="00D065C6"/>
    <w:rsid w:val="00D076C8"/>
    <w:rsid w:val="00D10BC3"/>
    <w:rsid w:val="00D10E6E"/>
    <w:rsid w:val="00D12788"/>
    <w:rsid w:val="00D12DB8"/>
    <w:rsid w:val="00D148C1"/>
    <w:rsid w:val="00D14EF3"/>
    <w:rsid w:val="00D165E7"/>
    <w:rsid w:val="00D21518"/>
    <w:rsid w:val="00D21C14"/>
    <w:rsid w:val="00D22B0C"/>
    <w:rsid w:val="00D2322A"/>
    <w:rsid w:val="00D24CAC"/>
    <w:rsid w:val="00D263B7"/>
    <w:rsid w:val="00D30F5E"/>
    <w:rsid w:val="00D31060"/>
    <w:rsid w:val="00D31137"/>
    <w:rsid w:val="00D3117A"/>
    <w:rsid w:val="00D31591"/>
    <w:rsid w:val="00D33D2A"/>
    <w:rsid w:val="00D34E14"/>
    <w:rsid w:val="00D362D0"/>
    <w:rsid w:val="00D4016F"/>
    <w:rsid w:val="00D40A97"/>
    <w:rsid w:val="00D42A81"/>
    <w:rsid w:val="00D446E2"/>
    <w:rsid w:val="00D520AA"/>
    <w:rsid w:val="00D5646F"/>
    <w:rsid w:val="00D64F20"/>
    <w:rsid w:val="00D64F85"/>
    <w:rsid w:val="00D67788"/>
    <w:rsid w:val="00D7024F"/>
    <w:rsid w:val="00D707B5"/>
    <w:rsid w:val="00D7349C"/>
    <w:rsid w:val="00D752DB"/>
    <w:rsid w:val="00D75D5A"/>
    <w:rsid w:val="00D760D8"/>
    <w:rsid w:val="00D7762B"/>
    <w:rsid w:val="00D80E94"/>
    <w:rsid w:val="00D827D7"/>
    <w:rsid w:val="00D83172"/>
    <w:rsid w:val="00D83479"/>
    <w:rsid w:val="00D83616"/>
    <w:rsid w:val="00D84246"/>
    <w:rsid w:val="00D8526A"/>
    <w:rsid w:val="00D9014C"/>
    <w:rsid w:val="00D92235"/>
    <w:rsid w:val="00D925BD"/>
    <w:rsid w:val="00D95771"/>
    <w:rsid w:val="00D9629E"/>
    <w:rsid w:val="00D97C87"/>
    <w:rsid w:val="00D97DBA"/>
    <w:rsid w:val="00DA3512"/>
    <w:rsid w:val="00DA4EF3"/>
    <w:rsid w:val="00DA5056"/>
    <w:rsid w:val="00DA6DE7"/>
    <w:rsid w:val="00DA7166"/>
    <w:rsid w:val="00DA71D1"/>
    <w:rsid w:val="00DA7B63"/>
    <w:rsid w:val="00DB496A"/>
    <w:rsid w:val="00DB4E68"/>
    <w:rsid w:val="00DB4E77"/>
    <w:rsid w:val="00DB5101"/>
    <w:rsid w:val="00DB6CFF"/>
    <w:rsid w:val="00DB737D"/>
    <w:rsid w:val="00DC090C"/>
    <w:rsid w:val="00DC2A3C"/>
    <w:rsid w:val="00DC3288"/>
    <w:rsid w:val="00DC3FFE"/>
    <w:rsid w:val="00DC5AF6"/>
    <w:rsid w:val="00DC5C59"/>
    <w:rsid w:val="00DC68C8"/>
    <w:rsid w:val="00DC74CF"/>
    <w:rsid w:val="00DD1D96"/>
    <w:rsid w:val="00DD48AB"/>
    <w:rsid w:val="00DD5D9A"/>
    <w:rsid w:val="00DD640B"/>
    <w:rsid w:val="00DD67F1"/>
    <w:rsid w:val="00DE062F"/>
    <w:rsid w:val="00DE12D5"/>
    <w:rsid w:val="00DE2429"/>
    <w:rsid w:val="00DE3429"/>
    <w:rsid w:val="00DE34F9"/>
    <w:rsid w:val="00DE3CC3"/>
    <w:rsid w:val="00DE3EEB"/>
    <w:rsid w:val="00DE3EF6"/>
    <w:rsid w:val="00DE5EE3"/>
    <w:rsid w:val="00DE6342"/>
    <w:rsid w:val="00DE670A"/>
    <w:rsid w:val="00DE674B"/>
    <w:rsid w:val="00DE6CEF"/>
    <w:rsid w:val="00DE73FE"/>
    <w:rsid w:val="00DE7E2C"/>
    <w:rsid w:val="00DF0663"/>
    <w:rsid w:val="00DF088B"/>
    <w:rsid w:val="00DF3196"/>
    <w:rsid w:val="00DF31FB"/>
    <w:rsid w:val="00DF4261"/>
    <w:rsid w:val="00DF5F42"/>
    <w:rsid w:val="00DF78D0"/>
    <w:rsid w:val="00E00BAB"/>
    <w:rsid w:val="00E01CE4"/>
    <w:rsid w:val="00E03518"/>
    <w:rsid w:val="00E04449"/>
    <w:rsid w:val="00E04FF1"/>
    <w:rsid w:val="00E05F48"/>
    <w:rsid w:val="00E07974"/>
    <w:rsid w:val="00E134DD"/>
    <w:rsid w:val="00E14141"/>
    <w:rsid w:val="00E15036"/>
    <w:rsid w:val="00E150AE"/>
    <w:rsid w:val="00E15C7B"/>
    <w:rsid w:val="00E17B0E"/>
    <w:rsid w:val="00E201BF"/>
    <w:rsid w:val="00E20B0E"/>
    <w:rsid w:val="00E25A99"/>
    <w:rsid w:val="00E26AC3"/>
    <w:rsid w:val="00E26DF4"/>
    <w:rsid w:val="00E2749E"/>
    <w:rsid w:val="00E274DB"/>
    <w:rsid w:val="00E302F2"/>
    <w:rsid w:val="00E3141F"/>
    <w:rsid w:val="00E32245"/>
    <w:rsid w:val="00E324C3"/>
    <w:rsid w:val="00E32B91"/>
    <w:rsid w:val="00E353E9"/>
    <w:rsid w:val="00E36DE7"/>
    <w:rsid w:val="00E4067F"/>
    <w:rsid w:val="00E4259C"/>
    <w:rsid w:val="00E42DF0"/>
    <w:rsid w:val="00E43F0A"/>
    <w:rsid w:val="00E44219"/>
    <w:rsid w:val="00E46199"/>
    <w:rsid w:val="00E521C3"/>
    <w:rsid w:val="00E54932"/>
    <w:rsid w:val="00E560C8"/>
    <w:rsid w:val="00E5634F"/>
    <w:rsid w:val="00E60698"/>
    <w:rsid w:val="00E60A2A"/>
    <w:rsid w:val="00E60DF9"/>
    <w:rsid w:val="00E62937"/>
    <w:rsid w:val="00E630D1"/>
    <w:rsid w:val="00E63B2E"/>
    <w:rsid w:val="00E65678"/>
    <w:rsid w:val="00E6572A"/>
    <w:rsid w:val="00E65C14"/>
    <w:rsid w:val="00E66357"/>
    <w:rsid w:val="00E664A8"/>
    <w:rsid w:val="00E7004A"/>
    <w:rsid w:val="00E71202"/>
    <w:rsid w:val="00E7174C"/>
    <w:rsid w:val="00E71889"/>
    <w:rsid w:val="00E72D11"/>
    <w:rsid w:val="00E73AA6"/>
    <w:rsid w:val="00E73AD5"/>
    <w:rsid w:val="00E75A07"/>
    <w:rsid w:val="00E77AA6"/>
    <w:rsid w:val="00E82F44"/>
    <w:rsid w:val="00E83DB7"/>
    <w:rsid w:val="00E849DC"/>
    <w:rsid w:val="00E87D60"/>
    <w:rsid w:val="00E9077E"/>
    <w:rsid w:val="00E914FC"/>
    <w:rsid w:val="00E93673"/>
    <w:rsid w:val="00E93ECE"/>
    <w:rsid w:val="00E9425D"/>
    <w:rsid w:val="00E9595D"/>
    <w:rsid w:val="00E97F95"/>
    <w:rsid w:val="00EA3349"/>
    <w:rsid w:val="00EA33E7"/>
    <w:rsid w:val="00EA34D9"/>
    <w:rsid w:val="00EA359E"/>
    <w:rsid w:val="00EA60F2"/>
    <w:rsid w:val="00EA6F0C"/>
    <w:rsid w:val="00EA76A3"/>
    <w:rsid w:val="00EA7DDC"/>
    <w:rsid w:val="00EB2503"/>
    <w:rsid w:val="00EB2DC2"/>
    <w:rsid w:val="00EB390E"/>
    <w:rsid w:val="00EB60D9"/>
    <w:rsid w:val="00EB63BE"/>
    <w:rsid w:val="00EB6E3F"/>
    <w:rsid w:val="00EB7E53"/>
    <w:rsid w:val="00EC3836"/>
    <w:rsid w:val="00EC4437"/>
    <w:rsid w:val="00EC49E3"/>
    <w:rsid w:val="00EC6F82"/>
    <w:rsid w:val="00EC7F82"/>
    <w:rsid w:val="00ED085D"/>
    <w:rsid w:val="00ED7176"/>
    <w:rsid w:val="00EE1107"/>
    <w:rsid w:val="00EE21D2"/>
    <w:rsid w:val="00EE6D85"/>
    <w:rsid w:val="00EE7C39"/>
    <w:rsid w:val="00EF22E8"/>
    <w:rsid w:val="00EF302C"/>
    <w:rsid w:val="00EF7008"/>
    <w:rsid w:val="00F0540A"/>
    <w:rsid w:val="00F069A0"/>
    <w:rsid w:val="00F1376E"/>
    <w:rsid w:val="00F1502B"/>
    <w:rsid w:val="00F15D94"/>
    <w:rsid w:val="00F201CD"/>
    <w:rsid w:val="00F2177C"/>
    <w:rsid w:val="00F245DE"/>
    <w:rsid w:val="00F25025"/>
    <w:rsid w:val="00F26073"/>
    <w:rsid w:val="00F27D8D"/>
    <w:rsid w:val="00F303B0"/>
    <w:rsid w:val="00F32389"/>
    <w:rsid w:val="00F33666"/>
    <w:rsid w:val="00F35678"/>
    <w:rsid w:val="00F3598B"/>
    <w:rsid w:val="00F37F35"/>
    <w:rsid w:val="00F45A89"/>
    <w:rsid w:val="00F50196"/>
    <w:rsid w:val="00F51EFB"/>
    <w:rsid w:val="00F51F87"/>
    <w:rsid w:val="00F538A4"/>
    <w:rsid w:val="00F53DE1"/>
    <w:rsid w:val="00F54B87"/>
    <w:rsid w:val="00F55A5C"/>
    <w:rsid w:val="00F606ED"/>
    <w:rsid w:val="00F61612"/>
    <w:rsid w:val="00F7388C"/>
    <w:rsid w:val="00F74A7A"/>
    <w:rsid w:val="00F753E6"/>
    <w:rsid w:val="00F75995"/>
    <w:rsid w:val="00F7696C"/>
    <w:rsid w:val="00F81B9A"/>
    <w:rsid w:val="00F81BBB"/>
    <w:rsid w:val="00F81FCE"/>
    <w:rsid w:val="00F825AC"/>
    <w:rsid w:val="00F82CD2"/>
    <w:rsid w:val="00F8375B"/>
    <w:rsid w:val="00F83E4D"/>
    <w:rsid w:val="00F84058"/>
    <w:rsid w:val="00F8765E"/>
    <w:rsid w:val="00F924CD"/>
    <w:rsid w:val="00F929CE"/>
    <w:rsid w:val="00F92FF1"/>
    <w:rsid w:val="00F9614B"/>
    <w:rsid w:val="00F966EC"/>
    <w:rsid w:val="00F966F3"/>
    <w:rsid w:val="00F96BEC"/>
    <w:rsid w:val="00F96C7F"/>
    <w:rsid w:val="00F97422"/>
    <w:rsid w:val="00FA03A2"/>
    <w:rsid w:val="00FA15B1"/>
    <w:rsid w:val="00FA1718"/>
    <w:rsid w:val="00FA259A"/>
    <w:rsid w:val="00FA376A"/>
    <w:rsid w:val="00FA567D"/>
    <w:rsid w:val="00FA7CB6"/>
    <w:rsid w:val="00FB60B4"/>
    <w:rsid w:val="00FB6D63"/>
    <w:rsid w:val="00FB7613"/>
    <w:rsid w:val="00FC0846"/>
    <w:rsid w:val="00FC1B59"/>
    <w:rsid w:val="00FC21F7"/>
    <w:rsid w:val="00FC431D"/>
    <w:rsid w:val="00FC6743"/>
    <w:rsid w:val="00FC7DB5"/>
    <w:rsid w:val="00FD040C"/>
    <w:rsid w:val="00FD371C"/>
    <w:rsid w:val="00FE2DE8"/>
    <w:rsid w:val="00FE652C"/>
    <w:rsid w:val="00FE68A5"/>
    <w:rsid w:val="00FE7771"/>
    <w:rsid w:val="00FE7C4C"/>
    <w:rsid w:val="00FF1972"/>
    <w:rsid w:val="00FF2D28"/>
    <w:rsid w:val="00FF3482"/>
    <w:rsid w:val="00FF430A"/>
    <w:rsid w:val="00FF58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5D191-0DAF-43DE-9A9A-DAFC6354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unhideWhenUsed="1" w:qFormat="1"/>
    <w:lsdException w:name="heading 4" w:uiPriority="9" w:unhideWhenUsed="1" w:qFormat="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F6A2B"/>
    <w:rPr>
      <w:rFonts w:ascii="MetaPlusLF" w:hAnsi="MetaPlusLF"/>
    </w:rPr>
  </w:style>
  <w:style w:type="paragraph" w:styleId="1">
    <w:name w:val="heading 1"/>
    <w:basedOn w:val="a0"/>
    <w:next w:val="a0"/>
    <w:qFormat/>
    <w:rsid w:val="00F84058"/>
    <w:pPr>
      <w:keepNext/>
      <w:numPr>
        <w:numId w:val="4"/>
      </w:numPr>
      <w:spacing w:before="120" w:after="120"/>
      <w:outlineLvl w:val="0"/>
    </w:pPr>
    <w:rPr>
      <w:rFonts w:ascii="Times New Roman" w:hAnsi="Times New Roman"/>
      <w:b/>
      <w:sz w:val="24"/>
    </w:rPr>
  </w:style>
  <w:style w:type="paragraph" w:styleId="2">
    <w:name w:val="heading 2"/>
    <w:basedOn w:val="a0"/>
    <w:next w:val="a0"/>
    <w:qFormat/>
    <w:rsid w:val="000E4A07"/>
    <w:pPr>
      <w:keepNext/>
      <w:numPr>
        <w:ilvl w:val="1"/>
        <w:numId w:val="5"/>
      </w:numPr>
      <w:tabs>
        <w:tab w:val="clear" w:pos="7097"/>
        <w:tab w:val="num" w:pos="576"/>
      </w:tabs>
      <w:spacing w:before="120" w:after="120"/>
      <w:ind w:left="578" w:hanging="578"/>
      <w:outlineLvl w:val="1"/>
    </w:pPr>
    <w:rPr>
      <w:rFonts w:ascii="Times New Roman" w:hAnsi="Times New Roman"/>
      <w:b/>
      <w:sz w:val="24"/>
    </w:rPr>
  </w:style>
  <w:style w:type="paragraph" w:styleId="3">
    <w:name w:val="heading 3"/>
    <w:basedOn w:val="a0"/>
    <w:next w:val="a0"/>
    <w:qFormat/>
    <w:rsid w:val="000E4A07"/>
    <w:pPr>
      <w:keepNext/>
      <w:numPr>
        <w:ilvl w:val="2"/>
        <w:numId w:val="6"/>
      </w:numPr>
      <w:spacing w:before="120" w:after="120"/>
      <w:outlineLvl w:val="2"/>
    </w:pPr>
    <w:rPr>
      <w:rFonts w:ascii="Times New Roman" w:hAnsi="Times New Roman"/>
      <w:b/>
      <w:sz w:val="24"/>
    </w:rPr>
  </w:style>
  <w:style w:type="paragraph" w:styleId="4">
    <w:name w:val="heading 4"/>
    <w:basedOn w:val="a0"/>
    <w:next w:val="a0"/>
    <w:qFormat/>
    <w:rsid w:val="00577C78"/>
    <w:pPr>
      <w:keepNext/>
      <w:numPr>
        <w:ilvl w:val="3"/>
        <w:numId w:val="3"/>
      </w:numPr>
      <w:ind w:left="862" w:hanging="862"/>
      <w:outlineLvl w:val="3"/>
    </w:pPr>
  </w:style>
  <w:style w:type="paragraph" w:styleId="5">
    <w:name w:val="heading 5"/>
    <w:basedOn w:val="a0"/>
    <w:next w:val="a0"/>
    <w:rsid w:val="00577C78"/>
    <w:pPr>
      <w:numPr>
        <w:ilvl w:val="4"/>
        <w:numId w:val="7"/>
      </w:numPr>
      <w:ind w:left="1009" w:hanging="1009"/>
      <w:outlineLvl w:val="4"/>
    </w:pPr>
  </w:style>
  <w:style w:type="paragraph" w:styleId="6">
    <w:name w:val="heading 6"/>
    <w:basedOn w:val="a0"/>
    <w:next w:val="a0"/>
    <w:rsid w:val="00577C78"/>
    <w:pPr>
      <w:numPr>
        <w:ilvl w:val="5"/>
        <w:numId w:val="8"/>
      </w:numPr>
      <w:ind w:left="1151" w:hanging="1151"/>
      <w:outlineLvl w:val="5"/>
    </w:pPr>
  </w:style>
  <w:style w:type="paragraph" w:styleId="7">
    <w:name w:val="heading 7"/>
    <w:basedOn w:val="a0"/>
    <w:next w:val="a0"/>
    <w:rsid w:val="00577C78"/>
    <w:pPr>
      <w:numPr>
        <w:ilvl w:val="6"/>
        <w:numId w:val="9"/>
      </w:numPr>
      <w:ind w:left="1298" w:hanging="1298"/>
      <w:outlineLvl w:val="6"/>
    </w:pPr>
  </w:style>
  <w:style w:type="paragraph" w:styleId="8">
    <w:name w:val="heading 8"/>
    <w:basedOn w:val="a0"/>
    <w:next w:val="a0"/>
    <w:rsid w:val="00577C78"/>
    <w:pPr>
      <w:numPr>
        <w:ilvl w:val="7"/>
        <w:numId w:val="10"/>
      </w:numPr>
      <w:outlineLvl w:val="7"/>
    </w:pPr>
  </w:style>
  <w:style w:type="paragraph" w:styleId="9">
    <w:name w:val="heading 9"/>
    <w:basedOn w:val="a0"/>
    <w:next w:val="a0"/>
    <w:rsid w:val="00577C78"/>
    <w:pPr>
      <w:numPr>
        <w:ilvl w:val="8"/>
        <w:numId w:val="11"/>
      </w:numPr>
      <w:ind w:left="1582" w:hanging="1582"/>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77C78"/>
    <w:pPr>
      <w:tabs>
        <w:tab w:val="center" w:pos="4536"/>
        <w:tab w:val="right" w:pos="9072"/>
      </w:tabs>
    </w:pPr>
  </w:style>
  <w:style w:type="paragraph" w:styleId="a6">
    <w:name w:val="caption"/>
    <w:basedOn w:val="a0"/>
    <w:next w:val="a0"/>
    <w:rsid w:val="00577C78"/>
    <w:pPr>
      <w:spacing w:before="120" w:after="240"/>
    </w:pPr>
    <w:rPr>
      <w:sz w:val="16"/>
    </w:rPr>
  </w:style>
  <w:style w:type="paragraph" w:styleId="40">
    <w:name w:val="toc 4"/>
    <w:basedOn w:val="a0"/>
    <w:next w:val="a0"/>
    <w:autoRedefine/>
    <w:rsid w:val="00577C78"/>
    <w:pPr>
      <w:ind w:left="600"/>
    </w:pPr>
  </w:style>
  <w:style w:type="paragraph" w:styleId="10">
    <w:name w:val="toc 1"/>
    <w:basedOn w:val="a0"/>
    <w:next w:val="a0"/>
    <w:autoRedefine/>
    <w:uiPriority w:val="39"/>
    <w:rsid w:val="009D2B5D"/>
    <w:pPr>
      <w:tabs>
        <w:tab w:val="left" w:pos="400"/>
        <w:tab w:val="right" w:leader="dot" w:pos="8777"/>
      </w:tabs>
    </w:pPr>
    <w:rPr>
      <w:rFonts w:ascii="Times New Roman" w:hAnsi="Times New Roman"/>
      <w:b/>
      <w:noProof/>
      <w:sz w:val="24"/>
      <w:szCs w:val="24"/>
      <w:lang w:val="en-US"/>
    </w:rPr>
  </w:style>
  <w:style w:type="character" w:styleId="a7">
    <w:name w:val="Hyperlink"/>
    <w:basedOn w:val="a1"/>
    <w:uiPriority w:val="99"/>
    <w:rsid w:val="00577C78"/>
    <w:rPr>
      <w:rFonts w:ascii="MetaPlusLF" w:hAnsi="MetaPlusLF"/>
      <w:color w:val="0000FF"/>
      <w:u w:val="single"/>
    </w:rPr>
  </w:style>
  <w:style w:type="paragraph" w:styleId="11">
    <w:name w:val="index 1"/>
    <w:basedOn w:val="a0"/>
    <w:next w:val="a0"/>
    <w:autoRedefine/>
    <w:semiHidden/>
    <w:rsid w:val="00577C78"/>
    <w:pPr>
      <w:ind w:left="200" w:hanging="200"/>
    </w:pPr>
  </w:style>
  <w:style w:type="paragraph" w:styleId="20">
    <w:name w:val="index 2"/>
    <w:basedOn w:val="a0"/>
    <w:next w:val="a0"/>
    <w:autoRedefine/>
    <w:semiHidden/>
    <w:rsid w:val="00577C78"/>
    <w:pPr>
      <w:ind w:left="400" w:hanging="200"/>
    </w:pPr>
  </w:style>
  <w:style w:type="paragraph" w:styleId="30">
    <w:name w:val="index 3"/>
    <w:basedOn w:val="a0"/>
    <w:next w:val="a0"/>
    <w:autoRedefine/>
    <w:semiHidden/>
    <w:rsid w:val="00577C78"/>
    <w:pPr>
      <w:ind w:left="600" w:hanging="200"/>
    </w:pPr>
  </w:style>
  <w:style w:type="paragraph" w:styleId="41">
    <w:name w:val="index 4"/>
    <w:basedOn w:val="a0"/>
    <w:next w:val="a0"/>
    <w:autoRedefine/>
    <w:semiHidden/>
    <w:rsid w:val="00577C78"/>
    <w:pPr>
      <w:ind w:left="800" w:hanging="200"/>
    </w:pPr>
  </w:style>
  <w:style w:type="paragraph" w:styleId="50">
    <w:name w:val="index 5"/>
    <w:basedOn w:val="a0"/>
    <w:next w:val="a0"/>
    <w:autoRedefine/>
    <w:semiHidden/>
    <w:rsid w:val="00577C78"/>
    <w:pPr>
      <w:ind w:left="1000" w:hanging="200"/>
    </w:pPr>
  </w:style>
  <w:style w:type="paragraph" w:styleId="60">
    <w:name w:val="index 6"/>
    <w:basedOn w:val="a0"/>
    <w:next w:val="a0"/>
    <w:autoRedefine/>
    <w:semiHidden/>
    <w:rsid w:val="00577C78"/>
    <w:pPr>
      <w:ind w:left="1200" w:hanging="200"/>
    </w:pPr>
  </w:style>
  <w:style w:type="paragraph" w:styleId="70">
    <w:name w:val="index 7"/>
    <w:basedOn w:val="a0"/>
    <w:next w:val="a0"/>
    <w:autoRedefine/>
    <w:semiHidden/>
    <w:rsid w:val="00577C78"/>
    <w:pPr>
      <w:ind w:left="1400" w:hanging="200"/>
    </w:pPr>
  </w:style>
  <w:style w:type="paragraph" w:styleId="80">
    <w:name w:val="index 8"/>
    <w:basedOn w:val="a0"/>
    <w:next w:val="a0"/>
    <w:autoRedefine/>
    <w:semiHidden/>
    <w:rsid w:val="00577C78"/>
    <w:pPr>
      <w:ind w:left="1600" w:hanging="200"/>
    </w:pPr>
  </w:style>
  <w:style w:type="paragraph" w:styleId="90">
    <w:name w:val="index 9"/>
    <w:basedOn w:val="a0"/>
    <w:next w:val="a0"/>
    <w:autoRedefine/>
    <w:semiHidden/>
    <w:rsid w:val="00577C78"/>
    <w:pPr>
      <w:ind w:left="1800" w:hanging="200"/>
    </w:pPr>
  </w:style>
  <w:style w:type="paragraph" w:styleId="a8">
    <w:name w:val="index heading"/>
    <w:basedOn w:val="a0"/>
    <w:next w:val="11"/>
    <w:semiHidden/>
    <w:rsid w:val="00577C78"/>
  </w:style>
  <w:style w:type="paragraph" w:styleId="a9">
    <w:name w:val="annotation text"/>
    <w:basedOn w:val="a0"/>
    <w:link w:val="aa"/>
    <w:semiHidden/>
    <w:rsid w:val="00577C78"/>
  </w:style>
  <w:style w:type="character" w:styleId="ab">
    <w:name w:val="annotation reference"/>
    <w:basedOn w:val="a1"/>
    <w:semiHidden/>
    <w:rsid w:val="00577C78"/>
    <w:rPr>
      <w:rFonts w:ascii="MetaPlusLF" w:hAnsi="MetaPlusLF"/>
      <w:sz w:val="16"/>
    </w:rPr>
  </w:style>
  <w:style w:type="character" w:styleId="ac">
    <w:name w:val="page number"/>
    <w:basedOn w:val="a1"/>
    <w:semiHidden/>
    <w:rsid w:val="00577C78"/>
    <w:rPr>
      <w:rFonts w:ascii="MetaPlusLF" w:hAnsi="MetaPlusLF"/>
      <w:sz w:val="20"/>
    </w:rPr>
  </w:style>
  <w:style w:type="paragraph" w:customStyle="1" w:styleId="Standardfett">
    <w:name w:val="Standard fett"/>
    <w:basedOn w:val="a0"/>
    <w:rsid w:val="00577C78"/>
    <w:rPr>
      <w:b/>
    </w:rPr>
  </w:style>
  <w:style w:type="paragraph" w:styleId="21">
    <w:name w:val="toc 2"/>
    <w:basedOn w:val="a0"/>
    <w:next w:val="a0"/>
    <w:autoRedefine/>
    <w:uiPriority w:val="39"/>
    <w:rsid w:val="00577C78"/>
    <w:pPr>
      <w:ind w:left="200"/>
    </w:pPr>
  </w:style>
  <w:style w:type="paragraph" w:styleId="31">
    <w:name w:val="toc 3"/>
    <w:basedOn w:val="a0"/>
    <w:next w:val="a0"/>
    <w:autoRedefine/>
    <w:uiPriority w:val="39"/>
    <w:rsid w:val="00577C78"/>
    <w:pPr>
      <w:ind w:left="400"/>
    </w:pPr>
  </w:style>
  <w:style w:type="paragraph" w:styleId="51">
    <w:name w:val="toc 5"/>
    <w:basedOn w:val="a0"/>
    <w:next w:val="a0"/>
    <w:autoRedefine/>
    <w:rsid w:val="00577C78"/>
    <w:pPr>
      <w:ind w:left="800"/>
    </w:pPr>
  </w:style>
  <w:style w:type="paragraph" w:styleId="61">
    <w:name w:val="toc 6"/>
    <w:basedOn w:val="a0"/>
    <w:next w:val="a0"/>
    <w:autoRedefine/>
    <w:rsid w:val="00577C78"/>
    <w:pPr>
      <w:ind w:left="1000"/>
    </w:pPr>
  </w:style>
  <w:style w:type="paragraph" w:styleId="71">
    <w:name w:val="toc 7"/>
    <w:basedOn w:val="a0"/>
    <w:next w:val="a0"/>
    <w:autoRedefine/>
    <w:rsid w:val="00577C78"/>
    <w:pPr>
      <w:ind w:left="1200"/>
    </w:pPr>
  </w:style>
  <w:style w:type="paragraph" w:styleId="81">
    <w:name w:val="toc 8"/>
    <w:basedOn w:val="a0"/>
    <w:next w:val="a0"/>
    <w:autoRedefine/>
    <w:rsid w:val="00577C78"/>
    <w:pPr>
      <w:ind w:left="1400"/>
    </w:pPr>
  </w:style>
  <w:style w:type="paragraph" w:styleId="91">
    <w:name w:val="toc 9"/>
    <w:basedOn w:val="a0"/>
    <w:next w:val="a0"/>
    <w:autoRedefine/>
    <w:rsid w:val="00577C78"/>
    <w:pPr>
      <w:ind w:left="1600"/>
    </w:pPr>
  </w:style>
  <w:style w:type="paragraph" w:styleId="a">
    <w:name w:val="List Paragraph"/>
    <w:basedOn w:val="a0"/>
    <w:uiPriority w:val="34"/>
    <w:qFormat/>
    <w:rsid w:val="001D2457"/>
    <w:pPr>
      <w:numPr>
        <w:numId w:val="24"/>
      </w:numPr>
      <w:ind w:left="113" w:hanging="113"/>
      <w:contextualSpacing/>
    </w:pPr>
  </w:style>
  <w:style w:type="table" w:customStyle="1" w:styleId="CorporateDesign">
    <w:name w:val="Corporate Design"/>
    <w:basedOn w:val="a2"/>
    <w:uiPriority w:val="99"/>
    <w:qFormat/>
    <w:rsid w:val="007F2D2E"/>
    <w:rPr>
      <w:rFonts w:ascii="MetaPlusLF" w:hAnsi="MetaPlusLF"/>
      <w:lang w:val="en-GB" w:eastAsia="en-GB"/>
    </w:rPr>
    <w:tblPr>
      <w:tblBorders>
        <w:top w:val="single" w:sz="4" w:space="0" w:color="auto"/>
        <w:left w:val="single" w:sz="4" w:space="0" w:color="auto"/>
        <w:bottom w:val="single" w:sz="24" w:space="0" w:color="auto"/>
        <w:right w:val="single" w:sz="4" w:space="0" w:color="auto"/>
        <w:insideH w:val="single" w:sz="4" w:space="0" w:color="auto"/>
        <w:insideV w:val="single" w:sz="4" w:space="0" w:color="auto"/>
      </w:tblBorders>
    </w:tblPr>
    <w:tblStylePr w:type="firstRow">
      <w:rPr>
        <w:rFonts w:ascii="MetaPlusLF" w:hAnsi="MetaPlusLF"/>
        <w:sz w:val="20"/>
      </w:rPr>
      <w:tblPr/>
      <w:tcPr>
        <w:tcBorders>
          <w:top w:val="nil"/>
          <w:left w:val="single" w:sz="4" w:space="0" w:color="auto"/>
          <w:bottom w:val="single" w:sz="24" w:space="0" w:color="auto"/>
          <w:right w:val="single" w:sz="4" w:space="0" w:color="auto"/>
          <w:insideH w:val="nil"/>
          <w:insideV w:val="single" w:sz="4" w:space="0" w:color="auto"/>
          <w:tl2br w:val="nil"/>
          <w:tr2bl w:val="nil"/>
        </w:tcBorders>
      </w:tcPr>
    </w:tblStylePr>
  </w:style>
  <w:style w:type="table" w:styleId="ad">
    <w:name w:val="Dark List"/>
    <w:basedOn w:val="a2"/>
    <w:uiPriority w:val="40"/>
    <w:rsid w:val="008329A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styleId="ae">
    <w:name w:val="Strong"/>
    <w:basedOn w:val="a1"/>
    <w:uiPriority w:val="22"/>
    <w:qFormat/>
    <w:rsid w:val="00D83479"/>
    <w:rPr>
      <w:b/>
      <w:bCs/>
    </w:rPr>
  </w:style>
  <w:style w:type="paragraph" w:styleId="af">
    <w:name w:val="Normal (Web)"/>
    <w:basedOn w:val="a0"/>
    <w:uiPriority w:val="99"/>
    <w:unhideWhenUsed/>
    <w:rsid w:val="002F72B8"/>
    <w:rPr>
      <w:rFonts w:ascii="Times New Roman" w:hAnsi="Times New Roman"/>
      <w:sz w:val="24"/>
      <w:szCs w:val="24"/>
    </w:rPr>
  </w:style>
  <w:style w:type="table" w:styleId="af0">
    <w:name w:val="Grid Table Light"/>
    <w:basedOn w:val="a2"/>
    <w:uiPriority w:val="40"/>
    <w:rsid w:val="002F72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1">
    <w:name w:val="header"/>
    <w:basedOn w:val="a0"/>
    <w:link w:val="af2"/>
    <w:uiPriority w:val="99"/>
    <w:unhideWhenUsed/>
    <w:rsid w:val="00EE7C39"/>
    <w:pPr>
      <w:tabs>
        <w:tab w:val="center" w:pos="4536"/>
        <w:tab w:val="right" w:pos="9072"/>
      </w:tabs>
    </w:pPr>
  </w:style>
  <w:style w:type="character" w:customStyle="1" w:styleId="af2">
    <w:name w:val="Верхний колонтитул Знак"/>
    <w:basedOn w:val="a1"/>
    <w:link w:val="af1"/>
    <w:uiPriority w:val="99"/>
    <w:rsid w:val="00EE7C39"/>
    <w:rPr>
      <w:rFonts w:ascii="MetaPlusLF" w:hAnsi="MetaPlusLF"/>
    </w:rPr>
  </w:style>
  <w:style w:type="character" w:customStyle="1" w:styleId="a5">
    <w:name w:val="Нижний колонтитул Знак"/>
    <w:basedOn w:val="a1"/>
    <w:link w:val="a4"/>
    <w:uiPriority w:val="99"/>
    <w:rsid w:val="00EE7C39"/>
    <w:rPr>
      <w:rFonts w:ascii="MetaPlusLF" w:hAnsi="MetaPlusLF"/>
    </w:rPr>
  </w:style>
  <w:style w:type="character" w:customStyle="1" w:styleId="12">
    <w:name w:val="Неразрешенное упоминание1"/>
    <w:basedOn w:val="a1"/>
    <w:uiPriority w:val="99"/>
    <w:semiHidden/>
    <w:unhideWhenUsed/>
    <w:rsid w:val="004E3D05"/>
    <w:rPr>
      <w:color w:val="808080"/>
      <w:shd w:val="clear" w:color="auto" w:fill="E6E6E6"/>
    </w:rPr>
  </w:style>
  <w:style w:type="character" w:styleId="af3">
    <w:name w:val="Placeholder Text"/>
    <w:basedOn w:val="a1"/>
    <w:uiPriority w:val="99"/>
    <w:semiHidden/>
    <w:rsid w:val="00475EB1"/>
    <w:rPr>
      <w:color w:val="808080"/>
    </w:rPr>
  </w:style>
  <w:style w:type="table" w:styleId="-2">
    <w:name w:val="Grid Table 2"/>
    <w:basedOn w:val="a2"/>
    <w:uiPriority w:val="47"/>
    <w:rsid w:val="00230EF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2"/>
    <w:uiPriority w:val="47"/>
    <w:rsid w:val="00230EF7"/>
    <w:tblPr>
      <w:tblStyleRowBandSize w:val="1"/>
      <w:tblStyleColBandSize w:val="1"/>
      <w:tblBorders>
        <w:top w:val="single" w:sz="2" w:space="0" w:color="BFC2C2" w:themeColor="accent3" w:themeTint="99"/>
        <w:bottom w:val="single" w:sz="2" w:space="0" w:color="BFC2C2" w:themeColor="accent3" w:themeTint="99"/>
        <w:insideH w:val="single" w:sz="2" w:space="0" w:color="BFC2C2" w:themeColor="accent3" w:themeTint="99"/>
        <w:insideV w:val="single" w:sz="2" w:space="0" w:color="BFC2C2" w:themeColor="accent3" w:themeTint="99"/>
      </w:tblBorders>
    </w:tblPr>
    <w:tblStylePr w:type="firstRow">
      <w:rPr>
        <w:b/>
        <w:bCs/>
      </w:rPr>
      <w:tblPr/>
      <w:tcPr>
        <w:tcBorders>
          <w:top w:val="nil"/>
          <w:bottom w:val="single" w:sz="12" w:space="0" w:color="BFC2C2" w:themeColor="accent3" w:themeTint="99"/>
          <w:insideH w:val="nil"/>
          <w:insideV w:val="nil"/>
        </w:tcBorders>
        <w:shd w:val="clear" w:color="auto" w:fill="FFFFFF" w:themeFill="background1"/>
      </w:tcPr>
    </w:tblStylePr>
    <w:tblStylePr w:type="lastRow">
      <w:rPr>
        <w:b/>
        <w:bCs/>
      </w:rPr>
      <w:tblPr/>
      <w:tcPr>
        <w:tcBorders>
          <w:top w:val="double" w:sz="2" w:space="0" w:color="BFC2C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AEA" w:themeFill="accent3" w:themeFillTint="33"/>
      </w:tcPr>
    </w:tblStylePr>
    <w:tblStylePr w:type="band1Horz">
      <w:tblPr/>
      <w:tcPr>
        <w:shd w:val="clear" w:color="auto" w:fill="E9EAEA" w:themeFill="accent3" w:themeFillTint="33"/>
      </w:tcPr>
    </w:tblStylePr>
  </w:style>
  <w:style w:type="table" w:styleId="-21">
    <w:name w:val="Grid Table 2 Accent 1"/>
    <w:basedOn w:val="a2"/>
    <w:uiPriority w:val="47"/>
    <w:rsid w:val="00230EF7"/>
    <w:tblPr>
      <w:tblStyleRowBandSize w:val="1"/>
      <w:tblStyleColBandSize w:val="1"/>
      <w:tblBorders>
        <w:top w:val="single" w:sz="2" w:space="0" w:color="E9F2F9" w:themeColor="accent1" w:themeTint="99"/>
        <w:bottom w:val="single" w:sz="2" w:space="0" w:color="E9F2F9" w:themeColor="accent1" w:themeTint="99"/>
        <w:insideH w:val="single" w:sz="2" w:space="0" w:color="E9F2F9" w:themeColor="accent1" w:themeTint="99"/>
        <w:insideV w:val="single" w:sz="2" w:space="0" w:color="E9F2F9" w:themeColor="accent1" w:themeTint="99"/>
      </w:tblBorders>
    </w:tblPr>
    <w:tblStylePr w:type="firstRow">
      <w:rPr>
        <w:b/>
        <w:bCs/>
      </w:rPr>
      <w:tblPr/>
      <w:tcPr>
        <w:tcBorders>
          <w:top w:val="nil"/>
          <w:bottom w:val="single" w:sz="12" w:space="0" w:color="E9F2F9" w:themeColor="accent1" w:themeTint="99"/>
          <w:insideH w:val="nil"/>
          <w:insideV w:val="nil"/>
        </w:tcBorders>
        <w:shd w:val="clear" w:color="auto" w:fill="FFFFFF" w:themeFill="background1"/>
      </w:tcPr>
    </w:tblStylePr>
    <w:tblStylePr w:type="lastRow">
      <w:rPr>
        <w:b/>
        <w:bCs/>
      </w:rPr>
      <w:tblPr/>
      <w:tcPr>
        <w:tcBorders>
          <w:top w:val="double" w:sz="2" w:space="0" w:color="E9F2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AFD" w:themeFill="accent1" w:themeFillTint="33"/>
      </w:tcPr>
    </w:tblStylePr>
    <w:tblStylePr w:type="band1Horz">
      <w:tblPr/>
      <w:tcPr>
        <w:shd w:val="clear" w:color="auto" w:fill="F7FAFD" w:themeFill="accent1" w:themeFillTint="33"/>
      </w:tcPr>
    </w:tblStylePr>
  </w:style>
  <w:style w:type="table" w:styleId="-51">
    <w:name w:val="Grid Table 5 Dark Accent 1"/>
    <w:basedOn w:val="a2"/>
    <w:uiPriority w:val="50"/>
    <w:rsid w:val="007246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A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CEBF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CEBF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CEBF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CEBF6" w:themeFill="accent1"/>
      </w:tcPr>
    </w:tblStylePr>
    <w:tblStylePr w:type="band1Vert">
      <w:tblPr/>
      <w:tcPr>
        <w:shd w:val="clear" w:color="auto" w:fill="F0F6FB" w:themeFill="accent1" w:themeFillTint="66"/>
      </w:tcPr>
    </w:tblStylePr>
    <w:tblStylePr w:type="band1Horz">
      <w:tblPr/>
      <w:tcPr>
        <w:shd w:val="clear" w:color="auto" w:fill="F0F6FB" w:themeFill="accent1" w:themeFillTint="66"/>
      </w:tcPr>
    </w:tblStylePr>
  </w:style>
  <w:style w:type="table" w:styleId="-31">
    <w:name w:val="Grid Table 3 Accent 1"/>
    <w:basedOn w:val="a2"/>
    <w:uiPriority w:val="48"/>
    <w:rsid w:val="007246DA"/>
    <w:tblPr>
      <w:tblStyleRowBandSize w:val="1"/>
      <w:tblStyleColBandSize w:val="1"/>
      <w:tblBorders>
        <w:top w:val="single" w:sz="4" w:space="0" w:color="E9F2F9" w:themeColor="accent1" w:themeTint="99"/>
        <w:left w:val="single" w:sz="4" w:space="0" w:color="E9F2F9" w:themeColor="accent1" w:themeTint="99"/>
        <w:bottom w:val="single" w:sz="4" w:space="0" w:color="E9F2F9" w:themeColor="accent1" w:themeTint="99"/>
        <w:right w:val="single" w:sz="4" w:space="0" w:color="E9F2F9" w:themeColor="accent1" w:themeTint="99"/>
        <w:insideH w:val="single" w:sz="4" w:space="0" w:color="E9F2F9" w:themeColor="accent1" w:themeTint="99"/>
        <w:insideV w:val="single" w:sz="4" w:space="0" w:color="E9F2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AFD" w:themeFill="accent1" w:themeFillTint="33"/>
      </w:tcPr>
    </w:tblStylePr>
    <w:tblStylePr w:type="band1Horz">
      <w:tblPr/>
      <w:tcPr>
        <w:shd w:val="clear" w:color="auto" w:fill="F7FAFD" w:themeFill="accent1" w:themeFillTint="33"/>
      </w:tcPr>
    </w:tblStylePr>
    <w:tblStylePr w:type="neCell">
      <w:tblPr/>
      <w:tcPr>
        <w:tcBorders>
          <w:bottom w:val="single" w:sz="4" w:space="0" w:color="E9F2F9" w:themeColor="accent1" w:themeTint="99"/>
        </w:tcBorders>
      </w:tcPr>
    </w:tblStylePr>
    <w:tblStylePr w:type="nwCell">
      <w:tblPr/>
      <w:tcPr>
        <w:tcBorders>
          <w:bottom w:val="single" w:sz="4" w:space="0" w:color="E9F2F9" w:themeColor="accent1" w:themeTint="99"/>
        </w:tcBorders>
      </w:tcPr>
    </w:tblStylePr>
    <w:tblStylePr w:type="seCell">
      <w:tblPr/>
      <w:tcPr>
        <w:tcBorders>
          <w:top w:val="single" w:sz="4" w:space="0" w:color="E9F2F9" w:themeColor="accent1" w:themeTint="99"/>
        </w:tcBorders>
      </w:tcPr>
    </w:tblStylePr>
    <w:tblStylePr w:type="swCell">
      <w:tblPr/>
      <w:tcPr>
        <w:tcBorders>
          <w:top w:val="single" w:sz="4" w:space="0" w:color="E9F2F9" w:themeColor="accent1" w:themeTint="99"/>
        </w:tcBorders>
      </w:tcPr>
    </w:tblStylePr>
  </w:style>
  <w:style w:type="character" w:styleId="HTML">
    <w:name w:val="HTML Cite"/>
    <w:basedOn w:val="a1"/>
    <w:uiPriority w:val="99"/>
    <w:semiHidden/>
    <w:unhideWhenUsed/>
    <w:rsid w:val="0057109A"/>
    <w:rPr>
      <w:i/>
      <w:iCs/>
    </w:rPr>
  </w:style>
  <w:style w:type="character" w:styleId="af4">
    <w:name w:val="Emphasis"/>
    <w:basedOn w:val="a1"/>
    <w:uiPriority w:val="20"/>
    <w:qFormat/>
    <w:rsid w:val="003D7318"/>
    <w:rPr>
      <w:i/>
      <w:iCs/>
    </w:rPr>
  </w:style>
  <w:style w:type="paragraph" w:styleId="af5">
    <w:name w:val="footnote text"/>
    <w:basedOn w:val="a0"/>
    <w:link w:val="af6"/>
    <w:uiPriority w:val="99"/>
    <w:semiHidden/>
    <w:unhideWhenUsed/>
    <w:rsid w:val="00FA15B1"/>
  </w:style>
  <w:style w:type="character" w:customStyle="1" w:styleId="af6">
    <w:name w:val="Текст сноски Знак"/>
    <w:basedOn w:val="a1"/>
    <w:link w:val="af5"/>
    <w:uiPriority w:val="99"/>
    <w:semiHidden/>
    <w:rsid w:val="00FA15B1"/>
    <w:rPr>
      <w:rFonts w:ascii="MetaPlusLF" w:hAnsi="MetaPlusLF"/>
    </w:rPr>
  </w:style>
  <w:style w:type="character" w:styleId="af7">
    <w:name w:val="footnote reference"/>
    <w:basedOn w:val="a1"/>
    <w:uiPriority w:val="99"/>
    <w:semiHidden/>
    <w:unhideWhenUsed/>
    <w:rsid w:val="00FA15B1"/>
    <w:rPr>
      <w:vertAlign w:val="superscript"/>
    </w:rPr>
  </w:style>
  <w:style w:type="paragraph" w:styleId="af8">
    <w:name w:val="TOC Heading"/>
    <w:basedOn w:val="1"/>
    <w:next w:val="a0"/>
    <w:uiPriority w:val="39"/>
    <w:unhideWhenUsed/>
    <w:qFormat/>
    <w:rsid w:val="00C60ACF"/>
    <w:pPr>
      <w:keepLines/>
      <w:numPr>
        <w:numId w:val="0"/>
      </w:numPr>
      <w:spacing w:before="240" w:line="259" w:lineRule="auto"/>
      <w:outlineLvl w:val="9"/>
    </w:pPr>
    <w:rPr>
      <w:rFonts w:asciiTheme="majorHAnsi" w:eastAsiaTheme="majorEastAsia" w:hAnsiTheme="majorHAnsi" w:cstheme="majorBidi"/>
      <w:b w:val="0"/>
      <w:color w:val="7EB5DE" w:themeColor="accent1" w:themeShade="BF"/>
      <w:sz w:val="32"/>
      <w:szCs w:val="32"/>
    </w:rPr>
  </w:style>
  <w:style w:type="paragraph" w:customStyle="1" w:styleId="APA">
    <w:name w:val="APA"/>
    <w:basedOn w:val="a0"/>
    <w:link w:val="APAZchn"/>
    <w:rsid w:val="00883811"/>
    <w:rPr>
      <w:rFonts w:ascii="Times New Roman" w:hAnsi="Times New Roman"/>
      <w:b/>
      <w:sz w:val="24"/>
    </w:rPr>
  </w:style>
  <w:style w:type="character" w:customStyle="1" w:styleId="APAZchn">
    <w:name w:val="APA Zchn"/>
    <w:basedOn w:val="a1"/>
    <w:link w:val="APA"/>
    <w:rsid w:val="00883811"/>
    <w:rPr>
      <w:b/>
      <w:sz w:val="24"/>
    </w:rPr>
  </w:style>
  <w:style w:type="character" w:styleId="af9">
    <w:name w:val="FollowedHyperlink"/>
    <w:basedOn w:val="a1"/>
    <w:uiPriority w:val="99"/>
    <w:semiHidden/>
    <w:unhideWhenUsed/>
    <w:rsid w:val="00CD2042"/>
    <w:rPr>
      <w:color w:val="969A9A" w:themeColor="followedHyperlink"/>
      <w:u w:val="single"/>
    </w:rPr>
  </w:style>
  <w:style w:type="numbering" w:customStyle="1" w:styleId="13">
    <w:name w:val="Нет списка1"/>
    <w:next w:val="a3"/>
    <w:uiPriority w:val="99"/>
    <w:semiHidden/>
    <w:unhideWhenUsed/>
    <w:rsid w:val="00A80EF6"/>
  </w:style>
  <w:style w:type="paragraph" w:customStyle="1" w:styleId="msonormal0">
    <w:name w:val="msonormal"/>
    <w:basedOn w:val="a0"/>
    <w:rsid w:val="00A80EF6"/>
    <w:pPr>
      <w:spacing w:before="100" w:beforeAutospacing="1" w:after="100" w:afterAutospacing="1"/>
    </w:pPr>
    <w:rPr>
      <w:rFonts w:ascii="Times New Roman" w:hAnsi="Times New Roman"/>
      <w:sz w:val="24"/>
      <w:szCs w:val="24"/>
      <w:lang w:eastAsia="ja-JP"/>
    </w:rPr>
  </w:style>
  <w:style w:type="numbering" w:customStyle="1" w:styleId="22">
    <w:name w:val="Нет списка2"/>
    <w:next w:val="a3"/>
    <w:uiPriority w:val="99"/>
    <w:semiHidden/>
    <w:unhideWhenUsed/>
    <w:rsid w:val="00A80EF6"/>
  </w:style>
  <w:style w:type="numbering" w:customStyle="1" w:styleId="32">
    <w:name w:val="Нет списка3"/>
    <w:next w:val="a3"/>
    <w:uiPriority w:val="99"/>
    <w:semiHidden/>
    <w:unhideWhenUsed/>
    <w:rsid w:val="00A80EF6"/>
  </w:style>
  <w:style w:type="table" w:styleId="afa">
    <w:name w:val="Table Grid"/>
    <w:basedOn w:val="a2"/>
    <w:uiPriority w:val="39"/>
    <w:rsid w:val="00495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annotation subject"/>
    <w:basedOn w:val="a9"/>
    <w:next w:val="a9"/>
    <w:link w:val="afc"/>
    <w:uiPriority w:val="99"/>
    <w:semiHidden/>
    <w:unhideWhenUsed/>
    <w:rsid w:val="000D1BD1"/>
    <w:rPr>
      <w:b/>
      <w:bCs/>
    </w:rPr>
  </w:style>
  <w:style w:type="character" w:customStyle="1" w:styleId="aa">
    <w:name w:val="Текст примечания Знак"/>
    <w:basedOn w:val="a1"/>
    <w:link w:val="a9"/>
    <w:semiHidden/>
    <w:rsid w:val="000D1BD1"/>
    <w:rPr>
      <w:rFonts w:ascii="MetaPlusLF" w:hAnsi="MetaPlusLF"/>
    </w:rPr>
  </w:style>
  <w:style w:type="character" w:customStyle="1" w:styleId="afc">
    <w:name w:val="Тема примечания Знак"/>
    <w:basedOn w:val="aa"/>
    <w:link w:val="afb"/>
    <w:uiPriority w:val="99"/>
    <w:semiHidden/>
    <w:rsid w:val="000D1BD1"/>
    <w:rPr>
      <w:rFonts w:ascii="MetaPlusLF" w:hAnsi="MetaPlusLF"/>
      <w:b/>
      <w:bCs/>
    </w:rPr>
  </w:style>
  <w:style w:type="paragraph" w:styleId="afd">
    <w:name w:val="Balloon Text"/>
    <w:basedOn w:val="a0"/>
    <w:link w:val="afe"/>
    <w:uiPriority w:val="99"/>
    <w:semiHidden/>
    <w:unhideWhenUsed/>
    <w:rsid w:val="000D1BD1"/>
    <w:rPr>
      <w:rFonts w:ascii="Segoe UI" w:hAnsi="Segoe UI" w:cs="Segoe UI"/>
      <w:sz w:val="18"/>
      <w:szCs w:val="18"/>
    </w:rPr>
  </w:style>
  <w:style w:type="character" w:customStyle="1" w:styleId="afe">
    <w:name w:val="Текст выноски Знак"/>
    <w:basedOn w:val="a1"/>
    <w:link w:val="afd"/>
    <w:uiPriority w:val="99"/>
    <w:semiHidden/>
    <w:rsid w:val="000D1BD1"/>
    <w:rPr>
      <w:rFonts w:ascii="Segoe UI" w:hAnsi="Segoe UI" w:cs="Segoe UI"/>
      <w:sz w:val="18"/>
      <w:szCs w:val="18"/>
    </w:rPr>
  </w:style>
  <w:style w:type="character" w:styleId="aff">
    <w:name w:val="Unresolved Mention"/>
    <w:basedOn w:val="a1"/>
    <w:uiPriority w:val="99"/>
    <w:semiHidden/>
    <w:unhideWhenUsed/>
    <w:rsid w:val="005D0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1168">
      <w:bodyDiv w:val="1"/>
      <w:marLeft w:val="0"/>
      <w:marRight w:val="0"/>
      <w:marTop w:val="0"/>
      <w:marBottom w:val="0"/>
      <w:divBdr>
        <w:top w:val="none" w:sz="0" w:space="0" w:color="auto"/>
        <w:left w:val="none" w:sz="0" w:space="0" w:color="auto"/>
        <w:bottom w:val="none" w:sz="0" w:space="0" w:color="auto"/>
        <w:right w:val="none" w:sz="0" w:space="0" w:color="auto"/>
      </w:divBdr>
    </w:div>
    <w:div w:id="223569689">
      <w:bodyDiv w:val="1"/>
      <w:marLeft w:val="0"/>
      <w:marRight w:val="0"/>
      <w:marTop w:val="0"/>
      <w:marBottom w:val="0"/>
      <w:divBdr>
        <w:top w:val="none" w:sz="0" w:space="0" w:color="auto"/>
        <w:left w:val="none" w:sz="0" w:space="0" w:color="auto"/>
        <w:bottom w:val="none" w:sz="0" w:space="0" w:color="auto"/>
        <w:right w:val="none" w:sz="0" w:space="0" w:color="auto"/>
      </w:divBdr>
    </w:div>
    <w:div w:id="235824321">
      <w:bodyDiv w:val="1"/>
      <w:marLeft w:val="0"/>
      <w:marRight w:val="0"/>
      <w:marTop w:val="0"/>
      <w:marBottom w:val="0"/>
      <w:divBdr>
        <w:top w:val="none" w:sz="0" w:space="0" w:color="auto"/>
        <w:left w:val="none" w:sz="0" w:space="0" w:color="auto"/>
        <w:bottom w:val="none" w:sz="0" w:space="0" w:color="auto"/>
        <w:right w:val="none" w:sz="0" w:space="0" w:color="auto"/>
      </w:divBdr>
    </w:div>
    <w:div w:id="445195428">
      <w:bodyDiv w:val="1"/>
      <w:marLeft w:val="0"/>
      <w:marRight w:val="0"/>
      <w:marTop w:val="0"/>
      <w:marBottom w:val="0"/>
      <w:divBdr>
        <w:top w:val="none" w:sz="0" w:space="0" w:color="auto"/>
        <w:left w:val="none" w:sz="0" w:space="0" w:color="auto"/>
        <w:bottom w:val="none" w:sz="0" w:space="0" w:color="auto"/>
        <w:right w:val="none" w:sz="0" w:space="0" w:color="auto"/>
      </w:divBdr>
    </w:div>
    <w:div w:id="481119405">
      <w:bodyDiv w:val="1"/>
      <w:marLeft w:val="0"/>
      <w:marRight w:val="0"/>
      <w:marTop w:val="0"/>
      <w:marBottom w:val="0"/>
      <w:divBdr>
        <w:top w:val="none" w:sz="0" w:space="0" w:color="auto"/>
        <w:left w:val="none" w:sz="0" w:space="0" w:color="auto"/>
        <w:bottom w:val="none" w:sz="0" w:space="0" w:color="auto"/>
        <w:right w:val="none" w:sz="0" w:space="0" w:color="auto"/>
      </w:divBdr>
    </w:div>
    <w:div w:id="500122093">
      <w:bodyDiv w:val="1"/>
      <w:marLeft w:val="0"/>
      <w:marRight w:val="0"/>
      <w:marTop w:val="0"/>
      <w:marBottom w:val="0"/>
      <w:divBdr>
        <w:top w:val="none" w:sz="0" w:space="0" w:color="auto"/>
        <w:left w:val="none" w:sz="0" w:space="0" w:color="auto"/>
        <w:bottom w:val="none" w:sz="0" w:space="0" w:color="auto"/>
        <w:right w:val="none" w:sz="0" w:space="0" w:color="auto"/>
      </w:divBdr>
    </w:div>
    <w:div w:id="533008164">
      <w:bodyDiv w:val="1"/>
      <w:marLeft w:val="0"/>
      <w:marRight w:val="0"/>
      <w:marTop w:val="0"/>
      <w:marBottom w:val="0"/>
      <w:divBdr>
        <w:top w:val="none" w:sz="0" w:space="0" w:color="auto"/>
        <w:left w:val="none" w:sz="0" w:space="0" w:color="auto"/>
        <w:bottom w:val="none" w:sz="0" w:space="0" w:color="auto"/>
        <w:right w:val="none" w:sz="0" w:space="0" w:color="auto"/>
      </w:divBdr>
    </w:div>
    <w:div w:id="581138784">
      <w:bodyDiv w:val="1"/>
      <w:marLeft w:val="0"/>
      <w:marRight w:val="0"/>
      <w:marTop w:val="0"/>
      <w:marBottom w:val="0"/>
      <w:divBdr>
        <w:top w:val="none" w:sz="0" w:space="0" w:color="auto"/>
        <w:left w:val="none" w:sz="0" w:space="0" w:color="auto"/>
        <w:bottom w:val="none" w:sz="0" w:space="0" w:color="auto"/>
        <w:right w:val="none" w:sz="0" w:space="0" w:color="auto"/>
      </w:divBdr>
    </w:div>
    <w:div w:id="609124177">
      <w:bodyDiv w:val="1"/>
      <w:marLeft w:val="0"/>
      <w:marRight w:val="0"/>
      <w:marTop w:val="0"/>
      <w:marBottom w:val="0"/>
      <w:divBdr>
        <w:top w:val="none" w:sz="0" w:space="0" w:color="auto"/>
        <w:left w:val="none" w:sz="0" w:space="0" w:color="auto"/>
        <w:bottom w:val="none" w:sz="0" w:space="0" w:color="auto"/>
        <w:right w:val="none" w:sz="0" w:space="0" w:color="auto"/>
      </w:divBdr>
    </w:div>
    <w:div w:id="628828658">
      <w:bodyDiv w:val="1"/>
      <w:marLeft w:val="0"/>
      <w:marRight w:val="0"/>
      <w:marTop w:val="0"/>
      <w:marBottom w:val="0"/>
      <w:divBdr>
        <w:top w:val="none" w:sz="0" w:space="0" w:color="auto"/>
        <w:left w:val="none" w:sz="0" w:space="0" w:color="auto"/>
        <w:bottom w:val="none" w:sz="0" w:space="0" w:color="auto"/>
        <w:right w:val="none" w:sz="0" w:space="0" w:color="auto"/>
      </w:divBdr>
    </w:div>
    <w:div w:id="662776251">
      <w:bodyDiv w:val="1"/>
      <w:marLeft w:val="0"/>
      <w:marRight w:val="0"/>
      <w:marTop w:val="0"/>
      <w:marBottom w:val="0"/>
      <w:divBdr>
        <w:top w:val="none" w:sz="0" w:space="0" w:color="auto"/>
        <w:left w:val="none" w:sz="0" w:space="0" w:color="auto"/>
        <w:bottom w:val="none" w:sz="0" w:space="0" w:color="auto"/>
        <w:right w:val="none" w:sz="0" w:space="0" w:color="auto"/>
      </w:divBdr>
    </w:div>
    <w:div w:id="768814004">
      <w:bodyDiv w:val="1"/>
      <w:marLeft w:val="0"/>
      <w:marRight w:val="0"/>
      <w:marTop w:val="0"/>
      <w:marBottom w:val="0"/>
      <w:divBdr>
        <w:top w:val="none" w:sz="0" w:space="0" w:color="auto"/>
        <w:left w:val="none" w:sz="0" w:space="0" w:color="auto"/>
        <w:bottom w:val="none" w:sz="0" w:space="0" w:color="auto"/>
        <w:right w:val="none" w:sz="0" w:space="0" w:color="auto"/>
      </w:divBdr>
      <w:divsChild>
        <w:div w:id="1715039584">
          <w:marLeft w:val="0"/>
          <w:marRight w:val="0"/>
          <w:marTop w:val="0"/>
          <w:marBottom w:val="120"/>
          <w:divBdr>
            <w:top w:val="none" w:sz="0" w:space="0" w:color="auto"/>
            <w:left w:val="none" w:sz="0" w:space="0" w:color="auto"/>
            <w:bottom w:val="none" w:sz="0" w:space="0" w:color="auto"/>
            <w:right w:val="none" w:sz="0" w:space="0" w:color="auto"/>
          </w:divBdr>
          <w:divsChild>
            <w:div w:id="349917696">
              <w:marLeft w:val="0"/>
              <w:marRight w:val="0"/>
              <w:marTop w:val="0"/>
              <w:marBottom w:val="0"/>
              <w:divBdr>
                <w:top w:val="none" w:sz="0" w:space="0" w:color="auto"/>
                <w:left w:val="none" w:sz="0" w:space="0" w:color="auto"/>
                <w:bottom w:val="none" w:sz="0" w:space="0" w:color="auto"/>
                <w:right w:val="none" w:sz="0" w:space="0" w:color="auto"/>
              </w:divBdr>
              <w:divsChild>
                <w:div w:id="1082481994">
                  <w:marLeft w:val="0"/>
                  <w:marRight w:val="0"/>
                  <w:marTop w:val="0"/>
                  <w:marBottom w:val="0"/>
                  <w:divBdr>
                    <w:top w:val="none" w:sz="0" w:space="0" w:color="auto"/>
                    <w:left w:val="none" w:sz="0" w:space="0" w:color="auto"/>
                    <w:bottom w:val="none" w:sz="0" w:space="0" w:color="auto"/>
                    <w:right w:val="none" w:sz="0" w:space="0" w:color="auto"/>
                  </w:divBdr>
                  <w:divsChild>
                    <w:div w:id="9967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9288">
      <w:bodyDiv w:val="1"/>
      <w:marLeft w:val="0"/>
      <w:marRight w:val="0"/>
      <w:marTop w:val="0"/>
      <w:marBottom w:val="0"/>
      <w:divBdr>
        <w:top w:val="none" w:sz="0" w:space="0" w:color="auto"/>
        <w:left w:val="none" w:sz="0" w:space="0" w:color="auto"/>
        <w:bottom w:val="none" w:sz="0" w:space="0" w:color="auto"/>
        <w:right w:val="none" w:sz="0" w:space="0" w:color="auto"/>
      </w:divBdr>
    </w:div>
    <w:div w:id="814419408">
      <w:bodyDiv w:val="1"/>
      <w:marLeft w:val="0"/>
      <w:marRight w:val="0"/>
      <w:marTop w:val="0"/>
      <w:marBottom w:val="0"/>
      <w:divBdr>
        <w:top w:val="none" w:sz="0" w:space="0" w:color="auto"/>
        <w:left w:val="none" w:sz="0" w:space="0" w:color="auto"/>
        <w:bottom w:val="none" w:sz="0" w:space="0" w:color="auto"/>
        <w:right w:val="none" w:sz="0" w:space="0" w:color="auto"/>
      </w:divBdr>
    </w:div>
    <w:div w:id="847796296">
      <w:bodyDiv w:val="1"/>
      <w:marLeft w:val="0"/>
      <w:marRight w:val="0"/>
      <w:marTop w:val="0"/>
      <w:marBottom w:val="0"/>
      <w:divBdr>
        <w:top w:val="none" w:sz="0" w:space="0" w:color="auto"/>
        <w:left w:val="none" w:sz="0" w:space="0" w:color="auto"/>
        <w:bottom w:val="none" w:sz="0" w:space="0" w:color="auto"/>
        <w:right w:val="none" w:sz="0" w:space="0" w:color="auto"/>
      </w:divBdr>
    </w:div>
    <w:div w:id="889195256">
      <w:bodyDiv w:val="1"/>
      <w:marLeft w:val="0"/>
      <w:marRight w:val="0"/>
      <w:marTop w:val="0"/>
      <w:marBottom w:val="0"/>
      <w:divBdr>
        <w:top w:val="none" w:sz="0" w:space="0" w:color="auto"/>
        <w:left w:val="none" w:sz="0" w:space="0" w:color="auto"/>
        <w:bottom w:val="none" w:sz="0" w:space="0" w:color="auto"/>
        <w:right w:val="none" w:sz="0" w:space="0" w:color="auto"/>
      </w:divBdr>
    </w:div>
    <w:div w:id="920332600">
      <w:bodyDiv w:val="1"/>
      <w:marLeft w:val="0"/>
      <w:marRight w:val="0"/>
      <w:marTop w:val="0"/>
      <w:marBottom w:val="0"/>
      <w:divBdr>
        <w:top w:val="none" w:sz="0" w:space="0" w:color="auto"/>
        <w:left w:val="none" w:sz="0" w:space="0" w:color="auto"/>
        <w:bottom w:val="none" w:sz="0" w:space="0" w:color="auto"/>
        <w:right w:val="none" w:sz="0" w:space="0" w:color="auto"/>
      </w:divBdr>
    </w:div>
    <w:div w:id="921645501">
      <w:bodyDiv w:val="1"/>
      <w:marLeft w:val="0"/>
      <w:marRight w:val="0"/>
      <w:marTop w:val="0"/>
      <w:marBottom w:val="0"/>
      <w:divBdr>
        <w:top w:val="none" w:sz="0" w:space="0" w:color="auto"/>
        <w:left w:val="none" w:sz="0" w:space="0" w:color="auto"/>
        <w:bottom w:val="none" w:sz="0" w:space="0" w:color="auto"/>
        <w:right w:val="none" w:sz="0" w:space="0" w:color="auto"/>
      </w:divBdr>
    </w:div>
    <w:div w:id="1010108497">
      <w:bodyDiv w:val="1"/>
      <w:marLeft w:val="0"/>
      <w:marRight w:val="0"/>
      <w:marTop w:val="0"/>
      <w:marBottom w:val="0"/>
      <w:divBdr>
        <w:top w:val="none" w:sz="0" w:space="0" w:color="auto"/>
        <w:left w:val="none" w:sz="0" w:space="0" w:color="auto"/>
        <w:bottom w:val="none" w:sz="0" w:space="0" w:color="auto"/>
        <w:right w:val="none" w:sz="0" w:space="0" w:color="auto"/>
      </w:divBdr>
    </w:div>
    <w:div w:id="1116874502">
      <w:bodyDiv w:val="1"/>
      <w:marLeft w:val="0"/>
      <w:marRight w:val="0"/>
      <w:marTop w:val="0"/>
      <w:marBottom w:val="0"/>
      <w:divBdr>
        <w:top w:val="none" w:sz="0" w:space="0" w:color="auto"/>
        <w:left w:val="none" w:sz="0" w:space="0" w:color="auto"/>
        <w:bottom w:val="none" w:sz="0" w:space="0" w:color="auto"/>
        <w:right w:val="none" w:sz="0" w:space="0" w:color="auto"/>
      </w:divBdr>
    </w:div>
    <w:div w:id="1128624614">
      <w:bodyDiv w:val="1"/>
      <w:marLeft w:val="0"/>
      <w:marRight w:val="0"/>
      <w:marTop w:val="0"/>
      <w:marBottom w:val="0"/>
      <w:divBdr>
        <w:top w:val="none" w:sz="0" w:space="0" w:color="auto"/>
        <w:left w:val="none" w:sz="0" w:space="0" w:color="auto"/>
        <w:bottom w:val="none" w:sz="0" w:space="0" w:color="auto"/>
        <w:right w:val="none" w:sz="0" w:space="0" w:color="auto"/>
      </w:divBdr>
    </w:div>
    <w:div w:id="1134254497">
      <w:bodyDiv w:val="1"/>
      <w:marLeft w:val="0"/>
      <w:marRight w:val="0"/>
      <w:marTop w:val="0"/>
      <w:marBottom w:val="0"/>
      <w:divBdr>
        <w:top w:val="none" w:sz="0" w:space="0" w:color="auto"/>
        <w:left w:val="none" w:sz="0" w:space="0" w:color="auto"/>
        <w:bottom w:val="none" w:sz="0" w:space="0" w:color="auto"/>
        <w:right w:val="none" w:sz="0" w:space="0" w:color="auto"/>
      </w:divBdr>
    </w:div>
    <w:div w:id="1140802796">
      <w:bodyDiv w:val="1"/>
      <w:marLeft w:val="0"/>
      <w:marRight w:val="0"/>
      <w:marTop w:val="0"/>
      <w:marBottom w:val="0"/>
      <w:divBdr>
        <w:top w:val="none" w:sz="0" w:space="0" w:color="auto"/>
        <w:left w:val="none" w:sz="0" w:space="0" w:color="auto"/>
        <w:bottom w:val="none" w:sz="0" w:space="0" w:color="auto"/>
        <w:right w:val="none" w:sz="0" w:space="0" w:color="auto"/>
      </w:divBdr>
    </w:div>
    <w:div w:id="1268851476">
      <w:bodyDiv w:val="1"/>
      <w:marLeft w:val="0"/>
      <w:marRight w:val="0"/>
      <w:marTop w:val="0"/>
      <w:marBottom w:val="0"/>
      <w:divBdr>
        <w:top w:val="none" w:sz="0" w:space="0" w:color="auto"/>
        <w:left w:val="none" w:sz="0" w:space="0" w:color="auto"/>
        <w:bottom w:val="none" w:sz="0" w:space="0" w:color="auto"/>
        <w:right w:val="none" w:sz="0" w:space="0" w:color="auto"/>
      </w:divBdr>
    </w:div>
    <w:div w:id="1271431043">
      <w:bodyDiv w:val="1"/>
      <w:marLeft w:val="0"/>
      <w:marRight w:val="0"/>
      <w:marTop w:val="0"/>
      <w:marBottom w:val="0"/>
      <w:divBdr>
        <w:top w:val="none" w:sz="0" w:space="0" w:color="auto"/>
        <w:left w:val="none" w:sz="0" w:space="0" w:color="auto"/>
        <w:bottom w:val="none" w:sz="0" w:space="0" w:color="auto"/>
        <w:right w:val="none" w:sz="0" w:space="0" w:color="auto"/>
      </w:divBdr>
    </w:div>
    <w:div w:id="1314406805">
      <w:bodyDiv w:val="1"/>
      <w:marLeft w:val="0"/>
      <w:marRight w:val="0"/>
      <w:marTop w:val="0"/>
      <w:marBottom w:val="0"/>
      <w:divBdr>
        <w:top w:val="none" w:sz="0" w:space="0" w:color="auto"/>
        <w:left w:val="none" w:sz="0" w:space="0" w:color="auto"/>
        <w:bottom w:val="none" w:sz="0" w:space="0" w:color="auto"/>
        <w:right w:val="none" w:sz="0" w:space="0" w:color="auto"/>
      </w:divBdr>
    </w:div>
    <w:div w:id="1365593331">
      <w:bodyDiv w:val="1"/>
      <w:marLeft w:val="0"/>
      <w:marRight w:val="0"/>
      <w:marTop w:val="0"/>
      <w:marBottom w:val="0"/>
      <w:divBdr>
        <w:top w:val="none" w:sz="0" w:space="0" w:color="auto"/>
        <w:left w:val="none" w:sz="0" w:space="0" w:color="auto"/>
        <w:bottom w:val="none" w:sz="0" w:space="0" w:color="auto"/>
        <w:right w:val="none" w:sz="0" w:space="0" w:color="auto"/>
      </w:divBdr>
    </w:div>
    <w:div w:id="1408922315">
      <w:bodyDiv w:val="1"/>
      <w:marLeft w:val="0"/>
      <w:marRight w:val="0"/>
      <w:marTop w:val="0"/>
      <w:marBottom w:val="0"/>
      <w:divBdr>
        <w:top w:val="none" w:sz="0" w:space="0" w:color="auto"/>
        <w:left w:val="none" w:sz="0" w:space="0" w:color="auto"/>
        <w:bottom w:val="none" w:sz="0" w:space="0" w:color="auto"/>
        <w:right w:val="none" w:sz="0" w:space="0" w:color="auto"/>
      </w:divBdr>
      <w:divsChild>
        <w:div w:id="1033530101">
          <w:marLeft w:val="547"/>
          <w:marRight w:val="0"/>
          <w:marTop w:val="240"/>
          <w:marBottom w:val="0"/>
          <w:divBdr>
            <w:top w:val="none" w:sz="0" w:space="0" w:color="auto"/>
            <w:left w:val="none" w:sz="0" w:space="0" w:color="auto"/>
            <w:bottom w:val="none" w:sz="0" w:space="0" w:color="auto"/>
            <w:right w:val="none" w:sz="0" w:space="0" w:color="auto"/>
          </w:divBdr>
        </w:div>
      </w:divsChild>
    </w:div>
    <w:div w:id="1453594479">
      <w:bodyDiv w:val="1"/>
      <w:marLeft w:val="0"/>
      <w:marRight w:val="0"/>
      <w:marTop w:val="0"/>
      <w:marBottom w:val="0"/>
      <w:divBdr>
        <w:top w:val="none" w:sz="0" w:space="0" w:color="auto"/>
        <w:left w:val="none" w:sz="0" w:space="0" w:color="auto"/>
        <w:bottom w:val="none" w:sz="0" w:space="0" w:color="auto"/>
        <w:right w:val="none" w:sz="0" w:space="0" w:color="auto"/>
      </w:divBdr>
    </w:div>
    <w:div w:id="1473865341">
      <w:bodyDiv w:val="1"/>
      <w:marLeft w:val="0"/>
      <w:marRight w:val="0"/>
      <w:marTop w:val="0"/>
      <w:marBottom w:val="0"/>
      <w:divBdr>
        <w:top w:val="none" w:sz="0" w:space="0" w:color="auto"/>
        <w:left w:val="none" w:sz="0" w:space="0" w:color="auto"/>
        <w:bottom w:val="none" w:sz="0" w:space="0" w:color="auto"/>
        <w:right w:val="none" w:sz="0" w:space="0" w:color="auto"/>
      </w:divBdr>
    </w:div>
    <w:div w:id="1491216156">
      <w:bodyDiv w:val="1"/>
      <w:marLeft w:val="0"/>
      <w:marRight w:val="0"/>
      <w:marTop w:val="0"/>
      <w:marBottom w:val="0"/>
      <w:divBdr>
        <w:top w:val="none" w:sz="0" w:space="0" w:color="auto"/>
        <w:left w:val="none" w:sz="0" w:space="0" w:color="auto"/>
        <w:bottom w:val="none" w:sz="0" w:space="0" w:color="auto"/>
        <w:right w:val="none" w:sz="0" w:space="0" w:color="auto"/>
      </w:divBdr>
    </w:div>
    <w:div w:id="1493567901">
      <w:bodyDiv w:val="1"/>
      <w:marLeft w:val="0"/>
      <w:marRight w:val="0"/>
      <w:marTop w:val="0"/>
      <w:marBottom w:val="0"/>
      <w:divBdr>
        <w:top w:val="none" w:sz="0" w:space="0" w:color="auto"/>
        <w:left w:val="none" w:sz="0" w:space="0" w:color="auto"/>
        <w:bottom w:val="none" w:sz="0" w:space="0" w:color="auto"/>
        <w:right w:val="none" w:sz="0" w:space="0" w:color="auto"/>
      </w:divBdr>
    </w:div>
    <w:div w:id="1521747935">
      <w:bodyDiv w:val="1"/>
      <w:marLeft w:val="0"/>
      <w:marRight w:val="0"/>
      <w:marTop w:val="0"/>
      <w:marBottom w:val="0"/>
      <w:divBdr>
        <w:top w:val="none" w:sz="0" w:space="0" w:color="auto"/>
        <w:left w:val="none" w:sz="0" w:space="0" w:color="auto"/>
        <w:bottom w:val="none" w:sz="0" w:space="0" w:color="auto"/>
        <w:right w:val="none" w:sz="0" w:space="0" w:color="auto"/>
      </w:divBdr>
    </w:div>
    <w:div w:id="1536117349">
      <w:bodyDiv w:val="1"/>
      <w:marLeft w:val="0"/>
      <w:marRight w:val="0"/>
      <w:marTop w:val="0"/>
      <w:marBottom w:val="0"/>
      <w:divBdr>
        <w:top w:val="none" w:sz="0" w:space="0" w:color="auto"/>
        <w:left w:val="none" w:sz="0" w:space="0" w:color="auto"/>
        <w:bottom w:val="none" w:sz="0" w:space="0" w:color="auto"/>
        <w:right w:val="none" w:sz="0" w:space="0" w:color="auto"/>
      </w:divBdr>
    </w:div>
    <w:div w:id="1553232918">
      <w:bodyDiv w:val="1"/>
      <w:marLeft w:val="0"/>
      <w:marRight w:val="0"/>
      <w:marTop w:val="0"/>
      <w:marBottom w:val="0"/>
      <w:divBdr>
        <w:top w:val="none" w:sz="0" w:space="0" w:color="auto"/>
        <w:left w:val="none" w:sz="0" w:space="0" w:color="auto"/>
        <w:bottom w:val="none" w:sz="0" w:space="0" w:color="auto"/>
        <w:right w:val="none" w:sz="0" w:space="0" w:color="auto"/>
      </w:divBdr>
    </w:div>
    <w:div w:id="1561480745">
      <w:bodyDiv w:val="1"/>
      <w:marLeft w:val="0"/>
      <w:marRight w:val="0"/>
      <w:marTop w:val="0"/>
      <w:marBottom w:val="0"/>
      <w:divBdr>
        <w:top w:val="none" w:sz="0" w:space="0" w:color="auto"/>
        <w:left w:val="none" w:sz="0" w:space="0" w:color="auto"/>
        <w:bottom w:val="none" w:sz="0" w:space="0" w:color="auto"/>
        <w:right w:val="none" w:sz="0" w:space="0" w:color="auto"/>
      </w:divBdr>
    </w:div>
    <w:div w:id="1630088036">
      <w:bodyDiv w:val="1"/>
      <w:marLeft w:val="0"/>
      <w:marRight w:val="0"/>
      <w:marTop w:val="0"/>
      <w:marBottom w:val="0"/>
      <w:divBdr>
        <w:top w:val="none" w:sz="0" w:space="0" w:color="auto"/>
        <w:left w:val="none" w:sz="0" w:space="0" w:color="auto"/>
        <w:bottom w:val="none" w:sz="0" w:space="0" w:color="auto"/>
        <w:right w:val="none" w:sz="0" w:space="0" w:color="auto"/>
      </w:divBdr>
    </w:div>
    <w:div w:id="1675105432">
      <w:bodyDiv w:val="1"/>
      <w:marLeft w:val="0"/>
      <w:marRight w:val="0"/>
      <w:marTop w:val="0"/>
      <w:marBottom w:val="0"/>
      <w:divBdr>
        <w:top w:val="none" w:sz="0" w:space="0" w:color="auto"/>
        <w:left w:val="none" w:sz="0" w:space="0" w:color="auto"/>
        <w:bottom w:val="none" w:sz="0" w:space="0" w:color="auto"/>
        <w:right w:val="none" w:sz="0" w:space="0" w:color="auto"/>
      </w:divBdr>
    </w:div>
    <w:div w:id="1676106381">
      <w:bodyDiv w:val="1"/>
      <w:marLeft w:val="0"/>
      <w:marRight w:val="0"/>
      <w:marTop w:val="0"/>
      <w:marBottom w:val="0"/>
      <w:divBdr>
        <w:top w:val="none" w:sz="0" w:space="0" w:color="auto"/>
        <w:left w:val="none" w:sz="0" w:space="0" w:color="auto"/>
        <w:bottom w:val="none" w:sz="0" w:space="0" w:color="auto"/>
        <w:right w:val="none" w:sz="0" w:space="0" w:color="auto"/>
      </w:divBdr>
    </w:div>
    <w:div w:id="1730221841">
      <w:bodyDiv w:val="1"/>
      <w:marLeft w:val="0"/>
      <w:marRight w:val="0"/>
      <w:marTop w:val="0"/>
      <w:marBottom w:val="0"/>
      <w:divBdr>
        <w:top w:val="none" w:sz="0" w:space="0" w:color="auto"/>
        <w:left w:val="none" w:sz="0" w:space="0" w:color="auto"/>
        <w:bottom w:val="none" w:sz="0" w:space="0" w:color="auto"/>
        <w:right w:val="none" w:sz="0" w:space="0" w:color="auto"/>
      </w:divBdr>
    </w:div>
    <w:div w:id="1779981274">
      <w:bodyDiv w:val="1"/>
      <w:marLeft w:val="0"/>
      <w:marRight w:val="0"/>
      <w:marTop w:val="0"/>
      <w:marBottom w:val="0"/>
      <w:divBdr>
        <w:top w:val="none" w:sz="0" w:space="0" w:color="auto"/>
        <w:left w:val="none" w:sz="0" w:space="0" w:color="auto"/>
        <w:bottom w:val="none" w:sz="0" w:space="0" w:color="auto"/>
        <w:right w:val="none" w:sz="0" w:space="0" w:color="auto"/>
      </w:divBdr>
    </w:div>
    <w:div w:id="1801267435">
      <w:bodyDiv w:val="1"/>
      <w:marLeft w:val="0"/>
      <w:marRight w:val="0"/>
      <w:marTop w:val="0"/>
      <w:marBottom w:val="0"/>
      <w:divBdr>
        <w:top w:val="none" w:sz="0" w:space="0" w:color="auto"/>
        <w:left w:val="none" w:sz="0" w:space="0" w:color="auto"/>
        <w:bottom w:val="none" w:sz="0" w:space="0" w:color="auto"/>
        <w:right w:val="none" w:sz="0" w:space="0" w:color="auto"/>
      </w:divBdr>
    </w:div>
    <w:div w:id="1811244908">
      <w:bodyDiv w:val="1"/>
      <w:marLeft w:val="0"/>
      <w:marRight w:val="0"/>
      <w:marTop w:val="0"/>
      <w:marBottom w:val="0"/>
      <w:divBdr>
        <w:top w:val="none" w:sz="0" w:space="0" w:color="auto"/>
        <w:left w:val="none" w:sz="0" w:space="0" w:color="auto"/>
        <w:bottom w:val="none" w:sz="0" w:space="0" w:color="auto"/>
        <w:right w:val="none" w:sz="0" w:space="0" w:color="auto"/>
      </w:divBdr>
    </w:div>
    <w:div w:id="1848444138">
      <w:bodyDiv w:val="1"/>
      <w:marLeft w:val="0"/>
      <w:marRight w:val="0"/>
      <w:marTop w:val="0"/>
      <w:marBottom w:val="0"/>
      <w:divBdr>
        <w:top w:val="none" w:sz="0" w:space="0" w:color="auto"/>
        <w:left w:val="none" w:sz="0" w:space="0" w:color="auto"/>
        <w:bottom w:val="none" w:sz="0" w:space="0" w:color="auto"/>
        <w:right w:val="none" w:sz="0" w:space="0" w:color="auto"/>
      </w:divBdr>
    </w:div>
    <w:div w:id="1902598916">
      <w:bodyDiv w:val="1"/>
      <w:marLeft w:val="0"/>
      <w:marRight w:val="0"/>
      <w:marTop w:val="0"/>
      <w:marBottom w:val="0"/>
      <w:divBdr>
        <w:top w:val="none" w:sz="0" w:space="0" w:color="auto"/>
        <w:left w:val="none" w:sz="0" w:space="0" w:color="auto"/>
        <w:bottom w:val="none" w:sz="0" w:space="0" w:color="auto"/>
        <w:right w:val="none" w:sz="0" w:space="0" w:color="auto"/>
      </w:divBdr>
    </w:div>
    <w:div w:id="1904022198">
      <w:bodyDiv w:val="1"/>
      <w:marLeft w:val="0"/>
      <w:marRight w:val="0"/>
      <w:marTop w:val="0"/>
      <w:marBottom w:val="0"/>
      <w:divBdr>
        <w:top w:val="none" w:sz="0" w:space="0" w:color="auto"/>
        <w:left w:val="none" w:sz="0" w:space="0" w:color="auto"/>
        <w:bottom w:val="none" w:sz="0" w:space="0" w:color="auto"/>
        <w:right w:val="none" w:sz="0" w:space="0" w:color="auto"/>
      </w:divBdr>
    </w:div>
    <w:div w:id="1910378459">
      <w:bodyDiv w:val="1"/>
      <w:marLeft w:val="0"/>
      <w:marRight w:val="0"/>
      <w:marTop w:val="0"/>
      <w:marBottom w:val="0"/>
      <w:divBdr>
        <w:top w:val="none" w:sz="0" w:space="0" w:color="auto"/>
        <w:left w:val="none" w:sz="0" w:space="0" w:color="auto"/>
        <w:bottom w:val="none" w:sz="0" w:space="0" w:color="auto"/>
        <w:right w:val="none" w:sz="0" w:space="0" w:color="auto"/>
      </w:divBdr>
    </w:div>
    <w:div w:id="1940218982">
      <w:bodyDiv w:val="1"/>
      <w:marLeft w:val="0"/>
      <w:marRight w:val="0"/>
      <w:marTop w:val="0"/>
      <w:marBottom w:val="0"/>
      <w:divBdr>
        <w:top w:val="none" w:sz="0" w:space="0" w:color="auto"/>
        <w:left w:val="none" w:sz="0" w:space="0" w:color="auto"/>
        <w:bottom w:val="none" w:sz="0" w:space="0" w:color="auto"/>
        <w:right w:val="none" w:sz="0" w:space="0" w:color="auto"/>
      </w:divBdr>
    </w:div>
    <w:div w:id="1983775742">
      <w:bodyDiv w:val="1"/>
      <w:marLeft w:val="0"/>
      <w:marRight w:val="0"/>
      <w:marTop w:val="0"/>
      <w:marBottom w:val="0"/>
      <w:divBdr>
        <w:top w:val="none" w:sz="0" w:space="0" w:color="auto"/>
        <w:left w:val="none" w:sz="0" w:space="0" w:color="auto"/>
        <w:bottom w:val="none" w:sz="0" w:space="0" w:color="auto"/>
        <w:right w:val="none" w:sz="0" w:space="0" w:color="auto"/>
      </w:divBdr>
    </w:div>
    <w:div w:id="2055302935">
      <w:bodyDiv w:val="1"/>
      <w:marLeft w:val="0"/>
      <w:marRight w:val="0"/>
      <w:marTop w:val="0"/>
      <w:marBottom w:val="0"/>
      <w:divBdr>
        <w:top w:val="none" w:sz="0" w:space="0" w:color="auto"/>
        <w:left w:val="none" w:sz="0" w:space="0" w:color="auto"/>
        <w:bottom w:val="none" w:sz="0" w:space="0" w:color="auto"/>
        <w:right w:val="none" w:sz="0" w:space="0" w:color="auto"/>
      </w:divBdr>
    </w:div>
    <w:div w:id="2096701126">
      <w:bodyDiv w:val="1"/>
      <w:marLeft w:val="0"/>
      <w:marRight w:val="0"/>
      <w:marTop w:val="0"/>
      <w:marBottom w:val="0"/>
      <w:divBdr>
        <w:top w:val="none" w:sz="0" w:space="0" w:color="auto"/>
        <w:left w:val="none" w:sz="0" w:space="0" w:color="auto"/>
        <w:bottom w:val="none" w:sz="0" w:space="0" w:color="auto"/>
        <w:right w:val="none" w:sz="0" w:space="0" w:color="auto"/>
      </w:divBdr>
    </w:div>
    <w:div w:id="21152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chart" Target="charts/chart2.xml"/><Relationship Id="rId26" Type="http://schemas.openxmlformats.org/officeDocument/2006/relationships/image" Target="media/image5.emf"/><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3.xml"/><Relationship Id="rId34" Type="http://schemas.openxmlformats.org/officeDocument/2006/relationships/image" Target="media/image13.emf"/><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hyperlink" Target="http://eng.me.go.kr/eng/web/board/read.do?menuId=21&amp;boardMasterId=522&amp;boardId=492190&amp;searchKey=titleOrContent&amp;searchValue=electric" TargetMode="External"/><Relationship Id="rId33" Type="http://schemas.openxmlformats.org/officeDocument/2006/relationships/image" Target="media/image12.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emf"/><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6.xml"/><Relationship Id="rId32" Type="http://schemas.openxmlformats.org/officeDocument/2006/relationships/image" Target="media/image11.emf"/><Relationship Id="rId37" Type="http://schemas.openxmlformats.org/officeDocument/2006/relationships/image" Target="media/image16.e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chart" Target="charts/chart5.xml"/><Relationship Id="rId28" Type="http://schemas.openxmlformats.org/officeDocument/2006/relationships/image" Target="media/image7.emf"/><Relationship Id="rId36" Type="http://schemas.openxmlformats.org/officeDocument/2006/relationships/image" Target="media/image15.emf"/><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image" Target="media/image6.emf"/><Relationship Id="rId30" Type="http://schemas.openxmlformats.org/officeDocument/2006/relationships/image" Target="media/image9.emf"/><Relationship Id="rId35" Type="http://schemas.openxmlformats.org/officeDocument/2006/relationships/image" Target="media/image14.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kholo\Desktop\Thesis\Variable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holo\Desktop\Thesis\Variable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solidFill>
                  <a:sysClr val="windowText" lastClr="000000"/>
                </a:solidFill>
              </a:rPr>
              <a:t> BEV registrations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lineMarker"/>
        <c:varyColors val="0"/>
        <c:ser>
          <c:idx val="0"/>
          <c:order val="0"/>
          <c:tx>
            <c:strRef>
              <c:f>'2016, BEV'!$AJ$5:$AJ$21</c:f>
              <c:strCache>
                <c:ptCount val="17"/>
                <c:pt idx="0">
                  <c:v> 213.076   </c:v>
                </c:pt>
                <c:pt idx="1">
                  <c:v> 85.484   </c:v>
                </c:pt>
                <c:pt idx="2">
                  <c:v> 15.119   </c:v>
                </c:pt>
                <c:pt idx="3">
                  <c:v> 31.165   </c:v>
                </c:pt>
                <c:pt idx="4">
                  <c:v> 25.010   </c:v>
                </c:pt>
                <c:pt idx="5">
                  <c:v> 238   </c:v>
                </c:pt>
                <c:pt idx="6">
                  <c:v> 4.321   </c:v>
                </c:pt>
                <c:pt idx="7">
                  <c:v> 27.153   </c:v>
                </c:pt>
                <c:pt idx="8">
                  <c:v> 3.566   </c:v>
                </c:pt>
                <c:pt idx="9">
                  <c:v> 1.373   </c:v>
                </c:pt>
                <c:pt idx="10">
                  <c:v> 2.450   </c:v>
                </c:pt>
                <c:pt idx="11">
                  <c:v> 4.069   </c:v>
                </c:pt>
                <c:pt idx="12">
                  <c:v> 3.638   </c:v>
                </c:pt>
                <c:pt idx="13">
                  <c:v>247</c:v>
                </c:pt>
                <c:pt idx="14">
                  <c:v>16643</c:v>
                </c:pt>
                <c:pt idx="15">
                  <c:v>5782</c:v>
                </c:pt>
                <c:pt idx="16">
                  <c:v>5176</c:v>
                </c:pt>
              </c:strCache>
            </c:strRef>
          </c:tx>
          <c:spPr>
            <a:ln w="25400" cap="rnd">
              <a:noFill/>
              <a:round/>
            </a:ln>
            <a:effectLst/>
          </c:spPr>
          <c:marker>
            <c:symbol val="circle"/>
            <c:size val="5"/>
            <c:spPr>
              <a:solidFill>
                <a:srgbClr val="FF0000"/>
              </a:solidFill>
              <a:ln w="9525">
                <a:noFill/>
              </a:ln>
              <a:effectLst/>
            </c:spPr>
          </c:marker>
          <c:dLbls>
            <c:dLbl>
              <c:idx val="0"/>
              <c:layout>
                <c:manualLayout>
                  <c:x val="-3.888888888888889E-2"/>
                  <c:y val="-5.5555555555555552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155-4156-820A-B09C84DD841B}"/>
                </c:ext>
              </c:extLst>
            </c:dLbl>
            <c:dLbl>
              <c:idx val="1"/>
              <c:layout>
                <c:manualLayout>
                  <c:x val="-7.7777777777777807E-2"/>
                  <c:y val="-5.5555555555555552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155-4156-820A-B09C84DD841B}"/>
                </c:ext>
              </c:extLst>
            </c:dLbl>
            <c:dLbl>
              <c:idx val="2"/>
              <c:layout>
                <c:manualLayout>
                  <c:x val="-0.10555555555555556"/>
                  <c:y val="-4.166666666666666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155-4156-820A-B09C84DD841B}"/>
                </c:ext>
              </c:extLst>
            </c:dLbl>
            <c:dLbl>
              <c:idx val="3"/>
              <c:layout>
                <c:manualLayout>
                  <c:x val="-7.5000000000000053E-2"/>
                  <c:y val="-6.944444444444436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155-4156-820A-B09C84DD841B}"/>
                </c:ext>
              </c:extLst>
            </c:dLbl>
            <c:dLbl>
              <c:idx val="4"/>
              <c:layout>
                <c:manualLayout>
                  <c:x val="-4.4444444444444495E-2"/>
                  <c:y val="-3.2407407407407406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155-4156-820A-B09C84DD841B}"/>
                </c:ext>
              </c:extLst>
            </c:dLbl>
            <c:dLbl>
              <c:idx val="5"/>
              <c:layout>
                <c:manualLayout>
                  <c:x val="-6.6666666666666666E-2"/>
                  <c:y val="-3.2407407407407579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155-4156-820A-B09C84DD841B}"/>
                </c:ext>
              </c:extLst>
            </c:dLbl>
            <c:dLbl>
              <c:idx val="6"/>
              <c:layout>
                <c:manualLayout>
                  <c:x val="-7.6851851851851935E-2"/>
                  <c:y val="-4.629629629629629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155-4156-820A-B09C84DD841B}"/>
                </c:ext>
              </c:extLst>
            </c:dLbl>
            <c:dLbl>
              <c:idx val="7"/>
              <c:layout>
                <c:manualLayout>
                  <c:x val="-0.05"/>
                  <c:y val="-4.629629629629629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155-4156-820A-B09C84DD841B}"/>
                </c:ext>
              </c:extLst>
            </c:dLbl>
            <c:dLbl>
              <c:idx val="8"/>
              <c:layout>
                <c:manualLayout>
                  <c:x val="-5.5555555555555552E-2"/>
                  <c:y val="-3.7037037037037035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155-4156-820A-B09C84DD841B}"/>
                </c:ext>
              </c:extLst>
            </c:dLbl>
            <c:dLbl>
              <c:idx val="9"/>
              <c:layout>
                <c:manualLayout>
                  <c:x val="-4.3981481481481483E-2"/>
                  <c:y val="-8.1018518518518517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155-4156-820A-B09C84DD841B}"/>
                </c:ext>
              </c:extLst>
            </c:dLbl>
            <c:dLbl>
              <c:idx val="10"/>
              <c:layout>
                <c:manualLayout>
                  <c:x val="-4.6296296296296384E-2"/>
                  <c:y val="-2.7006172839506171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155-4156-820A-B09C84DD841B}"/>
                </c:ext>
              </c:extLst>
            </c:dLbl>
            <c:dLbl>
              <c:idx val="11"/>
              <c:layout>
                <c:manualLayout>
                  <c:x val="-3.9351851851851853E-2"/>
                  <c:y val="-5.0154320987654322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155-4156-820A-B09C84DD841B}"/>
                </c:ext>
              </c:extLst>
            </c:dLbl>
            <c:dLbl>
              <c:idx val="12"/>
              <c:layout>
                <c:manualLayout>
                  <c:x val="-4.6296296296296384E-2"/>
                  <c:y val="-2.3148148148148289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155-4156-820A-B09C84DD841B}"/>
                </c:ext>
              </c:extLst>
            </c:dLbl>
            <c:dLbl>
              <c:idx val="14"/>
              <c:layout>
                <c:manualLayout>
                  <c:x val="-4.1666666666666664E-2"/>
                  <c:y val="-5.09259259259258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F155-4156-820A-B09C84DD841B}"/>
                </c:ext>
              </c:extLst>
            </c:dLbl>
            <c:dLbl>
              <c:idx val="15"/>
              <c:layout>
                <c:manualLayout>
                  <c:x val="-4.8611111111111112E-2"/>
                  <c:y val="-3.0864197530864196E-2"/>
                </c:manualLayout>
              </c:layout>
              <c:tx>
                <c:rich>
                  <a:bodyPr/>
                  <a:lstStyle/>
                  <a:p>
                    <a:r>
                      <a:rPr lang="en-US"/>
                      <a:t>South Korea</a:t>
                    </a:r>
                  </a:p>
                </c:rich>
              </c:tx>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E-F155-4156-820A-B09C84DD84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de-DE"/>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strRef>
              <c:f>'2016, BEV'!$A$5:$A$21</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Korea, Rep.</c:v>
                </c:pt>
                <c:pt idx="16">
                  <c:v>Canada</c:v>
                </c:pt>
              </c:strCache>
            </c:strRef>
          </c:xVal>
          <c:yVal>
            <c:numRef>
              <c:f>'2016, BEV'!$AJ$5:$AJ$21</c:f>
              <c:numCache>
                <c:formatCode>_-* #,##0\ _€_-;\-* #,##0\ _€_-;_-* "-"??\ _€_-;_-@_-</c:formatCode>
                <c:ptCount val="17"/>
                <c:pt idx="0">
                  <c:v>213076</c:v>
                </c:pt>
                <c:pt idx="1">
                  <c:v>85484</c:v>
                </c:pt>
                <c:pt idx="2">
                  <c:v>15119</c:v>
                </c:pt>
                <c:pt idx="3">
                  <c:v>31165</c:v>
                </c:pt>
                <c:pt idx="4">
                  <c:v>25010</c:v>
                </c:pt>
                <c:pt idx="5">
                  <c:v>238</c:v>
                </c:pt>
                <c:pt idx="6">
                  <c:v>4321</c:v>
                </c:pt>
                <c:pt idx="7">
                  <c:v>27153</c:v>
                </c:pt>
                <c:pt idx="8">
                  <c:v>3566</c:v>
                </c:pt>
                <c:pt idx="9">
                  <c:v>1373</c:v>
                </c:pt>
                <c:pt idx="10">
                  <c:v>2450</c:v>
                </c:pt>
                <c:pt idx="11">
                  <c:v>4069</c:v>
                </c:pt>
                <c:pt idx="12">
                  <c:v>3638</c:v>
                </c:pt>
                <c:pt idx="13" formatCode="General">
                  <c:v>247</c:v>
                </c:pt>
                <c:pt idx="14" formatCode="General">
                  <c:v>16643</c:v>
                </c:pt>
                <c:pt idx="15" formatCode="General">
                  <c:v>5782</c:v>
                </c:pt>
                <c:pt idx="16" formatCode="General">
                  <c:v>5176</c:v>
                </c:pt>
              </c:numCache>
            </c:numRef>
          </c:yVal>
          <c:smooth val="0"/>
          <c:extLst>
            <c:ext xmlns:c16="http://schemas.microsoft.com/office/drawing/2014/chart" uri="{C3380CC4-5D6E-409C-BE32-E72D297353CC}">
              <c16:uniqueId val="{0000000F-F155-4156-820A-B09C84DD841B}"/>
            </c:ext>
          </c:extLst>
        </c:ser>
        <c:dLbls>
          <c:showLegendKey val="0"/>
          <c:showVal val="0"/>
          <c:showCatName val="0"/>
          <c:showSerName val="0"/>
          <c:showPercent val="0"/>
          <c:showBubbleSize val="0"/>
        </c:dLbls>
        <c:axId val="726272384"/>
        <c:axId val="726271992"/>
      </c:scatterChart>
      <c:valAx>
        <c:axId val="726272384"/>
        <c:scaling>
          <c:orientation val="minMax"/>
        </c:scaling>
        <c:delete val="0"/>
        <c:axPos val="b"/>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26271992"/>
        <c:crosses val="autoZero"/>
        <c:crossBetween val="midCat"/>
      </c:valAx>
      <c:valAx>
        <c:axId val="726271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DE">
                    <a:solidFill>
                      <a:sysClr val="windowText" lastClr="000000"/>
                    </a:solidFill>
                  </a:rPr>
                  <a:t>BEV registrations</a:t>
                </a:r>
                <a:endParaRPr lang="ru-R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26272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de-DE">
                <a:solidFill>
                  <a:sysClr val="windowText" lastClr="000000"/>
                </a:solidFill>
              </a:rPr>
              <a:t>Passenger car registrations</a:t>
            </a:r>
            <a:endParaRPr lang="ru-RU">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de-DE"/>
        </a:p>
      </c:txPr>
    </c:title>
    <c:autoTitleDeleted val="0"/>
    <c:plotArea>
      <c:layout/>
      <c:scatterChart>
        <c:scatterStyle val="lineMarker"/>
        <c:varyColors val="0"/>
        <c:ser>
          <c:idx val="0"/>
          <c:order val="0"/>
          <c:tx>
            <c:strRef>
              <c:f>'2016, BEV'!$AK$4</c:f>
              <c:strCache>
                <c:ptCount val="1"/>
                <c:pt idx="0">
                  <c:v>All passenger car registrations</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3.4722222222222203E-2"/>
                  <c:y val="-3.8580246913580266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45-4578-BF17-8B696C2275A5}"/>
                </c:ext>
              </c:extLst>
            </c:dLbl>
            <c:dLbl>
              <c:idx val="1"/>
              <c:layout>
                <c:manualLayout>
                  <c:x val="-6.9444444444444461E-2"/>
                  <c:y val="-5.4012345679012419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45-4578-BF17-8B696C2275A5}"/>
                </c:ext>
              </c:extLst>
            </c:dLbl>
            <c:dLbl>
              <c:idx val="2"/>
              <c:layout>
                <c:manualLayout>
                  <c:x val="-0.1111111111111111"/>
                  <c:y val="3.8580246913580106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45-4578-BF17-8B696C2275A5}"/>
                </c:ext>
              </c:extLst>
            </c:dLbl>
            <c:dLbl>
              <c:idx val="3"/>
              <c:layout>
                <c:manualLayout>
                  <c:x val="-4.3981481481481483E-2"/>
                  <c:y val="-4.629629629629629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45-4578-BF17-8B696C2275A5}"/>
                </c:ext>
              </c:extLst>
            </c:dLbl>
            <c:dLbl>
              <c:idx val="4"/>
              <c:layout>
                <c:manualLayout>
                  <c:x val="-5.5555555555555552E-2"/>
                  <c:y val="-5.0154320987654322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45-4578-BF17-8B696C2275A5}"/>
                </c:ext>
              </c:extLst>
            </c:dLbl>
            <c:dLbl>
              <c:idx val="5"/>
              <c:layout>
                <c:manualLayout>
                  <c:x val="-4.8611111111111112E-2"/>
                  <c:y val="-2.3148148148148147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E45-4578-BF17-8B696C2275A5}"/>
                </c:ext>
              </c:extLst>
            </c:dLbl>
            <c:dLbl>
              <c:idx val="6"/>
              <c:layout>
                <c:manualLayout>
                  <c:x val="-6.2500000000000083E-2"/>
                  <c:y val="-4.2438271604938273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E45-4578-BF17-8B696C2275A5}"/>
                </c:ext>
              </c:extLst>
            </c:dLbl>
            <c:dLbl>
              <c:idx val="7"/>
              <c:layout>
                <c:manualLayout>
                  <c:x val="-4.1666666666666664E-2"/>
                  <c:y val="-4.2438271604938273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E45-4578-BF17-8B696C2275A5}"/>
                </c:ext>
              </c:extLst>
            </c:dLbl>
            <c:dLbl>
              <c:idx val="8"/>
              <c:layout>
                <c:manualLayout>
                  <c:x val="-4.1666666666666664E-2"/>
                  <c:y val="-3.472222222222222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E45-4578-BF17-8B696C2275A5}"/>
                </c:ext>
              </c:extLst>
            </c:dLbl>
            <c:dLbl>
              <c:idx val="9"/>
              <c:layout>
                <c:manualLayout>
                  <c:x val="-4.8611111111111112E-2"/>
                  <c:y val="-6.9444444444444448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E45-4578-BF17-8B696C2275A5}"/>
                </c:ext>
              </c:extLst>
            </c:dLbl>
            <c:dLbl>
              <c:idx val="10"/>
              <c:layout>
                <c:manualLayout>
                  <c:x val="-4.3981481481481399E-2"/>
                  <c:y val="-2.3148148148148147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E45-4578-BF17-8B696C2275A5}"/>
                </c:ext>
              </c:extLst>
            </c:dLbl>
            <c:dLbl>
              <c:idx val="11"/>
              <c:layout>
                <c:manualLayout>
                  <c:x val="-4.6296296296296294E-2"/>
                  <c:y val="-5.7870370370370371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E45-4578-BF17-8B696C2275A5}"/>
                </c:ext>
              </c:extLst>
            </c:dLbl>
            <c:dLbl>
              <c:idx val="12"/>
              <c:layout>
                <c:manualLayout>
                  <c:x val="-5.5555555555555643E-2"/>
                  <c:y val="-2.7006172839506314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E45-4578-BF17-8B696C2275A5}"/>
                </c:ext>
              </c:extLst>
            </c:dLbl>
            <c:dLbl>
              <c:idx val="13"/>
              <c:layout>
                <c:manualLayout>
                  <c:x val="-5.0925925925926013E-2"/>
                  <c:y val="-5.7870370370370371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E45-4578-BF17-8B696C2275A5}"/>
                </c:ext>
              </c:extLst>
            </c:dLbl>
            <c:dLbl>
              <c:idx val="14"/>
              <c:layout>
                <c:manualLayout>
                  <c:x val="-5.0925925925925923E-2"/>
                  <c:y val="-4.6296296296296439E-2"/>
                </c:manualLayout>
              </c:layout>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92-45E7-89A9-CBC9C13B7C34}"/>
                </c:ext>
              </c:extLst>
            </c:dLbl>
            <c:dLbl>
              <c:idx val="15"/>
              <c:layout>
                <c:manualLayout>
                  <c:x val="-6.7129629629629636E-2"/>
                  <c:y val="-4.6296296296296294E-2"/>
                </c:manualLayout>
              </c:layout>
              <c:tx>
                <c:rich>
                  <a:bodyPr/>
                  <a:lstStyle/>
                  <a:p>
                    <a:r>
                      <a:rPr lang="en-US"/>
                      <a:t>South Korea</a:t>
                    </a:r>
                  </a:p>
                </c:rich>
              </c:tx>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E45-4578-BF17-8B696C2275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de-DE"/>
              </a:p>
            </c:txPr>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xVal>
            <c:strRef>
              <c:f>'2016, BEV'!$A$5:$A$21</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Korea, Rep.</c:v>
                </c:pt>
                <c:pt idx="16">
                  <c:v>Canada</c:v>
                </c:pt>
              </c:strCache>
            </c:strRef>
          </c:xVal>
          <c:yVal>
            <c:numRef>
              <c:f>'2016, BEV'!$AK$5:$AK$21</c:f>
              <c:numCache>
                <c:formatCode>_-* #,##0\ _€_-;\-* #,##0\ _€_-;_-* "-"??\ _€_-;_-@_-</c:formatCode>
                <c:ptCount val="17"/>
                <c:pt idx="0">
                  <c:v>23210000</c:v>
                </c:pt>
                <c:pt idx="1">
                  <c:v>6869772</c:v>
                </c:pt>
                <c:pt idx="2">
                  <c:v>3351607</c:v>
                </c:pt>
                <c:pt idx="3">
                  <c:v>2692786</c:v>
                </c:pt>
                <c:pt idx="4">
                  <c:v>154603</c:v>
                </c:pt>
                <c:pt idx="5">
                  <c:v>118912</c:v>
                </c:pt>
                <c:pt idx="6">
                  <c:v>382514</c:v>
                </c:pt>
                <c:pt idx="7">
                  <c:v>2015177</c:v>
                </c:pt>
                <c:pt idx="8">
                  <c:v>372318</c:v>
                </c:pt>
                <c:pt idx="9">
                  <c:v>222895</c:v>
                </c:pt>
                <c:pt idx="10">
                  <c:v>539519</c:v>
                </c:pt>
                <c:pt idx="11">
                  <c:v>329604</c:v>
                </c:pt>
                <c:pt idx="12">
                  <c:v>315295</c:v>
                </c:pt>
                <c:pt idx="13" formatCode="General">
                  <c:v>18473</c:v>
                </c:pt>
                <c:pt idx="14">
                  <c:v>4150000</c:v>
                </c:pt>
                <c:pt idx="15" formatCode="General">
                  <c:v>1343000</c:v>
                </c:pt>
                <c:pt idx="16" formatCode="General">
                  <c:v>1948000</c:v>
                </c:pt>
              </c:numCache>
            </c:numRef>
          </c:yVal>
          <c:smooth val="0"/>
          <c:extLst>
            <c:ext xmlns:c16="http://schemas.microsoft.com/office/drawing/2014/chart" uri="{C3380CC4-5D6E-409C-BE32-E72D297353CC}">
              <c16:uniqueId val="{0000000F-0E45-4578-BF17-8B696C2275A5}"/>
            </c:ext>
          </c:extLst>
        </c:ser>
        <c:dLbls>
          <c:showLegendKey val="0"/>
          <c:showVal val="0"/>
          <c:showCatName val="0"/>
          <c:showSerName val="0"/>
          <c:showPercent val="0"/>
          <c:showBubbleSize val="0"/>
        </c:dLbls>
        <c:axId val="786937224"/>
        <c:axId val="786938008"/>
      </c:scatterChart>
      <c:valAx>
        <c:axId val="786937224"/>
        <c:scaling>
          <c:orientation val="minMax"/>
        </c:scaling>
        <c:delete val="0"/>
        <c:axPos val="b"/>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86938008"/>
        <c:crosses val="autoZero"/>
        <c:crossBetween val="midCat"/>
      </c:valAx>
      <c:valAx>
        <c:axId val="78693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DE">
                    <a:solidFill>
                      <a:sysClr val="windowText" lastClr="000000"/>
                    </a:solidFill>
                  </a:rPr>
                  <a:t>Passenger car registrations</a:t>
                </a:r>
                <a:endParaRPr lang="ru-R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86937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r>
              <a:rPr lang="de-DE" sz="1100">
                <a:solidFill>
                  <a:sysClr val="windowText" lastClr="000000"/>
                </a:solidFill>
              </a:rPr>
              <a:t>Public</a:t>
            </a:r>
            <a:r>
              <a:rPr lang="de-DE" sz="1100" baseline="0">
                <a:solidFill>
                  <a:sysClr val="windowText" lastClr="000000"/>
                </a:solidFill>
              </a:rPr>
              <a:t> c</a:t>
            </a:r>
            <a:r>
              <a:rPr lang="de-DE" sz="1100">
                <a:solidFill>
                  <a:sysClr val="windowText" lastClr="000000"/>
                </a:solidFill>
              </a:rPr>
              <a:t>harging infrastructure</a:t>
            </a:r>
            <a:r>
              <a:rPr lang="de-DE" sz="1100" baseline="0">
                <a:solidFill>
                  <a:sysClr val="windowText" lastClr="000000"/>
                </a:solidFill>
              </a:rPr>
              <a:t> and respective BEV market share by country (2016)</a:t>
            </a:r>
            <a:endParaRPr lang="de-DE" sz="1100">
              <a:solidFill>
                <a:sysClr val="windowText" lastClr="000000"/>
              </a:solidFill>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endParaRPr lang="de-DE"/>
        </a:p>
      </c:txPr>
    </c:title>
    <c:autoTitleDeleted val="0"/>
    <c:plotArea>
      <c:layout/>
      <c:barChart>
        <c:barDir val="col"/>
        <c:grouping val="clustered"/>
        <c:varyColors val="0"/>
        <c:ser>
          <c:idx val="1"/>
          <c:order val="1"/>
          <c:tx>
            <c:strRef>
              <c:f>'2016, BEV'!$E$4</c:f>
              <c:strCache>
                <c:ptCount val="1"/>
                <c:pt idx="0">
                  <c:v>Public charging stations </c:v>
                </c:pt>
              </c:strCache>
            </c:strRef>
          </c:tx>
          <c:spPr>
            <a:solidFill>
              <a:schemeClr val="accent2"/>
            </a:solidFill>
            <a:ln>
              <a:noFill/>
            </a:ln>
            <a:effectLst/>
          </c:spPr>
          <c:invertIfNegative val="0"/>
          <c:cat>
            <c:strRef>
              <c:f>'2016, BEV'!$A$5:$A$21</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pt idx="16">
                  <c:v>Canada</c:v>
                </c:pt>
              </c:strCache>
            </c:strRef>
          </c:cat>
          <c:val>
            <c:numRef>
              <c:f>'2016, BEV'!$E$5:$E$21</c:f>
              <c:numCache>
                <c:formatCode>_(* #,##0.00_);_(* \(#,##0.00\);_(* "-"??_);_(@_)</c:formatCode>
                <c:ptCount val="17"/>
                <c:pt idx="0">
                  <c:v>108.80090522353146</c:v>
                </c:pt>
                <c:pt idx="1">
                  <c:v>61.028564611839919</c:v>
                </c:pt>
                <c:pt idx="2">
                  <c:v>89.94680897635395</c:v>
                </c:pt>
                <c:pt idx="3">
                  <c:v>179.26516830825378</c:v>
                </c:pt>
                <c:pt idx="4">
                  <c:v>1558.309369017478</c:v>
                </c:pt>
                <c:pt idx="5">
                  <c:v>165.77793799541172</c:v>
                </c:pt>
                <c:pt idx="6">
                  <c:v>1537.904703342522</c:v>
                </c:pt>
                <c:pt idx="7">
                  <c:v>235.68732694376084</c:v>
                </c:pt>
                <c:pt idx="8">
                  <c:v>275.92225603227223</c:v>
                </c:pt>
                <c:pt idx="9">
                  <c:v>365.92114888067584</c:v>
                </c:pt>
                <c:pt idx="10">
                  <c:v>129.90426091270805</c:v>
                </c:pt>
                <c:pt idx="11">
                  <c:v>269.66802446882497</c:v>
                </c:pt>
                <c:pt idx="12">
                  <c:v>463.25611124261314</c:v>
                </c:pt>
                <c:pt idx="13">
                  <c:v>122.22788644134999</c:v>
                </c:pt>
                <c:pt idx="14">
                  <c:v>365.91345274757583</c:v>
                </c:pt>
                <c:pt idx="15">
                  <c:v>226.3604246888427</c:v>
                </c:pt>
                <c:pt idx="16">
                  <c:v>204.91055134643136</c:v>
                </c:pt>
              </c:numCache>
            </c:numRef>
          </c:val>
          <c:extLst>
            <c:ext xmlns:c16="http://schemas.microsoft.com/office/drawing/2014/chart" uri="{C3380CC4-5D6E-409C-BE32-E72D297353CC}">
              <c16:uniqueId val="{00000000-E64D-4DFC-B7BE-C4088DAD888C}"/>
            </c:ext>
          </c:extLst>
        </c:ser>
        <c:dLbls>
          <c:showLegendKey val="0"/>
          <c:showVal val="0"/>
          <c:showCatName val="0"/>
          <c:showSerName val="0"/>
          <c:showPercent val="0"/>
          <c:showBubbleSize val="0"/>
        </c:dLbls>
        <c:gapWidth val="90"/>
        <c:axId val="357324312"/>
        <c:axId val="357325880"/>
      </c:barChart>
      <c:barChart>
        <c:barDir val="col"/>
        <c:grouping val="clustered"/>
        <c:varyColors val="0"/>
        <c:ser>
          <c:idx val="0"/>
          <c:order val="0"/>
          <c:tx>
            <c:strRef>
              <c:f>'2016, BEV'!$AO$4</c:f>
              <c:strCache>
                <c:ptCount val="1"/>
                <c:pt idx="0">
                  <c:v>BEV market share</c:v>
                </c:pt>
              </c:strCache>
            </c:strRef>
          </c:tx>
          <c:spPr>
            <a:solidFill>
              <a:schemeClr val="accent1"/>
            </a:solidFill>
            <a:ln>
              <a:solidFill>
                <a:schemeClr val="accent1"/>
              </a:solidFill>
            </a:ln>
            <a:effectLst/>
          </c:spPr>
          <c:invertIfNegative val="0"/>
          <c:cat>
            <c:strRef>
              <c:f>'2016, BEV'!$A$5:$A$21</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pt idx="16">
                  <c:v>Canada</c:v>
                </c:pt>
              </c:strCache>
            </c:strRef>
          </c:cat>
          <c:val>
            <c:numRef>
              <c:f>'2016, BEV'!$AO$5:$AO$21</c:f>
              <c:numCache>
                <c:formatCode>0.00%</c:formatCode>
                <c:ptCount val="17"/>
                <c:pt idx="0">
                  <c:v>9.1803532959931072E-3</c:v>
                </c:pt>
                <c:pt idx="1">
                  <c:v>1.244349885265479E-2</c:v>
                </c:pt>
                <c:pt idx="2">
                  <c:v>4.5109704091201627E-3</c:v>
                </c:pt>
                <c:pt idx="3">
                  <c:v>1.1573515310908479E-2</c:v>
                </c:pt>
                <c:pt idx="4">
                  <c:v>0.16176917653603098</c:v>
                </c:pt>
                <c:pt idx="5">
                  <c:v>2.001480086114101E-3</c:v>
                </c:pt>
                <c:pt idx="6">
                  <c:v>1.1296318566117841E-2</c:v>
                </c:pt>
                <c:pt idx="7">
                  <c:v>1.347425064895044E-2</c:v>
                </c:pt>
                <c:pt idx="8">
                  <c:v>9.5778340021164705E-3</c:v>
                </c:pt>
                <c:pt idx="9">
                  <c:v>6.1598510509432696E-3</c:v>
                </c:pt>
                <c:pt idx="10">
                  <c:v>4.5410819637491913E-3</c:v>
                </c:pt>
                <c:pt idx="11">
                  <c:v>1.234511717090812E-2</c:v>
                </c:pt>
                <c:pt idx="12">
                  <c:v>1.1538400545520862E-2</c:v>
                </c:pt>
                <c:pt idx="13">
                  <c:v>1.3370865587614356E-2</c:v>
                </c:pt>
                <c:pt idx="14">
                  <c:v>4.0103614457831322E-3</c:v>
                </c:pt>
                <c:pt idx="15">
                  <c:v>4.3052866716306775E-3</c:v>
                </c:pt>
                <c:pt idx="16">
                  <c:v>2.6570841889117045E-3</c:v>
                </c:pt>
              </c:numCache>
            </c:numRef>
          </c:val>
          <c:extLst>
            <c:ext xmlns:c16="http://schemas.microsoft.com/office/drawing/2014/chart" uri="{C3380CC4-5D6E-409C-BE32-E72D297353CC}">
              <c16:uniqueId val="{00000001-E64D-4DFC-B7BE-C4088DAD888C}"/>
            </c:ext>
          </c:extLst>
        </c:ser>
        <c:dLbls>
          <c:showLegendKey val="0"/>
          <c:showVal val="0"/>
          <c:showCatName val="0"/>
          <c:showSerName val="0"/>
          <c:showPercent val="0"/>
          <c:showBubbleSize val="0"/>
        </c:dLbls>
        <c:gapWidth val="250"/>
        <c:overlap val="-27"/>
        <c:axId val="187117352"/>
        <c:axId val="353997128"/>
      </c:barChart>
      <c:catAx>
        <c:axId val="35732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357325880"/>
        <c:crosses val="autoZero"/>
        <c:auto val="1"/>
        <c:lblAlgn val="ctr"/>
        <c:lblOffset val="100"/>
        <c:noMultiLvlLbl val="0"/>
      </c:catAx>
      <c:valAx>
        <c:axId val="35732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Charging stations per million </a:t>
                </a:r>
                <a:r>
                  <a:rPr lang="en-US" baseline="0">
                    <a:solidFill>
                      <a:sysClr val="windowText" lastClr="000000"/>
                    </a:solidFill>
                  </a:rPr>
                  <a:t>residents</a:t>
                </a:r>
                <a:endParaRPr lang="en-US">
                  <a:solidFill>
                    <a:sysClr val="windowText" lastClr="000000"/>
                  </a:solidFill>
                </a:endParaRPr>
              </a:p>
            </c:rich>
          </c:tx>
          <c:layout>
            <c:manualLayout>
              <c:xMode val="edge"/>
              <c:yMode val="edge"/>
              <c:x val="2.5462962962962962E-2"/>
              <c:y val="7.8819444444444442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357324312"/>
        <c:crosses val="autoZero"/>
        <c:crossBetween val="between"/>
      </c:valAx>
      <c:valAx>
        <c:axId val="35399712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BEV market share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187117352"/>
        <c:crosses val="max"/>
        <c:crossBetween val="between"/>
      </c:valAx>
      <c:catAx>
        <c:axId val="187117352"/>
        <c:scaling>
          <c:orientation val="minMax"/>
        </c:scaling>
        <c:delete val="1"/>
        <c:axPos val="b"/>
        <c:numFmt formatCode="General" sourceLinked="1"/>
        <c:majorTickMark val="out"/>
        <c:minorTickMark val="none"/>
        <c:tickLblPos val="nextTo"/>
        <c:crossAx val="3539971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r>
              <a:rPr lang="de-DE" sz="1100">
                <a:solidFill>
                  <a:sysClr val="windowText" lastClr="000000"/>
                </a:solidFill>
              </a:rPr>
              <a:t>BEV sales per public charging station </a:t>
            </a:r>
            <a:r>
              <a:rPr lang="de-DE" sz="1100" baseline="0">
                <a:solidFill>
                  <a:sysClr val="windowText" lastClr="000000"/>
                </a:solidFill>
              </a:rPr>
              <a:t>by country (2016)</a:t>
            </a:r>
            <a:endParaRPr lang="de-DE" sz="1100">
              <a:solidFill>
                <a:sysClr val="windowText" lastClr="000000"/>
              </a:solidFill>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endParaRPr lang="de-DE"/>
        </a:p>
      </c:txPr>
    </c:title>
    <c:autoTitleDeleted val="0"/>
    <c:plotArea>
      <c:layout/>
      <c:barChart>
        <c:barDir val="col"/>
        <c:grouping val="clustered"/>
        <c:varyColors val="0"/>
        <c:ser>
          <c:idx val="1"/>
          <c:order val="0"/>
          <c:tx>
            <c:strRef>
              <c:f>'2016, BEV'!$C$4</c:f>
              <c:strCache>
                <c:ptCount val="1"/>
                <c:pt idx="0">
                  <c:v>Public fast charging stations</c:v>
                </c:pt>
              </c:strCache>
            </c:strRef>
          </c:tx>
          <c:spPr>
            <a:solidFill>
              <a:srgbClr val="C793C1"/>
            </a:solidFill>
            <a:ln>
              <a:noFill/>
            </a:ln>
            <a:effectLst/>
          </c:spPr>
          <c:invertIfNegative val="0"/>
          <c:cat>
            <c:strRef>
              <c:f>'2016, BEV'!$A$5:$A$21</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pt idx="16">
                  <c:v>Canada</c:v>
                </c:pt>
              </c:strCache>
            </c:strRef>
          </c:cat>
          <c:val>
            <c:numRef>
              <c:f>'2016, BEV'!$C$5:$C$21</c:f>
              <c:numCache>
                <c:formatCode>_(* #,##0.00_);_(* \(#,##0.00\);_(* "-"??_);_(@_)</c:formatCode>
                <c:ptCount val="17"/>
                <c:pt idx="0">
                  <c:v>27.562895989961305</c:v>
                </c:pt>
                <c:pt idx="1">
                  <c:v>11.530400640297463</c:v>
                </c:pt>
                <c:pt idx="2">
                  <c:v>10.929138393238633</c:v>
                </c:pt>
                <c:pt idx="3">
                  <c:v>23.218033109403056</c:v>
                </c:pt>
                <c:pt idx="4">
                  <c:v>200.9735756045589</c:v>
                </c:pt>
                <c:pt idx="5">
                  <c:v>24.566434280329947</c:v>
                </c:pt>
                <c:pt idx="6">
                  <c:v>2.466190582275817</c:v>
                </c:pt>
                <c:pt idx="7">
                  <c:v>17.14035262581228</c:v>
                </c:pt>
                <c:pt idx="8">
                  <c:v>52.705383456858428</c:v>
                </c:pt>
                <c:pt idx="9">
                  <c:v>56.564147059799126</c:v>
                </c:pt>
                <c:pt idx="10">
                  <c:v>9.8840198520538731</c:v>
                </c:pt>
                <c:pt idx="11">
                  <c:v>28.958408400090285</c:v>
                </c:pt>
                <c:pt idx="12">
                  <c:v>33.081191754112872</c:v>
                </c:pt>
                <c:pt idx="13">
                  <c:v>89.435038859524383</c:v>
                </c:pt>
                <c:pt idx="14">
                  <c:v>50.939209490715704</c:v>
                </c:pt>
                <c:pt idx="15">
                  <c:v>29.270744571833109</c:v>
                </c:pt>
                <c:pt idx="16">
                  <c:v>8.6861557898164286</c:v>
                </c:pt>
              </c:numCache>
            </c:numRef>
          </c:val>
          <c:extLst>
            <c:ext xmlns:c16="http://schemas.microsoft.com/office/drawing/2014/chart" uri="{C3380CC4-5D6E-409C-BE32-E72D297353CC}">
              <c16:uniqueId val="{00000000-C31E-4690-8598-B27DC51A2A1C}"/>
            </c:ext>
          </c:extLst>
        </c:ser>
        <c:dLbls>
          <c:showLegendKey val="0"/>
          <c:showVal val="0"/>
          <c:showCatName val="0"/>
          <c:showSerName val="0"/>
          <c:showPercent val="0"/>
          <c:showBubbleSize val="0"/>
        </c:dLbls>
        <c:gapWidth val="90"/>
        <c:axId val="357324312"/>
        <c:axId val="357325880"/>
      </c:barChart>
      <c:barChart>
        <c:barDir val="col"/>
        <c:grouping val="clustered"/>
        <c:varyColors val="0"/>
        <c:ser>
          <c:idx val="0"/>
          <c:order val="1"/>
          <c:tx>
            <c:strRef>
              <c:f>'2016, BEV'!$AO$4</c:f>
              <c:strCache>
                <c:ptCount val="1"/>
                <c:pt idx="0">
                  <c:v>BEV market share</c:v>
                </c:pt>
              </c:strCache>
            </c:strRef>
          </c:tx>
          <c:spPr>
            <a:solidFill>
              <a:schemeClr val="accent1"/>
            </a:solidFill>
            <a:ln>
              <a:noFill/>
            </a:ln>
            <a:effectLst/>
          </c:spPr>
          <c:invertIfNegative val="0"/>
          <c:val>
            <c:numRef>
              <c:f>'2016, BEV'!$AO$5:$AO$21</c:f>
              <c:numCache>
                <c:formatCode>0.00%</c:formatCode>
                <c:ptCount val="17"/>
                <c:pt idx="0">
                  <c:v>9.1803532959931072E-3</c:v>
                </c:pt>
                <c:pt idx="1">
                  <c:v>1.244349885265479E-2</c:v>
                </c:pt>
                <c:pt idx="2">
                  <c:v>4.5109704091201627E-3</c:v>
                </c:pt>
                <c:pt idx="3">
                  <c:v>1.1573515310908479E-2</c:v>
                </c:pt>
                <c:pt idx="4">
                  <c:v>0.16176917653603098</c:v>
                </c:pt>
                <c:pt idx="5">
                  <c:v>2.001480086114101E-3</c:v>
                </c:pt>
                <c:pt idx="6">
                  <c:v>1.1296318566117841E-2</c:v>
                </c:pt>
                <c:pt idx="7">
                  <c:v>1.347425064895044E-2</c:v>
                </c:pt>
                <c:pt idx="8">
                  <c:v>9.5778340021164705E-3</c:v>
                </c:pt>
                <c:pt idx="9">
                  <c:v>6.1598510509432696E-3</c:v>
                </c:pt>
                <c:pt idx="10">
                  <c:v>4.5410819637491913E-3</c:v>
                </c:pt>
                <c:pt idx="11">
                  <c:v>1.234511717090812E-2</c:v>
                </c:pt>
                <c:pt idx="12">
                  <c:v>1.1538400545520862E-2</c:v>
                </c:pt>
                <c:pt idx="13">
                  <c:v>1.3370865587614356E-2</c:v>
                </c:pt>
                <c:pt idx="14">
                  <c:v>4.0103614457831322E-3</c:v>
                </c:pt>
                <c:pt idx="15">
                  <c:v>4.3052866716306775E-3</c:v>
                </c:pt>
                <c:pt idx="16">
                  <c:v>2.6570841889117045E-3</c:v>
                </c:pt>
              </c:numCache>
            </c:numRef>
          </c:val>
          <c:extLst>
            <c:ext xmlns:c16="http://schemas.microsoft.com/office/drawing/2014/chart" uri="{C3380CC4-5D6E-409C-BE32-E72D297353CC}">
              <c16:uniqueId val="{00000001-C31E-4690-8598-B27DC51A2A1C}"/>
            </c:ext>
          </c:extLst>
        </c:ser>
        <c:dLbls>
          <c:showLegendKey val="0"/>
          <c:showVal val="0"/>
          <c:showCatName val="0"/>
          <c:showSerName val="0"/>
          <c:showPercent val="0"/>
          <c:showBubbleSize val="0"/>
        </c:dLbls>
        <c:gapWidth val="250"/>
        <c:axId val="759696520"/>
        <c:axId val="759693896"/>
      </c:barChart>
      <c:catAx>
        <c:axId val="35732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357325880"/>
        <c:crosses val="autoZero"/>
        <c:auto val="1"/>
        <c:lblAlgn val="ctr"/>
        <c:lblOffset val="100"/>
        <c:noMultiLvlLbl val="0"/>
      </c:catAx>
      <c:valAx>
        <c:axId val="35732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Fast charging stations per million residents</a:t>
                </a:r>
              </a:p>
            </c:rich>
          </c:tx>
          <c:layout>
            <c:manualLayout>
              <c:xMode val="edge"/>
              <c:yMode val="edge"/>
              <c:x val="2.0833333333333332E-2"/>
              <c:y val="7.496141975308641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357324312"/>
        <c:crosses val="autoZero"/>
        <c:crossBetween val="between"/>
      </c:valAx>
      <c:valAx>
        <c:axId val="75969389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de-DE">
                    <a:solidFill>
                      <a:sysClr val="windowText" lastClr="000000"/>
                    </a:solidFill>
                  </a:rPr>
                  <a:t>BEV market share</a:t>
                </a:r>
                <a:endParaRPr lang="ru-R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759696520"/>
        <c:crosses val="max"/>
        <c:crossBetween val="between"/>
      </c:valAx>
      <c:catAx>
        <c:axId val="759696520"/>
        <c:scaling>
          <c:orientation val="minMax"/>
        </c:scaling>
        <c:delete val="1"/>
        <c:axPos val="b"/>
        <c:majorTickMark val="out"/>
        <c:minorTickMark val="none"/>
        <c:tickLblPos val="nextTo"/>
        <c:crossAx val="7596938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solidFill>
                  <a:sysClr val="windowText" lastClr="000000"/>
                </a:solidFill>
              </a:rPr>
              <a:t>Government grant and respective BEV market share by country</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1"/>
          <c:order val="0"/>
          <c:tx>
            <c:strRef>
              <c:f>'2016, BEV'!$V$4</c:f>
              <c:strCache>
                <c:ptCount val="1"/>
                <c:pt idx="0">
                  <c:v>Government grant</c:v>
                </c:pt>
              </c:strCache>
            </c:strRef>
          </c:tx>
          <c:spPr>
            <a:solidFill>
              <a:schemeClr val="bg2">
                <a:lumMod val="75000"/>
              </a:schemeClr>
            </a:solidFill>
            <a:ln>
              <a:noFill/>
            </a:ln>
            <a:effectLst/>
          </c:spPr>
          <c:invertIfNegative val="0"/>
          <c:cat>
            <c:strRef>
              <c:f>'2016, BEV'!$A$5:$A$21</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pt idx="16">
                  <c:v>Canada</c:v>
                </c:pt>
              </c:strCache>
            </c:strRef>
          </c:cat>
          <c:val>
            <c:numRef>
              <c:f>'2016, BEV'!$V$5:$V$21</c:f>
              <c:numCache>
                <c:formatCode>0.00</c:formatCode>
                <c:ptCount val="17"/>
                <c:pt idx="0">
                  <c:v>12585.4</c:v>
                </c:pt>
                <c:pt idx="1">
                  <c:v>7500</c:v>
                </c:pt>
                <c:pt idx="2">
                  <c:v>3171</c:v>
                </c:pt>
                <c:pt idx="3">
                  <c:v>5032.636363636364</c:v>
                </c:pt>
                <c:pt idx="4">
                  <c:v>0</c:v>
                </c:pt>
                <c:pt idx="5">
                  <c:v>1057</c:v>
                </c:pt>
                <c:pt idx="6">
                  <c:v>0</c:v>
                </c:pt>
                <c:pt idx="7">
                  <c:v>6326.1450000000023</c:v>
                </c:pt>
                <c:pt idx="8">
                  <c:v>4110.3999999999996</c:v>
                </c:pt>
                <c:pt idx="9">
                  <c:v>2122.5</c:v>
                </c:pt>
                <c:pt idx="10">
                  <c:v>3534.34375</c:v>
                </c:pt>
                <c:pt idx="11">
                  <c:v>3435.25</c:v>
                </c:pt>
                <c:pt idx="12">
                  <c:v>0</c:v>
                </c:pt>
                <c:pt idx="13">
                  <c:v>0</c:v>
                </c:pt>
                <c:pt idx="14">
                  <c:v>2186.8571428571427</c:v>
                </c:pt>
                <c:pt idx="15">
                  <c:v>12100</c:v>
                </c:pt>
                <c:pt idx="16" formatCode="General">
                  <c:v>0</c:v>
                </c:pt>
              </c:numCache>
            </c:numRef>
          </c:val>
          <c:extLst>
            <c:ext xmlns:c16="http://schemas.microsoft.com/office/drawing/2014/chart" uri="{C3380CC4-5D6E-409C-BE32-E72D297353CC}">
              <c16:uniqueId val="{00000000-ECC3-4F09-BD81-87CAF398605C}"/>
            </c:ext>
          </c:extLst>
        </c:ser>
        <c:dLbls>
          <c:showLegendKey val="0"/>
          <c:showVal val="0"/>
          <c:showCatName val="0"/>
          <c:showSerName val="0"/>
          <c:showPercent val="0"/>
          <c:showBubbleSize val="0"/>
        </c:dLbls>
        <c:gapWidth val="90"/>
        <c:overlap val="-27"/>
        <c:axId val="564809016"/>
        <c:axId val="564805736"/>
      </c:barChart>
      <c:barChart>
        <c:barDir val="col"/>
        <c:grouping val="clustered"/>
        <c:varyColors val="0"/>
        <c:ser>
          <c:idx val="2"/>
          <c:order val="1"/>
          <c:tx>
            <c:strRef>
              <c:f>'2016, BEV'!$AL$4</c:f>
              <c:strCache>
                <c:ptCount val="1"/>
                <c:pt idx="0">
                  <c:v>BEV market share</c:v>
                </c:pt>
              </c:strCache>
            </c:strRef>
          </c:tx>
          <c:spPr>
            <a:solidFill>
              <a:schemeClr val="accent1"/>
            </a:solidFill>
            <a:ln>
              <a:solidFill>
                <a:schemeClr val="accent1"/>
              </a:solidFill>
            </a:ln>
            <a:effectLst/>
          </c:spPr>
          <c:invertIfNegative val="0"/>
          <c:cat>
            <c:strRef>
              <c:f>'2016, BEV'!$A$5:$A$20</c:f>
              <c:strCache>
                <c:ptCount val="16"/>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strCache>
            </c:strRef>
          </c:cat>
          <c:val>
            <c:numRef>
              <c:f>'2016, BEV'!$AL$5:$AL$21</c:f>
              <c:numCache>
                <c:formatCode>0.00%</c:formatCode>
                <c:ptCount val="17"/>
                <c:pt idx="0">
                  <c:v>9.1803532959931072E-3</c:v>
                </c:pt>
                <c:pt idx="1">
                  <c:v>1.244349885265479E-2</c:v>
                </c:pt>
                <c:pt idx="2">
                  <c:v>4.5109704091201627E-3</c:v>
                </c:pt>
                <c:pt idx="3">
                  <c:v>1.1573515310908479E-2</c:v>
                </c:pt>
                <c:pt idx="4">
                  <c:v>0.16176917653603098</c:v>
                </c:pt>
                <c:pt idx="5">
                  <c:v>2.001480086114101E-3</c:v>
                </c:pt>
                <c:pt idx="6">
                  <c:v>1.1296318566117841E-2</c:v>
                </c:pt>
                <c:pt idx="7">
                  <c:v>1.347425064895044E-2</c:v>
                </c:pt>
                <c:pt idx="8">
                  <c:v>9.5778340021164705E-3</c:v>
                </c:pt>
                <c:pt idx="9">
                  <c:v>6.1598510509432696E-3</c:v>
                </c:pt>
                <c:pt idx="10">
                  <c:v>4.5410819637491913E-3</c:v>
                </c:pt>
                <c:pt idx="11">
                  <c:v>1.234511717090812E-2</c:v>
                </c:pt>
                <c:pt idx="12">
                  <c:v>1.1538400545520862E-2</c:v>
                </c:pt>
                <c:pt idx="13">
                  <c:v>1.3370865587614356E-2</c:v>
                </c:pt>
                <c:pt idx="14">
                  <c:v>4.0103614457831322E-3</c:v>
                </c:pt>
                <c:pt idx="15">
                  <c:v>4.3052866716306775E-3</c:v>
                </c:pt>
                <c:pt idx="16">
                  <c:v>2.6570841889117045E-3</c:v>
                </c:pt>
              </c:numCache>
            </c:numRef>
          </c:val>
          <c:extLst>
            <c:ext xmlns:c16="http://schemas.microsoft.com/office/drawing/2014/chart" uri="{C3380CC4-5D6E-409C-BE32-E72D297353CC}">
              <c16:uniqueId val="{00000001-ECC3-4F09-BD81-87CAF398605C}"/>
            </c:ext>
          </c:extLst>
        </c:ser>
        <c:dLbls>
          <c:showLegendKey val="0"/>
          <c:showVal val="0"/>
          <c:showCatName val="0"/>
          <c:showSerName val="0"/>
          <c:showPercent val="0"/>
          <c:showBubbleSize val="0"/>
        </c:dLbls>
        <c:gapWidth val="250"/>
        <c:overlap val="-27"/>
        <c:axId val="902746048"/>
        <c:axId val="902747032"/>
      </c:barChart>
      <c:catAx>
        <c:axId val="564809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564805736"/>
        <c:crosses val="autoZero"/>
        <c:auto val="1"/>
        <c:lblAlgn val="ctr"/>
        <c:lblOffset val="100"/>
        <c:noMultiLvlLbl val="0"/>
      </c:catAx>
      <c:valAx>
        <c:axId val="564805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Government grant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564809016"/>
        <c:crosses val="autoZero"/>
        <c:crossBetween val="between"/>
      </c:valAx>
      <c:valAx>
        <c:axId val="902747032"/>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BEV market share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902746048"/>
        <c:crosses val="max"/>
        <c:crossBetween val="between"/>
      </c:valAx>
      <c:catAx>
        <c:axId val="902746048"/>
        <c:scaling>
          <c:orientation val="minMax"/>
        </c:scaling>
        <c:delete val="1"/>
        <c:axPos val="b"/>
        <c:numFmt formatCode="General" sourceLinked="1"/>
        <c:majorTickMark val="out"/>
        <c:minorTickMark val="none"/>
        <c:tickLblPos val="nextTo"/>
        <c:crossAx val="9027470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r>
              <a:rPr lang="de-DE" sz="1100">
                <a:solidFill>
                  <a:sysClr val="windowText" lastClr="000000"/>
                </a:solidFill>
              </a:rPr>
              <a:t>Breakdown of tax incentives</a:t>
            </a:r>
            <a:endParaRPr lang="ru-RU" sz="1100">
              <a:solidFill>
                <a:sysClr val="windowText" lastClr="000000"/>
              </a:solidFill>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endParaRPr lang="de-DE"/>
        </a:p>
      </c:txPr>
    </c:title>
    <c:autoTitleDeleted val="0"/>
    <c:plotArea>
      <c:layout/>
      <c:barChart>
        <c:barDir val="col"/>
        <c:grouping val="clustered"/>
        <c:varyColors val="0"/>
        <c:ser>
          <c:idx val="0"/>
          <c:order val="0"/>
          <c:tx>
            <c:strRef>
              <c:f>Лист3!$B$23</c:f>
              <c:strCache>
                <c:ptCount val="1"/>
                <c:pt idx="0">
                  <c:v>Reduction (annual tax)</c:v>
                </c:pt>
              </c:strCache>
            </c:strRef>
          </c:tx>
          <c:spPr>
            <a:solidFill>
              <a:schemeClr val="accent1"/>
            </a:solidFill>
            <a:ln>
              <a:noFill/>
            </a:ln>
            <a:effectLst/>
          </c:spPr>
          <c:invertIfNegative val="0"/>
          <c:cat>
            <c:strRef>
              <c:f>Лист3!$A$24:$A$40</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pt idx="16">
                  <c:v>Canada</c:v>
                </c:pt>
              </c:strCache>
            </c:strRef>
          </c:cat>
          <c:val>
            <c:numRef>
              <c:f>Лист3!$B$24:$B$40</c:f>
              <c:numCache>
                <c:formatCode>General</c:formatCode>
                <c:ptCount val="17"/>
                <c:pt idx="0">
                  <c:v>1</c:v>
                </c:pt>
                <c:pt idx="1">
                  <c:v>0</c:v>
                </c:pt>
                <c:pt idx="2">
                  <c:v>1</c:v>
                </c:pt>
                <c:pt idx="3">
                  <c:v>0</c:v>
                </c:pt>
                <c:pt idx="4">
                  <c:v>0.84999999999999987</c:v>
                </c:pt>
                <c:pt idx="5">
                  <c:v>0.78</c:v>
                </c:pt>
                <c:pt idx="6">
                  <c:v>1</c:v>
                </c:pt>
                <c:pt idx="7">
                  <c:v>1</c:v>
                </c:pt>
                <c:pt idx="8">
                  <c:v>1</c:v>
                </c:pt>
                <c:pt idx="9">
                  <c:v>0</c:v>
                </c:pt>
                <c:pt idx="10">
                  <c:v>0.96000000000000041</c:v>
                </c:pt>
                <c:pt idx="11">
                  <c:v>1</c:v>
                </c:pt>
                <c:pt idx="12">
                  <c:v>0</c:v>
                </c:pt>
                <c:pt idx="13">
                  <c:v>1</c:v>
                </c:pt>
                <c:pt idx="14">
                  <c:v>0.5</c:v>
                </c:pt>
                <c:pt idx="15">
                  <c:v>1</c:v>
                </c:pt>
                <c:pt idx="16">
                  <c:v>0</c:v>
                </c:pt>
              </c:numCache>
            </c:numRef>
          </c:val>
          <c:extLst>
            <c:ext xmlns:c16="http://schemas.microsoft.com/office/drawing/2014/chart" uri="{C3380CC4-5D6E-409C-BE32-E72D297353CC}">
              <c16:uniqueId val="{00000000-84C8-478F-9535-24F656E482BB}"/>
            </c:ext>
          </c:extLst>
        </c:ser>
        <c:ser>
          <c:idx val="1"/>
          <c:order val="1"/>
          <c:tx>
            <c:strRef>
              <c:f>Лист3!$C$23</c:f>
              <c:strCache>
                <c:ptCount val="1"/>
                <c:pt idx="0">
                  <c:v>Reduction (purchase tax)</c:v>
                </c:pt>
              </c:strCache>
            </c:strRef>
          </c:tx>
          <c:spPr>
            <a:solidFill>
              <a:schemeClr val="accent2"/>
            </a:solidFill>
            <a:ln>
              <a:noFill/>
            </a:ln>
            <a:effectLst/>
          </c:spPr>
          <c:invertIfNegative val="0"/>
          <c:cat>
            <c:strRef>
              <c:f>Лист3!$A$24:$A$40</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pt idx="16">
                  <c:v>Canada</c:v>
                </c:pt>
              </c:strCache>
            </c:strRef>
          </c:cat>
          <c:val>
            <c:numRef>
              <c:f>Лист3!$C$24:$C$40</c:f>
              <c:numCache>
                <c:formatCode>General</c:formatCode>
                <c:ptCount val="17"/>
                <c:pt idx="0">
                  <c:v>1</c:v>
                </c:pt>
                <c:pt idx="1">
                  <c:v>0</c:v>
                </c:pt>
                <c:pt idx="2">
                  <c:v>0</c:v>
                </c:pt>
                <c:pt idx="3">
                  <c:v>0</c:v>
                </c:pt>
                <c:pt idx="4">
                  <c:v>1</c:v>
                </c:pt>
                <c:pt idx="5">
                  <c:v>0.93</c:v>
                </c:pt>
                <c:pt idx="6">
                  <c:v>1</c:v>
                </c:pt>
                <c:pt idx="7">
                  <c:v>1</c:v>
                </c:pt>
                <c:pt idx="8">
                  <c:v>0</c:v>
                </c:pt>
                <c:pt idx="9">
                  <c:v>0.73</c:v>
                </c:pt>
                <c:pt idx="10">
                  <c:v>1</c:v>
                </c:pt>
                <c:pt idx="11">
                  <c:v>1</c:v>
                </c:pt>
                <c:pt idx="12">
                  <c:v>0</c:v>
                </c:pt>
                <c:pt idx="13">
                  <c:v>1</c:v>
                </c:pt>
                <c:pt idx="14">
                  <c:v>1</c:v>
                </c:pt>
                <c:pt idx="15">
                  <c:v>1</c:v>
                </c:pt>
                <c:pt idx="16">
                  <c:v>0</c:v>
                </c:pt>
              </c:numCache>
            </c:numRef>
          </c:val>
          <c:extLst>
            <c:ext xmlns:c16="http://schemas.microsoft.com/office/drawing/2014/chart" uri="{C3380CC4-5D6E-409C-BE32-E72D297353CC}">
              <c16:uniqueId val="{00000001-84C8-478F-9535-24F656E482BB}"/>
            </c:ext>
          </c:extLst>
        </c:ser>
        <c:ser>
          <c:idx val="2"/>
          <c:order val="2"/>
          <c:tx>
            <c:strRef>
              <c:f>Лист3!$D$23</c:f>
              <c:strCache>
                <c:ptCount val="1"/>
                <c:pt idx="0">
                  <c:v>Reduction (company car tax)</c:v>
                </c:pt>
              </c:strCache>
            </c:strRef>
          </c:tx>
          <c:spPr>
            <a:solidFill>
              <a:schemeClr val="accent3"/>
            </a:solidFill>
            <a:ln>
              <a:noFill/>
            </a:ln>
            <a:effectLst/>
          </c:spPr>
          <c:invertIfNegative val="0"/>
          <c:cat>
            <c:strRef>
              <c:f>Лист3!$A$24:$A$40</c:f>
              <c:strCache>
                <c:ptCount val="17"/>
                <c:pt idx="0">
                  <c:v>China</c:v>
                </c:pt>
                <c:pt idx="1">
                  <c:v>United States</c:v>
                </c:pt>
                <c:pt idx="2">
                  <c:v>Germany</c:v>
                </c:pt>
                <c:pt idx="3">
                  <c:v>United Kingdom</c:v>
                </c:pt>
                <c:pt idx="4">
                  <c:v>Norway</c:v>
                </c:pt>
                <c:pt idx="5">
                  <c:v>Finland</c:v>
                </c:pt>
                <c:pt idx="6">
                  <c:v>Netherlands</c:v>
                </c:pt>
                <c:pt idx="7">
                  <c:v>France</c:v>
                </c:pt>
                <c:pt idx="8">
                  <c:v>Sweden</c:v>
                </c:pt>
                <c:pt idx="9">
                  <c:v>Denmark</c:v>
                </c:pt>
                <c:pt idx="10">
                  <c:v>Belgium</c:v>
                </c:pt>
                <c:pt idx="11">
                  <c:v>Austria</c:v>
                </c:pt>
                <c:pt idx="12">
                  <c:v>Switzerland</c:v>
                </c:pt>
                <c:pt idx="13">
                  <c:v>Iceland</c:v>
                </c:pt>
                <c:pt idx="14">
                  <c:v>Japan</c:v>
                </c:pt>
                <c:pt idx="15">
                  <c:v>South Korea</c:v>
                </c:pt>
                <c:pt idx="16">
                  <c:v>Canada</c:v>
                </c:pt>
              </c:strCache>
            </c:strRef>
          </c:cat>
          <c:val>
            <c:numRef>
              <c:f>Лист3!$D$24:$D$40</c:f>
              <c:numCache>
                <c:formatCode>General</c:formatCode>
                <c:ptCount val="17"/>
                <c:pt idx="0">
                  <c:v>0</c:v>
                </c:pt>
                <c:pt idx="1">
                  <c:v>0</c:v>
                </c:pt>
                <c:pt idx="2">
                  <c:v>0</c:v>
                </c:pt>
                <c:pt idx="3">
                  <c:v>0.6100000000000001</c:v>
                </c:pt>
                <c:pt idx="4">
                  <c:v>0.5</c:v>
                </c:pt>
                <c:pt idx="5">
                  <c:v>0</c:v>
                </c:pt>
                <c:pt idx="6">
                  <c:v>0.84</c:v>
                </c:pt>
                <c:pt idx="7">
                  <c:v>1</c:v>
                </c:pt>
                <c:pt idx="8">
                  <c:v>0.59999999999999987</c:v>
                </c:pt>
                <c:pt idx="9">
                  <c:v>0</c:v>
                </c:pt>
                <c:pt idx="10">
                  <c:v>0.42999999999999994</c:v>
                </c:pt>
                <c:pt idx="11">
                  <c:v>1</c:v>
                </c:pt>
                <c:pt idx="12">
                  <c:v>0</c:v>
                </c:pt>
                <c:pt idx="13">
                  <c:v>0</c:v>
                </c:pt>
                <c:pt idx="14">
                  <c:v>0</c:v>
                </c:pt>
                <c:pt idx="15">
                  <c:v>0</c:v>
                </c:pt>
                <c:pt idx="16">
                  <c:v>0</c:v>
                </c:pt>
              </c:numCache>
            </c:numRef>
          </c:val>
          <c:extLst>
            <c:ext xmlns:c16="http://schemas.microsoft.com/office/drawing/2014/chart" uri="{C3380CC4-5D6E-409C-BE32-E72D297353CC}">
              <c16:uniqueId val="{00000002-84C8-478F-9535-24F656E482BB}"/>
            </c:ext>
          </c:extLst>
        </c:ser>
        <c:dLbls>
          <c:showLegendKey val="0"/>
          <c:showVal val="0"/>
          <c:showCatName val="0"/>
          <c:showSerName val="0"/>
          <c:showPercent val="0"/>
          <c:showBubbleSize val="0"/>
        </c:dLbls>
        <c:gapWidth val="219"/>
        <c:overlap val="-27"/>
        <c:axId val="566535952"/>
        <c:axId val="566538576"/>
      </c:barChart>
      <c:catAx>
        <c:axId val="56653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566538576"/>
        <c:crosses val="autoZero"/>
        <c:auto val="1"/>
        <c:lblAlgn val="ctr"/>
        <c:lblOffset val="100"/>
        <c:noMultiLvlLbl val="0"/>
      </c:catAx>
      <c:valAx>
        <c:axId val="5665385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Tax reduction</a:t>
                </a:r>
              </a:p>
            </c:rich>
          </c:tx>
          <c:layout>
            <c:manualLayout>
              <c:xMode val="edge"/>
              <c:yMode val="edge"/>
              <c:x val="2.7562014532698572E-2"/>
              <c:y val="0.164055023923444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de-DE"/>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566535952"/>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Festo Colors">
      <a:dk1>
        <a:srgbClr val="000000"/>
      </a:dk1>
      <a:lt1>
        <a:srgbClr val="FFFFFF"/>
      </a:lt1>
      <a:dk2>
        <a:srgbClr val="000000"/>
      </a:dk2>
      <a:lt2>
        <a:srgbClr val="FFFFFF"/>
      </a:lt2>
      <a:accent1>
        <a:srgbClr val="DCEBF6"/>
      </a:accent1>
      <a:accent2>
        <a:srgbClr val="CACCCC"/>
      </a:accent2>
      <a:accent3>
        <a:srgbClr val="969A9A"/>
      </a:accent3>
      <a:accent4>
        <a:srgbClr val="626666"/>
      </a:accent4>
      <a:accent5>
        <a:srgbClr val="000000"/>
      </a:accent5>
      <a:accent6>
        <a:srgbClr val="0091DC"/>
      </a:accent6>
      <a:hlink>
        <a:srgbClr val="000000"/>
      </a:hlink>
      <a:folHlink>
        <a:srgbClr val="969A9A"/>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Word Template" ma:contentTypeID="0x01010400F60FBF8EEE9F2944AF4D7B5735A2C0CE00D21793E498D69B4A962E478551E7FCFD" ma:contentTypeVersion="6" ma:contentTypeDescription="" ma:contentTypeScope="" ma:versionID="999e94308a697b7e9651e7f50f014d79">
  <xsd:schema xmlns:xsd="http://www.w3.org/2001/XMLSchema" xmlns:p="http://schemas.microsoft.com/office/2006/metadata/properties" xmlns:ns2="cbb4da65-9c33-4121-9603-7bd607177bd1" targetNamespace="http://schemas.microsoft.com/office/2006/metadata/properties" ma:root="true" ma:fieldsID="7fbd1a1555bf076ea3018dbefd657b1e" ns2:_="">
    <xsd:import namespace="cbb4da65-9c33-4121-9603-7bd607177bd1"/>
    <xsd:element name="properties">
      <xsd:complexType>
        <xsd:sequence>
          <xsd:element name="documentManagement">
            <xsd:complexType>
              <xsd:all>
                <xsd:element ref="ns2:Language" minOccurs="0"/>
              </xsd:all>
            </xsd:complexType>
          </xsd:element>
        </xsd:sequence>
      </xsd:complexType>
    </xsd:element>
  </xsd:schema>
  <xsd:schema xmlns:xsd="http://www.w3.org/2001/XMLSchema" xmlns:dms="http://schemas.microsoft.com/office/2006/documentManagement/types" targetNamespace="cbb4da65-9c33-4121-9603-7bd607177bd1" elementFormDefault="qualified">
    <xsd:import namespace="http://schemas.microsoft.com/office/2006/documentManagement/types"/>
    <xsd:element name="Language" ma:index="8" nillable="true" ma:displayName="Language" ma:format="Dropdown" ma:internalName="Language">
      <xsd:simpleType>
        <xsd:restriction base="dms:Choice">
          <xsd:enumeration value="english"/>
          <xsd:enumeration value="germa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Language xmlns="cbb4da65-9c33-4121-9603-7bd607177bd1">german</Languag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Aoi13</b:Tag>
    <b:SourceType>JournalArticle</b:SourceType>
    <b:Guid>{A08AFD8E-8878-4AF1-A22F-D68F703BFD79}</b:Guid>
    <b:Title>Impacts of Electric Vehicle charging under electricity market operations</b:Title>
    <b:Year>2013</b:Year>
    <b:LCID>en-US</b:LCID>
    <b:Author>
      <b:Author>
        <b:Corporate>Aoife Foley, Barry Tyther, Patrick Calnan, Brian Ó Gallachóir</b:Corporate>
      </b:Author>
    </b:Author>
    <b:JournalName>Applied Energy</b:JournalName>
    <b:Pages>93-102</b:Pages>
    <b:RefOrder>8</b:RefOrder>
  </b:Source>
  <b:Source>
    <b:Tag>Yin16</b:Tag>
    <b:SourceType>JournalArticle</b:SourceType>
    <b:Guid>{F95B8DD8-1B65-410E-B1BF-D97A6B1C1B03}</b:Guid>
    <b:Author>
      <b:Author>
        <b:Corporate>Ying Li, Chris Davis, Zofia Lukszo, Margot Weijnen</b:Corporate>
      </b:Author>
    </b:Author>
    <b:Title>Electric vehicle charging in China’s power system: Energy, economic</b:Title>
    <b:JournalName>Applied Energy</b:JournalName>
    <b:Year>2016</b:Year>
    <b:Pages>535-554</b:Pages>
    <b:RefOrder>1</b:RefOrder>
  </b:Source>
  <b:Source>
    <b:Tag>CES12</b:Tag>
    <b:SourceType>JournalArticle</b:SourceType>
    <b:Guid>{A3D9F958-1067-45F0-B457-C660F4BA0139}</b:Guid>
    <b:Author>
      <b:Author>
        <b:NameList>
          <b:Person>
            <b:Last>Thomas</b:Last>
            <b:First>C.E.</b:First>
            <b:Middle>Sandy</b:Middle>
          </b:Person>
        </b:NameList>
      </b:Author>
    </b:Author>
    <b:Title>“How green are electric vehicles?”</b:Title>
    <b:JournalName>International journal of hydrogen energy</b:JournalName>
    <b:Year>2012</b:Year>
    <b:Pages>6053-6062</b:Pages>
    <b:RefOrder>3</b:RefOrder>
  </b:Source>
  <b:Source>
    <b:Tag>Ree11</b:Tag>
    <b:SourceType>JournalArticle</b:SourceType>
    <b:Guid>{27EBC08D-D2C2-4E84-A35D-745E49A51FC8}</b:Guid>
    <b:Author>
      <b:Author>
        <b:Corporate>Reed T. Doucette, Malcolm D. McCulloch</b:Corporate>
      </b:Author>
    </b:Author>
    <b:Title>Modeling the CO2 emissions from battery electric vehicles given the power generation mixes of different countries</b:Title>
    <b:JournalName>Energy Policy</b:JournalName>
    <b:Year>2011</b:Year>
    <b:Pages>803-811</b:Pages>
    <b:RefOrder>2</b:RefOrder>
  </b:Source>
  <b:Source>
    <b:Tag>Kar14</b:Tag>
    <b:SourceType>JournalArticle</b:SourceType>
    <b:Guid>{ED39CD2E-38BF-46A7-BA1F-8E1B2CEA02CF}</b:Guid>
    <b:Author>
      <b:Author>
        <b:Corporate>Karsten Kieckhäfer, Thomas Volling, Thomas Stefan Spengler</b:Corporate>
      </b:Author>
    </b:Author>
    <b:Title>A hybrid simulation approach for estimating the market share evolution of electric vehicles.</b:Title>
    <b:JournalName>Transportation Science</b:JournalName>
    <b:Year>2014</b:Year>
    <b:Pages>657-670</b:Pages>
    <b:Volume>48</b:Volume>
    <b:Issue>4</b:Issue>
    <b:RefOrder>7</b:RefOrder>
  </b:Source>
  <b:Source>
    <b:Tag>Pet09</b:Tag>
    <b:SourceType>JournalArticle</b:SourceType>
    <b:Guid>{4CBE000F-7DF3-466B-97DC-A070D1EC234A}</b:Guid>
    <b:Author>
      <b:Author>
        <b:Corporate>Peter Mock, Dirk Hülsebusch, Jörg Ungethüm, Stephan A. Schmid</b:Corporate>
      </b:Author>
    </b:Author>
    <b:Title>Electric vehicles - A model based assessment of future market prospects and environmental impacts</b:Title>
    <b:JournalName>World electric vehicle journal</b:JournalName>
    <b:Year>2009</b:Year>
    <b:Pages>172-185</b:Pages>
    <b:RefOrder>5</b:RefOrder>
  </b:Source>
  <b:Source>
    <b:Tag>Lin17</b:Tag>
    <b:SourceType>JournalArticle</b:SourceType>
    <b:Guid>{C54AF15C-500E-402E-9349-9352560B50D3}</b:Guid>
    <b:Author>
      <b:Author>
        <b:Corporate>Liu, Changzheng &amp; Lin, Zhenhong</b:Corporate>
      </b:Author>
    </b:Author>
    <b:Title>How uncertain is the future of electric vehicle market: Results from Monte Carlo simulations using a nested logit model</b:Title>
    <b:JournalName>International journal of sustainable transportation</b:JournalName>
    <b:Year>2017</b:Year>
    <b:Pages>237-247</b:Pages>
    <b:Volume>11</b:Volume>
    <b:Issue>4</b:Issue>
    <b:URL>http://dx.doi.org/10.1080/15568318.2016.1248583</b:URL>
    <b:RefOrder>6</b:RefOrder>
  </b:Source>
  <b:Source>
    <b:Tag>Grö15</b:Tag>
    <b:SourceType>JournalArticle</b:SourceType>
    <b:Guid>{1B204A0C-EC23-4E12-9E2C-399AF50054A7}</b:Guid>
    <b:Author>
      <b:Author>
        <b:Corporate>Gröger, Oliver, Gasteiger, Hubert A., and Suchsland, Jens-Peter</b:Corporate>
      </b:Author>
    </b:Author>
    <b:Title>Review—Electromobility: Batteries or Fuel Cells?</b:Title>
    <b:JournalName>Journal of The Electrochemical Society</b:JournalName>
    <b:Year>2015</b:Year>
    <b:Pages>A2605-A2622</b:Pages>
    <b:Volume>162</b:Volume>
    <b:Issue>14</b:Issue>
    <b:RefOrder>4</b:RefOrder>
  </b:Source>
</b:Sources>
</file>

<file path=customXml/itemProps1.xml><?xml version="1.0" encoding="utf-8"?>
<ds:datastoreItem xmlns:ds="http://schemas.openxmlformats.org/officeDocument/2006/customXml" ds:itemID="{C07D94AB-F239-4C5F-8F40-BD777FA1C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4da65-9c33-4121-9603-7bd607177bd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118B641-2990-4908-83B2-716A25177582}">
  <ds:schemaRefs>
    <ds:schemaRef ds:uri="http://schemas.microsoft.com/office/2006/metadata/properties"/>
    <ds:schemaRef ds:uri="cbb4da65-9c33-4121-9603-7bd607177bd1"/>
  </ds:schemaRefs>
</ds:datastoreItem>
</file>

<file path=customXml/itemProps3.xml><?xml version="1.0" encoding="utf-8"?>
<ds:datastoreItem xmlns:ds="http://schemas.openxmlformats.org/officeDocument/2006/customXml" ds:itemID="{7534DBE6-384A-47CA-9A5F-29FEB74DE19D}">
  <ds:schemaRefs>
    <ds:schemaRef ds:uri="http://schemas.microsoft.com/office/2006/metadata/customXsn"/>
  </ds:schemaRefs>
</ds:datastoreItem>
</file>

<file path=customXml/itemProps4.xml><?xml version="1.0" encoding="utf-8"?>
<ds:datastoreItem xmlns:ds="http://schemas.openxmlformats.org/officeDocument/2006/customXml" ds:itemID="{FFB02FF9-F424-4754-AD60-0B7511B925F1}">
  <ds:schemaRefs>
    <ds:schemaRef ds:uri="http://schemas.microsoft.com/sharepoint/v3/contenttype/forms"/>
  </ds:schemaRefs>
</ds:datastoreItem>
</file>

<file path=customXml/itemProps5.xml><?xml version="1.0" encoding="utf-8"?>
<ds:datastoreItem xmlns:ds="http://schemas.openxmlformats.org/officeDocument/2006/customXml" ds:itemID="{1D3A23DA-B484-4C6A-93A3-29E463AF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40930</Words>
  <Characters>257863</Characters>
  <Application>Microsoft Office Word</Application>
  <DocSecurity>0</DocSecurity>
  <Lines>2148</Lines>
  <Paragraphs>596</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298197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Rumiantceva, Alla</dc:creator>
  <cp:keywords>For internal use only</cp:keywords>
  <dc:description/>
  <cp:lastModifiedBy>Maria Kholopova</cp:lastModifiedBy>
  <cp:revision>31</cp:revision>
  <cp:lastPrinted>2018-06-13T23:02:00Z</cp:lastPrinted>
  <dcterms:created xsi:type="dcterms:W3CDTF">2019-01-12T22:13:00Z</dcterms:created>
  <dcterms:modified xsi:type="dcterms:W3CDTF">2019-02-24T09:18:00Z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71689a72-7a5d-36f5-b340-d73a1ff8548a</vt:lpwstr>
  </property>
  <property fmtid="{D5CDD505-2E9C-101B-9397-08002B2CF9AE}" pid="24" name="Mendeley Citation Style_1">
    <vt:lpwstr>http://www.zotero.org/styles/apa</vt:lpwstr>
  </property>
  <property fmtid="{D5CDD505-2E9C-101B-9397-08002B2CF9AE}" pid="25" name="TitusGUID">
    <vt:lpwstr>0da765ed-9dc5-4691-b922-445c94453181</vt:lpwstr>
  </property>
  <property fmtid="{D5CDD505-2E9C-101B-9397-08002B2CF9AE}" pid="26" name="db.comClassification">
    <vt:lpwstr>For internal use only</vt:lpwstr>
  </property>
  <property fmtid="{D5CDD505-2E9C-101B-9397-08002B2CF9AE}" pid="27" name="aliashDocumentMarking">
    <vt:lpwstr>For internal use only</vt:lpwstr>
  </property>
</Properties>
</file>