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AED14" w14:textId="77777777" w:rsidR="00F2614A" w:rsidRDefault="00F2614A" w:rsidP="00F2614A">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Variability, Standard Deviation and Bias</w:t>
      </w:r>
    </w:p>
    <w:p w14:paraId="6705DE8C" w14:textId="77777777" w:rsidR="00F2614A" w:rsidRDefault="00F2614A" w:rsidP="00F2614A">
      <w:pPr>
        <w:pStyle w:val="Heading3"/>
        <w:shd w:val="clear" w:color="auto" w:fill="FFFFFF"/>
        <w:spacing w:before="0" w:after="180"/>
        <w:rPr>
          <w:rFonts w:ascii="Source Sans Pro" w:hAnsi="Source Sans Pro" w:cs="Segoe UI"/>
          <w:b/>
          <w:bCs/>
          <w:color w:val="1F1F1F"/>
          <w:spacing w:val="-2"/>
        </w:rPr>
      </w:pPr>
      <w:r>
        <w:rPr>
          <w:rFonts w:ascii="Source Sans Pro" w:hAnsi="Source Sans Pro" w:cs="Segoe UI"/>
          <w:color w:val="1F1F1F"/>
          <w:spacing w:val="-2"/>
        </w:rPr>
        <w:t>Variability</w:t>
      </w:r>
    </w:p>
    <w:p w14:paraId="6737893B" w14:textId="77777777" w:rsidR="00F2614A" w:rsidRDefault="00F2614A" w:rsidP="00F2614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There is more variability if your data is distributed far from the mean, less if the data points are close to it!</w:t>
      </w:r>
    </w:p>
    <w:p w14:paraId="58989D9C" w14:textId="77777777" w:rsidR="00F2614A" w:rsidRDefault="00F2614A" w:rsidP="00F2614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You can indeed have the same mean but high, or low, variability! As you can see when you run the code below, the values for x and y are not the same, yet the red line representing their respective means, is the same!</w:t>
      </w:r>
    </w:p>
    <w:p w14:paraId="71E34934" w14:textId="77777777" w:rsidR="00F2614A" w:rsidRDefault="00F2614A" w:rsidP="00F2614A">
      <w:pPr>
        <w:keepNext/>
      </w:pPr>
      <w:r>
        <w:rPr>
          <w:noProof/>
        </w:rPr>
        <w:drawing>
          <wp:inline distT="0" distB="0" distL="0" distR="0" wp14:anchorId="11B98620" wp14:editId="155B2576">
            <wp:extent cx="5943600" cy="27400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377C406F" w14:textId="77777777" w:rsidR="00F2614A" w:rsidRDefault="00F2614A" w:rsidP="00F2614A">
      <w:pPr>
        <w:pStyle w:val="Caption"/>
      </w:pPr>
      <w:r>
        <w:t xml:space="preserve">Figure </w:t>
      </w:r>
      <w:r>
        <w:fldChar w:fldCharType="begin"/>
      </w:r>
      <w:r>
        <w:instrText xml:space="preserve"> SEQ Figure \* ARABIC </w:instrText>
      </w:r>
      <w:r>
        <w:fldChar w:fldCharType="separate"/>
      </w:r>
      <w:r>
        <w:rPr>
          <w:noProof/>
        </w:rPr>
        <w:t>13</w:t>
      </w:r>
      <w:r>
        <w:fldChar w:fldCharType="end"/>
      </w:r>
      <w:r>
        <w:t>: code for variability</w:t>
      </w:r>
    </w:p>
    <w:p w14:paraId="34C0B592" w14:textId="77777777" w:rsidR="00F2614A" w:rsidRDefault="00F2614A" w:rsidP="00F2614A">
      <w:pPr>
        <w:keepNext/>
      </w:pPr>
      <w:r>
        <w:rPr>
          <w:noProof/>
        </w:rPr>
        <w:lastRenderedPageBreak/>
        <w:drawing>
          <wp:inline distT="0" distB="0" distL="0" distR="0" wp14:anchorId="64B8DD4E" wp14:editId="230EF771">
            <wp:extent cx="5943600" cy="32816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6002744F" w14:textId="77777777" w:rsidR="00F2614A" w:rsidRDefault="00F2614A" w:rsidP="00F2614A">
      <w:pPr>
        <w:pStyle w:val="Caption"/>
      </w:pPr>
      <w:r>
        <w:t xml:space="preserve">Figure </w:t>
      </w:r>
      <w:r>
        <w:fldChar w:fldCharType="begin"/>
      </w:r>
      <w:r>
        <w:instrText xml:space="preserve"> SEQ Figure \* ARABIC </w:instrText>
      </w:r>
      <w:r>
        <w:fldChar w:fldCharType="separate"/>
      </w:r>
      <w:r>
        <w:rPr>
          <w:noProof/>
        </w:rPr>
        <w:t>14</w:t>
      </w:r>
      <w:r>
        <w:fldChar w:fldCharType="end"/>
      </w:r>
      <w:r>
        <w:t>: Output for variability problem</w:t>
      </w:r>
    </w:p>
    <w:p w14:paraId="5934E579" w14:textId="77777777" w:rsidR="00F2614A" w:rsidRDefault="00F2614A" w:rsidP="00F2614A"/>
    <w:p w14:paraId="5D542693" w14:textId="77777777" w:rsidR="00F2614A" w:rsidRPr="007178B0" w:rsidRDefault="00F2614A" w:rsidP="00F2614A">
      <w:pPr>
        <w:shd w:val="clear" w:color="auto" w:fill="FFFFFF"/>
        <w:spacing w:after="240" w:line="240" w:lineRule="auto"/>
        <w:rPr>
          <w:rFonts w:ascii="Source Sans Pro" w:eastAsia="Times New Roman" w:hAnsi="Source Sans Pro" w:cs="Times New Roman"/>
          <w:color w:val="1F1F1F"/>
          <w:sz w:val="24"/>
          <w:szCs w:val="24"/>
        </w:rPr>
      </w:pPr>
      <w:r w:rsidRPr="007178B0">
        <w:rPr>
          <w:rFonts w:ascii="Source Sans Pro" w:eastAsia="Times New Roman" w:hAnsi="Source Sans Pro" w:cs="Times New Roman"/>
          <w:color w:val="1F1F1F"/>
          <w:sz w:val="24"/>
          <w:szCs w:val="24"/>
        </w:rPr>
        <w:t xml:space="preserve">Remember this important idea: "the average of deviations is always zero as the sum of the deviations is always zero". And think about why that is. If you look at the above two charts, that may help you figure it out. Intuitively, if you are trying to measure the </w:t>
      </w:r>
      <w:r w:rsidRPr="007178B0">
        <w:rPr>
          <w:rFonts w:ascii="Source Sans Pro" w:eastAsia="Times New Roman" w:hAnsi="Source Sans Pro" w:cs="Times New Roman"/>
          <w:i/>
          <w:iCs/>
          <w:color w:val="1F1F1F"/>
          <w:sz w:val="24"/>
          <w:szCs w:val="24"/>
        </w:rPr>
        <w:t xml:space="preserve">variability </w:t>
      </w:r>
      <w:r w:rsidRPr="007178B0">
        <w:rPr>
          <w:rFonts w:ascii="Source Sans Pro" w:eastAsia="Times New Roman" w:hAnsi="Source Sans Pro" w:cs="Times New Roman"/>
          <w:color w:val="1F1F1F"/>
          <w:sz w:val="24"/>
          <w:szCs w:val="24"/>
        </w:rPr>
        <w:t xml:space="preserve">of your data around the mean, then by adding all these numbers you will necessarily find zero! (Simply because the mean is, you could say, the middle of all these deviations, where they cancel each other out). </w:t>
      </w:r>
    </w:p>
    <w:p w14:paraId="0058CA85" w14:textId="77777777" w:rsidR="00F2614A" w:rsidRPr="007178B0" w:rsidRDefault="00F2614A" w:rsidP="00F2614A">
      <w:pPr>
        <w:shd w:val="clear" w:color="auto" w:fill="FFFFFF"/>
        <w:spacing w:after="240" w:line="240" w:lineRule="auto"/>
        <w:rPr>
          <w:rFonts w:ascii="Source Sans Pro" w:eastAsia="Times New Roman" w:hAnsi="Source Sans Pro" w:cs="Times New Roman"/>
          <w:color w:val="1F1F1F"/>
          <w:sz w:val="24"/>
          <w:szCs w:val="24"/>
        </w:rPr>
      </w:pPr>
      <w:r w:rsidRPr="007178B0">
        <w:rPr>
          <w:rFonts w:ascii="Source Sans Pro" w:eastAsia="Times New Roman" w:hAnsi="Source Sans Pro" w:cs="Times New Roman"/>
          <w:color w:val="1F1F1F"/>
          <w:sz w:val="24"/>
          <w:szCs w:val="24"/>
        </w:rPr>
        <w:t>We then use the square of the values to obtain more information: when you square a number, it always becomes positive! The cancellation of all deviations has been avoided. Now our deviations can tell us more about our data, and we can go on calculating the variance:</w:t>
      </w:r>
    </w:p>
    <w:p w14:paraId="695E001E" w14:textId="77777777" w:rsidR="00F2614A" w:rsidRDefault="00F2614A" w:rsidP="00F2614A">
      <w:r>
        <w:rPr>
          <w:noProof/>
        </w:rPr>
        <w:drawing>
          <wp:inline distT="0" distB="0" distL="0" distR="0" wp14:anchorId="1037786E" wp14:editId="3B13C74A">
            <wp:extent cx="1341236" cy="5791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extLst>
                        <a:ext uri="{28A0092B-C50C-407E-A947-70E740481C1C}">
                          <a14:useLocalDpi xmlns:a14="http://schemas.microsoft.com/office/drawing/2010/main" val="0"/>
                        </a:ext>
                      </a:extLst>
                    </a:blip>
                    <a:stretch>
                      <a:fillRect/>
                    </a:stretch>
                  </pic:blipFill>
                  <pic:spPr>
                    <a:xfrm>
                      <a:off x="0" y="0"/>
                      <a:ext cx="1341236" cy="579170"/>
                    </a:xfrm>
                    <a:prstGeom prst="rect">
                      <a:avLst/>
                    </a:prstGeom>
                  </pic:spPr>
                </pic:pic>
              </a:graphicData>
            </a:graphic>
          </wp:inline>
        </w:drawing>
      </w:r>
    </w:p>
    <w:p w14:paraId="56377AC1" w14:textId="77777777" w:rsidR="00F2614A" w:rsidRDefault="00F2614A" w:rsidP="00F2614A">
      <w:pPr>
        <w:rPr>
          <w:rFonts w:ascii="Source Sans Pro" w:hAnsi="Source Sans Pro"/>
          <w:color w:val="1F1F1F"/>
          <w:shd w:val="clear" w:color="auto" w:fill="FFFFFF"/>
        </w:rPr>
      </w:pPr>
      <w:r>
        <w:rPr>
          <w:rFonts w:ascii="Source Sans Pro" w:hAnsi="Source Sans Pro"/>
          <w:color w:val="1F1F1F"/>
          <w:shd w:val="clear" w:color="auto" w:fill="FFFFFF"/>
        </w:rPr>
        <w:t>When we are done with our calculation, and have computed the standard deviation, it is as if we had reached full circle, as we are now taking the square root in our equation, after having squared everything in the first place:</w:t>
      </w:r>
    </w:p>
    <w:p w14:paraId="296D3002" w14:textId="77777777" w:rsidR="00F2614A" w:rsidRDefault="00F2614A" w:rsidP="00F2614A">
      <w:r>
        <w:rPr>
          <w:noProof/>
        </w:rPr>
        <w:drawing>
          <wp:inline distT="0" distB="0" distL="0" distR="0" wp14:anchorId="00D1259F" wp14:editId="729D0007">
            <wp:extent cx="1425063" cy="586791"/>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extLst>
                        <a:ext uri="{28A0092B-C50C-407E-A947-70E740481C1C}">
                          <a14:useLocalDpi xmlns:a14="http://schemas.microsoft.com/office/drawing/2010/main" val="0"/>
                        </a:ext>
                      </a:extLst>
                    </a:blip>
                    <a:stretch>
                      <a:fillRect/>
                    </a:stretch>
                  </pic:blipFill>
                  <pic:spPr>
                    <a:xfrm>
                      <a:off x="0" y="0"/>
                      <a:ext cx="1425063" cy="586791"/>
                    </a:xfrm>
                    <a:prstGeom prst="rect">
                      <a:avLst/>
                    </a:prstGeom>
                  </pic:spPr>
                </pic:pic>
              </a:graphicData>
            </a:graphic>
          </wp:inline>
        </w:drawing>
      </w:r>
    </w:p>
    <w:p w14:paraId="5CD773CC" w14:textId="77777777" w:rsidR="00F2614A" w:rsidRDefault="00F2614A" w:rsidP="00F2614A">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lastRenderedPageBreak/>
        <w:t>Don't mix up the letters!</w:t>
      </w:r>
    </w:p>
    <w:p w14:paraId="5082465B" w14:textId="77777777" w:rsidR="00F2614A" w:rsidRDefault="00F2614A" w:rsidP="00F2614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As before:</w:t>
      </w:r>
    </w:p>
    <w:p w14:paraId="30D1E474" w14:textId="77777777" w:rsidR="00F2614A" w:rsidRDefault="00F2614A" w:rsidP="00F2614A">
      <w:pPr>
        <w:pStyle w:val="NormalWeb"/>
        <w:numPr>
          <w:ilvl w:val="0"/>
          <w:numId w:val="1"/>
        </w:numPr>
        <w:shd w:val="clear" w:color="auto" w:fill="FFFFFF"/>
        <w:spacing w:before="0" w:beforeAutospacing="0" w:after="0" w:afterAutospacing="0"/>
        <w:ind w:left="0"/>
        <w:rPr>
          <w:rFonts w:ascii="Source Sans Pro" w:hAnsi="Source Sans Pro"/>
          <w:color w:val="1F1F1F"/>
        </w:rPr>
      </w:pPr>
      <w:r>
        <w:rPr>
          <w:rFonts w:ascii="Source Sans Pro" w:hAnsi="Source Sans Pro"/>
          <w:color w:val="1F1F1F"/>
        </w:rPr>
        <w:t xml:space="preserve">when we talk about the </w:t>
      </w:r>
      <w:r>
        <w:rPr>
          <w:rStyle w:val="Strong"/>
          <w:rFonts w:ascii="unset" w:hAnsi="unset"/>
          <w:color w:val="1F1F1F"/>
        </w:rPr>
        <w:t>population</w:t>
      </w:r>
      <w:r>
        <w:rPr>
          <w:rFonts w:ascii="Source Sans Pro" w:hAnsi="Source Sans Pro"/>
          <w:color w:val="1F1F1F"/>
        </w:rPr>
        <w:t xml:space="preserve">, the variance will be denoted by the Greek letter </w:t>
      </w:r>
      <w:r>
        <w:rPr>
          <w:rStyle w:val="mi"/>
          <w:rFonts w:ascii="MathJax_Math" w:hAnsi="MathJax_Math"/>
          <w:i/>
          <w:iCs/>
          <w:color w:val="1F1F1F"/>
          <w:sz w:val="29"/>
          <w:szCs w:val="29"/>
          <w:bdr w:val="none" w:sz="0" w:space="0" w:color="auto" w:frame="1"/>
        </w:rPr>
        <w:t>σ^</w:t>
      </w:r>
      <w:r>
        <w:rPr>
          <w:rStyle w:val="mn"/>
          <w:rFonts w:ascii="MathJax_Main" w:hAnsi="MathJax_Main"/>
          <w:color w:val="1F1F1F"/>
          <w:sz w:val="20"/>
          <w:szCs w:val="20"/>
          <w:bdr w:val="none" w:sz="0" w:space="0" w:color="auto" w:frame="1"/>
        </w:rPr>
        <w:t>2</w:t>
      </w:r>
      <w:r>
        <w:rPr>
          <w:rFonts w:ascii="Source Sans Pro" w:hAnsi="Source Sans Pro"/>
          <w:color w:val="1F1F1F"/>
        </w:rPr>
        <w:t xml:space="preserve">, and we divide by </w:t>
      </w:r>
      <w:r>
        <w:rPr>
          <w:rStyle w:val="mi"/>
          <w:rFonts w:ascii="MathJax_Math" w:hAnsi="MathJax_Math"/>
          <w:i/>
          <w:iCs/>
          <w:color w:val="1F1F1F"/>
          <w:sz w:val="29"/>
          <w:szCs w:val="29"/>
          <w:bdr w:val="none" w:sz="0" w:space="0" w:color="auto" w:frame="1"/>
        </w:rPr>
        <w:t>N</w:t>
      </w:r>
      <w:r>
        <w:rPr>
          <w:rFonts w:ascii="Source Sans Pro" w:hAnsi="Source Sans Pro"/>
          <w:color w:val="1F1F1F"/>
        </w:rPr>
        <w:t xml:space="preserve">; </w:t>
      </w:r>
    </w:p>
    <w:p w14:paraId="7F361658" w14:textId="77777777" w:rsidR="00F2614A" w:rsidRDefault="00F2614A" w:rsidP="00F2614A">
      <w:pPr>
        <w:pStyle w:val="NormalWeb"/>
        <w:numPr>
          <w:ilvl w:val="0"/>
          <w:numId w:val="1"/>
        </w:numPr>
        <w:shd w:val="clear" w:color="auto" w:fill="FFFFFF"/>
        <w:spacing w:before="0" w:beforeAutospacing="0" w:after="0" w:afterAutospacing="0"/>
        <w:ind w:left="0"/>
        <w:rPr>
          <w:rFonts w:ascii="Source Sans Pro" w:hAnsi="Source Sans Pro"/>
          <w:color w:val="1F1F1F"/>
        </w:rPr>
      </w:pPr>
      <w:r>
        <w:rPr>
          <w:rFonts w:ascii="Source Sans Pro" w:hAnsi="Source Sans Pro"/>
          <w:color w:val="1F1F1F"/>
        </w:rPr>
        <w:t xml:space="preserve">however, when we are dealing with a </w:t>
      </w:r>
      <w:r>
        <w:rPr>
          <w:rStyle w:val="Strong"/>
          <w:rFonts w:ascii="unset" w:hAnsi="unset"/>
          <w:color w:val="1F1F1F"/>
        </w:rPr>
        <w:t>sample</w:t>
      </w:r>
      <w:r>
        <w:rPr>
          <w:rFonts w:ascii="Source Sans Pro" w:hAnsi="Source Sans Pro"/>
          <w:color w:val="1F1F1F"/>
        </w:rPr>
        <w:t xml:space="preserve">, then we use the letter </w:t>
      </w:r>
      <w:r>
        <w:rPr>
          <w:rStyle w:val="mi"/>
          <w:rFonts w:ascii="MathJax_Math" w:hAnsi="MathJax_Math"/>
          <w:i/>
          <w:iCs/>
          <w:color w:val="1F1F1F"/>
          <w:sz w:val="29"/>
          <w:szCs w:val="29"/>
          <w:bdr w:val="none" w:sz="0" w:space="0" w:color="auto" w:frame="1"/>
        </w:rPr>
        <w:t>s^</w:t>
      </w:r>
      <w:r>
        <w:rPr>
          <w:rStyle w:val="mn"/>
          <w:rFonts w:ascii="MathJax_Main" w:hAnsi="MathJax_Main"/>
          <w:color w:val="1F1F1F"/>
          <w:sz w:val="20"/>
          <w:szCs w:val="20"/>
          <w:bdr w:val="none" w:sz="0" w:space="0" w:color="auto" w:frame="1"/>
        </w:rPr>
        <w:t>2</w:t>
      </w:r>
      <w:r>
        <w:rPr>
          <w:rFonts w:ascii="Source Sans Pro" w:hAnsi="Source Sans Pro"/>
          <w:color w:val="1F1F1F"/>
        </w:rPr>
        <w:t xml:space="preserve"> to denote the sample variance and we divide by </w:t>
      </w:r>
      <w:r>
        <w:rPr>
          <w:rStyle w:val="mi"/>
          <w:rFonts w:ascii="MathJax_Math" w:hAnsi="MathJax_Math"/>
          <w:i/>
          <w:iCs/>
          <w:color w:val="1F1F1F"/>
          <w:sz w:val="29"/>
          <w:szCs w:val="29"/>
          <w:bdr w:val="none" w:sz="0" w:space="0" w:color="auto" w:frame="1"/>
        </w:rPr>
        <w:t>n</w:t>
      </w:r>
      <w:r>
        <w:rPr>
          <w:rStyle w:val="mo"/>
          <w:rFonts w:ascii="MathJax_Main" w:hAnsi="MathJax_Main"/>
          <w:color w:val="1F1F1F"/>
          <w:sz w:val="29"/>
          <w:szCs w:val="29"/>
          <w:bdr w:val="none" w:sz="0" w:space="0" w:color="auto" w:frame="1"/>
        </w:rPr>
        <w:t>−</w:t>
      </w:r>
      <w:r>
        <w:rPr>
          <w:rStyle w:val="mn"/>
          <w:rFonts w:ascii="MathJax_Main" w:hAnsi="MathJax_Main"/>
          <w:color w:val="1F1F1F"/>
          <w:sz w:val="29"/>
          <w:szCs w:val="29"/>
          <w:bdr w:val="none" w:sz="0" w:space="0" w:color="auto" w:frame="1"/>
        </w:rPr>
        <w:t>1</w:t>
      </w:r>
      <w:r>
        <w:rPr>
          <w:rFonts w:ascii="Source Sans Pro" w:hAnsi="Source Sans Pro"/>
          <w:color w:val="1F1F1F"/>
        </w:rPr>
        <w:t>.</w:t>
      </w:r>
    </w:p>
    <w:p w14:paraId="590436DD" w14:textId="77777777" w:rsidR="00F2614A" w:rsidRDefault="00F2614A" w:rsidP="00F2614A">
      <w:pPr>
        <w:pStyle w:val="NormalWeb"/>
        <w:numPr>
          <w:ilvl w:val="0"/>
          <w:numId w:val="1"/>
        </w:numPr>
        <w:shd w:val="clear" w:color="auto" w:fill="FFFFFF"/>
        <w:spacing w:before="0" w:beforeAutospacing="0" w:after="0" w:afterAutospacing="0"/>
        <w:ind w:left="0"/>
        <w:rPr>
          <w:rFonts w:ascii="Source Sans Pro" w:hAnsi="Source Sans Pro"/>
          <w:color w:val="1F1F1F"/>
        </w:rPr>
      </w:pPr>
      <w:r>
        <w:rPr>
          <w:rFonts w:ascii="Source Sans Pro" w:hAnsi="Source Sans Pro"/>
          <w:color w:val="1F1F1F"/>
        </w:rPr>
        <w:t xml:space="preserve">there are other versions where the sample variance is divided by </w:t>
      </w:r>
      <w:r>
        <w:rPr>
          <w:rStyle w:val="mi"/>
          <w:rFonts w:ascii="MathJax_Math" w:hAnsi="MathJax_Math"/>
          <w:i/>
          <w:iCs/>
          <w:color w:val="1F1F1F"/>
          <w:sz w:val="29"/>
          <w:szCs w:val="29"/>
          <w:bdr w:val="none" w:sz="0" w:space="0" w:color="auto" w:frame="1"/>
        </w:rPr>
        <w:t>n</w:t>
      </w:r>
      <w:r>
        <w:rPr>
          <w:rFonts w:ascii="Source Sans Pro" w:hAnsi="Source Sans Pro"/>
          <w:color w:val="1F1F1F"/>
        </w:rPr>
        <w:t xml:space="preserve"> but we do not use this version. </w:t>
      </w:r>
    </w:p>
    <w:p w14:paraId="11B990BC" w14:textId="77777777" w:rsidR="00F2614A" w:rsidRDefault="00F2614A" w:rsidP="00F2614A">
      <w:pPr>
        <w:pStyle w:val="NormalWeb"/>
        <w:shd w:val="clear" w:color="auto" w:fill="FFFFFF"/>
        <w:spacing w:before="0" w:beforeAutospacing="0" w:after="0" w:afterAutospacing="0"/>
        <w:rPr>
          <w:rFonts w:ascii="Source Sans Pro" w:hAnsi="Source Sans Pro"/>
          <w:color w:val="1F1F1F"/>
        </w:rPr>
      </w:pPr>
    </w:p>
    <w:p w14:paraId="16F2249C" w14:textId="77777777" w:rsidR="00F2614A" w:rsidRDefault="00F2614A" w:rsidP="00F2614A">
      <w:pPr>
        <w:pStyle w:val="NormalWeb"/>
        <w:shd w:val="clear" w:color="auto" w:fill="FFFFFF"/>
        <w:spacing w:before="0" w:beforeAutospacing="0" w:after="0" w:afterAutospacing="0"/>
        <w:rPr>
          <w:rFonts w:ascii="Source Sans Pro" w:hAnsi="Source Sans Pro"/>
          <w:color w:val="1F1F1F"/>
        </w:rPr>
      </w:pPr>
    </w:p>
    <w:p w14:paraId="627343DF" w14:textId="77777777" w:rsidR="00F2614A" w:rsidRDefault="00F2614A" w:rsidP="00F2614A">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The bias is back!</w:t>
      </w:r>
    </w:p>
    <w:p w14:paraId="7AFF9B9F" w14:textId="77777777" w:rsidR="00F2614A" w:rsidRDefault="00F2614A" w:rsidP="00F2614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Some of you noticed that interesting </w:t>
      </w:r>
      <w:r>
        <w:rPr>
          <w:rStyle w:val="katex-mathml"/>
          <w:color w:val="1F1F1F"/>
          <w:sz w:val="29"/>
          <w:szCs w:val="29"/>
          <w:bdr w:val="none" w:sz="0" w:space="0" w:color="auto" w:frame="1"/>
        </w:rPr>
        <w:t>n-1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rFonts w:ascii="Source Sans Pro" w:hAnsi="Source Sans Pro"/>
          <w:color w:val="1F1F1F"/>
        </w:rPr>
        <w:t xml:space="preserve"> appearing in the division. As mentioned in the previous reading, this is called </w:t>
      </w:r>
      <w:hyperlink r:id="rId9" w:tgtFrame="_blank" w:tooltip="Bessel's correction" w:history="1">
        <w:r>
          <w:rPr>
            <w:rStyle w:val="Hyperlink"/>
            <w:rFonts w:ascii="Source Sans Pro" w:hAnsi="Source Sans Pro"/>
            <w:color w:val="0056D2"/>
          </w:rPr>
          <w:t>Bessel's correction</w:t>
        </w:r>
      </w:hyperlink>
      <w:r>
        <w:rPr>
          <w:rFonts w:ascii="Source Sans Pro" w:hAnsi="Source Sans Pro"/>
          <w:color w:val="1F1F1F"/>
        </w:rPr>
        <w:t xml:space="preserve">. The mathematics for this is not included in this MOOC, but feel free to dig deeper into this, or post on the forum, if you feel like knowing more about it! The main idea to take away is that when you try to estimate the </w:t>
      </w:r>
      <w:r>
        <w:rPr>
          <w:rStyle w:val="Strong"/>
          <w:rFonts w:ascii="unset" w:hAnsi="unset"/>
          <w:color w:val="1F1F1F"/>
        </w:rPr>
        <w:t xml:space="preserve">variance </w:t>
      </w:r>
      <w:r>
        <w:rPr>
          <w:rFonts w:ascii="Source Sans Pro" w:hAnsi="Source Sans Pro"/>
          <w:color w:val="1F1F1F"/>
        </w:rPr>
        <w:t xml:space="preserve">and/or the </w:t>
      </w:r>
      <w:r>
        <w:rPr>
          <w:rStyle w:val="Strong"/>
          <w:rFonts w:ascii="unset" w:hAnsi="unset"/>
          <w:color w:val="1F1F1F"/>
        </w:rPr>
        <w:t xml:space="preserve">standard deviation </w:t>
      </w:r>
      <w:r>
        <w:rPr>
          <w:rFonts w:ascii="Source Sans Pro" w:hAnsi="Source Sans Pro"/>
          <w:color w:val="1F1F1F"/>
        </w:rPr>
        <w:t xml:space="preserve">of a population using a </w:t>
      </w:r>
      <w:r>
        <w:rPr>
          <w:rStyle w:val="Strong"/>
          <w:rFonts w:ascii="unset" w:hAnsi="unset"/>
          <w:color w:val="1F1F1F"/>
        </w:rPr>
        <w:t>random</w:t>
      </w:r>
      <w:r>
        <w:rPr>
          <w:rFonts w:ascii="Source Sans Pro" w:hAnsi="Source Sans Pro"/>
          <w:color w:val="1F1F1F"/>
        </w:rPr>
        <w:t xml:space="preserve"> </w:t>
      </w:r>
      <w:r>
        <w:rPr>
          <w:rStyle w:val="Strong"/>
          <w:rFonts w:ascii="unset" w:hAnsi="unset"/>
          <w:color w:val="1F1F1F"/>
        </w:rPr>
        <w:t>sample</w:t>
      </w:r>
      <w:r>
        <w:rPr>
          <w:rFonts w:ascii="Source Sans Pro" w:hAnsi="Source Sans Pro"/>
          <w:color w:val="1F1F1F"/>
        </w:rPr>
        <w:t xml:space="preserve">, the result will be </w:t>
      </w:r>
      <w:r>
        <w:rPr>
          <w:rStyle w:val="Strong"/>
          <w:rFonts w:ascii="unset" w:hAnsi="unset"/>
          <w:color w:val="1F1F1F"/>
        </w:rPr>
        <w:t>biased</w:t>
      </w:r>
      <w:r>
        <w:rPr>
          <w:rFonts w:ascii="Source Sans Pro" w:hAnsi="Source Sans Pro"/>
          <w:color w:val="1F1F1F"/>
        </w:rPr>
        <w:t xml:space="preserve">. This bias, which, by the way, carries no value judgement at all, but only indicates that if you repeat this technique an infinite number of times with different random samples, you will not, as you would hope, approximate the population values, but end up with something else, that can be calculated precisely. The division by </w:t>
      </w:r>
      <w:r>
        <w:rPr>
          <w:rStyle w:val="katex-mathml"/>
          <w:color w:val="1F1F1F"/>
          <w:sz w:val="29"/>
          <w:szCs w:val="29"/>
          <w:bdr w:val="none" w:sz="0" w:space="0" w:color="auto" w:frame="1"/>
        </w:rPr>
        <w:t>n-1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rFonts w:ascii="Source Sans Pro" w:hAnsi="Source Sans Pro"/>
          <w:color w:val="1F1F1F"/>
        </w:rPr>
        <w:t xml:space="preserve"> arises directly from these calculation (if you are hungry for the full details, </w:t>
      </w:r>
      <w:hyperlink r:id="rId10" w:anchor="Sample_variance" w:tgtFrame="_blank" w:tooltip="Sample Variance bias Wiki" w:history="1">
        <w:r>
          <w:rPr>
            <w:rStyle w:val="Hyperlink"/>
            <w:rFonts w:ascii="Source Sans Pro" w:hAnsi="Source Sans Pro"/>
            <w:color w:val="0056D2"/>
          </w:rPr>
          <w:t>you can read them here</w:t>
        </w:r>
      </w:hyperlink>
      <w:r>
        <w:rPr>
          <w:rFonts w:ascii="Source Sans Pro" w:hAnsi="Source Sans Pro"/>
          <w:color w:val="1F1F1F"/>
        </w:rPr>
        <w:t xml:space="preserve">). Mathematicians, then, having found out what exactly that bias is, deduced what method should be used to correct this, which is precisely to use </w:t>
      </w:r>
      <w:r>
        <w:rPr>
          <w:rStyle w:val="katex-mathml"/>
          <w:color w:val="1F1F1F"/>
          <w:sz w:val="29"/>
          <w:szCs w:val="29"/>
          <w:bdr w:val="none" w:sz="0" w:space="0" w:color="auto" w:frame="1"/>
        </w:rPr>
        <w:t>n-1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rFonts w:ascii="Source Sans Pro" w:hAnsi="Source Sans Pro"/>
          <w:color w:val="1F1F1F"/>
        </w:rPr>
        <w:t xml:space="preserve"> instead of </w:t>
      </w:r>
      <w:proofErr w:type="spellStart"/>
      <w:r>
        <w:rPr>
          <w:rStyle w:val="katex-mathml"/>
          <w:color w:val="1F1F1F"/>
          <w:sz w:val="29"/>
          <w:szCs w:val="29"/>
          <w:bdr w:val="none" w:sz="0" w:space="0" w:color="auto" w:frame="1"/>
        </w:rPr>
        <w:t>n</w:t>
      </w:r>
      <w:r>
        <w:rPr>
          <w:rStyle w:val="mord"/>
          <w:rFonts w:ascii="KaTeX_Math" w:hAnsi="KaTeX_Math"/>
          <w:i/>
          <w:iCs/>
          <w:color w:val="1F1F1F"/>
          <w:sz w:val="29"/>
          <w:szCs w:val="29"/>
        </w:rPr>
        <w:t>n</w:t>
      </w:r>
      <w:proofErr w:type="spellEnd"/>
      <w:r>
        <w:rPr>
          <w:rFonts w:ascii="Source Sans Pro" w:hAnsi="Source Sans Pro"/>
          <w:color w:val="1F1F1F"/>
        </w:rPr>
        <w:t xml:space="preserve"> in the division!</w:t>
      </w:r>
    </w:p>
    <w:p w14:paraId="3B022C41" w14:textId="77777777" w:rsidR="00F2614A" w:rsidRDefault="00F2614A" w:rsidP="00F2614A">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Attention!</w:t>
      </w:r>
    </w:p>
    <w:p w14:paraId="5D689F70" w14:textId="77777777" w:rsidR="00F2614A" w:rsidRDefault="00F2614A" w:rsidP="00F2614A">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This will pop up again in this course, but it is good to mention it straight away: the need for this division by </w:t>
      </w:r>
      <w:r>
        <w:rPr>
          <w:rStyle w:val="katex-mathml"/>
          <w:color w:val="1F1F1F"/>
          <w:sz w:val="29"/>
          <w:szCs w:val="29"/>
          <w:bdr w:val="none" w:sz="0" w:space="0" w:color="auto" w:frame="1"/>
        </w:rPr>
        <w:t>n-1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rFonts w:ascii="Source Sans Pro" w:hAnsi="Source Sans Pro"/>
          <w:color w:val="1F1F1F"/>
        </w:rPr>
        <w:t xml:space="preserve"> </w:t>
      </w:r>
      <w:r>
        <w:rPr>
          <w:rStyle w:val="Emphasis"/>
          <w:rFonts w:ascii="Source Sans Pro" w:hAnsi="Source Sans Pro"/>
          <w:color w:val="1F1F1F"/>
        </w:rPr>
        <w:t xml:space="preserve">only arises when calculating the </w:t>
      </w:r>
      <w:r>
        <w:rPr>
          <w:rStyle w:val="Strong"/>
          <w:rFonts w:ascii="unset" w:hAnsi="unset"/>
          <w:i/>
          <w:iCs/>
          <w:color w:val="1F1F1F"/>
        </w:rPr>
        <w:t xml:space="preserve">variance </w:t>
      </w:r>
      <w:r>
        <w:rPr>
          <w:rStyle w:val="Emphasis"/>
          <w:rFonts w:ascii="Source Sans Pro" w:hAnsi="Source Sans Pro"/>
          <w:color w:val="1F1F1F"/>
        </w:rPr>
        <w:t xml:space="preserve">and </w:t>
      </w:r>
      <w:r>
        <w:rPr>
          <w:rStyle w:val="Strong"/>
          <w:rFonts w:ascii="unset" w:hAnsi="unset"/>
          <w:i/>
          <w:iCs/>
          <w:color w:val="1F1F1F"/>
        </w:rPr>
        <w:t>standard deviation</w:t>
      </w:r>
      <w:r>
        <w:rPr>
          <w:rStyle w:val="Emphasis"/>
          <w:rFonts w:ascii="Source Sans Pro" w:hAnsi="Source Sans Pro"/>
          <w:color w:val="1F1F1F"/>
        </w:rPr>
        <w:t xml:space="preserve">! </w:t>
      </w:r>
      <w:r>
        <w:rPr>
          <w:rFonts w:ascii="Source Sans Pro" w:hAnsi="Source Sans Pro"/>
          <w:color w:val="1F1F1F"/>
        </w:rPr>
        <w:t xml:space="preserve">If you only estimate the </w:t>
      </w:r>
      <w:r>
        <w:rPr>
          <w:rStyle w:val="Strong"/>
          <w:rFonts w:ascii="unset" w:hAnsi="unset"/>
          <w:color w:val="1F1F1F"/>
        </w:rPr>
        <w:t>mean</w:t>
      </w:r>
      <w:r>
        <w:rPr>
          <w:rFonts w:ascii="Source Sans Pro" w:hAnsi="Source Sans Pro"/>
          <w:color w:val="1F1F1F"/>
        </w:rPr>
        <w:t xml:space="preserve"> of a population using a sample, the division by </w:t>
      </w:r>
      <w:proofErr w:type="spellStart"/>
      <w:r>
        <w:rPr>
          <w:rStyle w:val="katex-mathml"/>
          <w:color w:val="1F1F1F"/>
          <w:sz w:val="29"/>
          <w:szCs w:val="29"/>
          <w:bdr w:val="none" w:sz="0" w:space="0" w:color="auto" w:frame="1"/>
        </w:rPr>
        <w:t>n</w:t>
      </w:r>
      <w:r>
        <w:rPr>
          <w:rStyle w:val="mord"/>
          <w:rFonts w:ascii="KaTeX_Math" w:hAnsi="KaTeX_Math"/>
          <w:i/>
          <w:iCs/>
          <w:color w:val="1F1F1F"/>
          <w:sz w:val="29"/>
          <w:szCs w:val="29"/>
        </w:rPr>
        <w:t>n</w:t>
      </w:r>
      <w:proofErr w:type="spellEnd"/>
      <w:r>
        <w:rPr>
          <w:rFonts w:ascii="Source Sans Pro" w:hAnsi="Source Sans Pro"/>
          <w:color w:val="1F1F1F"/>
        </w:rPr>
        <w:t xml:space="preserve"> is the only valid one.</w:t>
      </w:r>
    </w:p>
    <w:p w14:paraId="32A466C7" w14:textId="77777777" w:rsidR="002C7C4F" w:rsidRDefault="002C7C4F"/>
    <w:sectPr w:rsidR="002C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73ED8"/>
    <w:multiLevelType w:val="multilevel"/>
    <w:tmpl w:val="713C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26"/>
    <w:rsid w:val="00060A26"/>
    <w:rsid w:val="002C7C4F"/>
    <w:rsid w:val="00F2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0BEE7-917C-456F-AB2B-E5EFEA18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14A"/>
  </w:style>
  <w:style w:type="paragraph" w:styleId="Heading1">
    <w:name w:val="heading 1"/>
    <w:basedOn w:val="Normal"/>
    <w:next w:val="Normal"/>
    <w:link w:val="Heading1Char"/>
    <w:uiPriority w:val="9"/>
    <w:qFormat/>
    <w:rsid w:val="00F26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14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6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14A"/>
    <w:rPr>
      <w:b/>
      <w:bCs/>
    </w:rPr>
  </w:style>
  <w:style w:type="character" w:styleId="Hyperlink">
    <w:name w:val="Hyperlink"/>
    <w:basedOn w:val="DefaultParagraphFont"/>
    <w:uiPriority w:val="99"/>
    <w:unhideWhenUsed/>
    <w:rsid w:val="00F2614A"/>
    <w:rPr>
      <w:color w:val="0000FF"/>
      <w:u w:val="single"/>
    </w:rPr>
  </w:style>
  <w:style w:type="character" w:customStyle="1" w:styleId="katex-mathml">
    <w:name w:val="katex-mathml"/>
    <w:basedOn w:val="DefaultParagraphFont"/>
    <w:rsid w:val="00F2614A"/>
  </w:style>
  <w:style w:type="character" w:customStyle="1" w:styleId="mord">
    <w:name w:val="mord"/>
    <w:basedOn w:val="DefaultParagraphFont"/>
    <w:rsid w:val="00F2614A"/>
  </w:style>
  <w:style w:type="character" w:customStyle="1" w:styleId="mbin">
    <w:name w:val="mbin"/>
    <w:basedOn w:val="DefaultParagraphFont"/>
    <w:rsid w:val="00F2614A"/>
  </w:style>
  <w:style w:type="paragraph" w:styleId="Caption">
    <w:name w:val="caption"/>
    <w:basedOn w:val="Normal"/>
    <w:next w:val="Normal"/>
    <w:uiPriority w:val="35"/>
    <w:unhideWhenUsed/>
    <w:qFormat/>
    <w:rsid w:val="00F2614A"/>
    <w:pPr>
      <w:spacing w:after="200" w:line="240" w:lineRule="auto"/>
    </w:pPr>
    <w:rPr>
      <w:i/>
      <w:iCs/>
      <w:color w:val="44546A" w:themeColor="text2"/>
      <w:sz w:val="18"/>
      <w:szCs w:val="18"/>
    </w:rPr>
  </w:style>
  <w:style w:type="character" w:styleId="Emphasis">
    <w:name w:val="Emphasis"/>
    <w:basedOn w:val="DefaultParagraphFont"/>
    <w:uiPriority w:val="20"/>
    <w:qFormat/>
    <w:rsid w:val="00F2614A"/>
    <w:rPr>
      <w:i/>
      <w:iCs/>
    </w:rPr>
  </w:style>
  <w:style w:type="character" w:customStyle="1" w:styleId="mi">
    <w:name w:val="mi"/>
    <w:basedOn w:val="DefaultParagraphFont"/>
    <w:rsid w:val="00F2614A"/>
  </w:style>
  <w:style w:type="character" w:customStyle="1" w:styleId="mn">
    <w:name w:val="mn"/>
    <w:basedOn w:val="DefaultParagraphFont"/>
    <w:rsid w:val="00F2614A"/>
  </w:style>
  <w:style w:type="character" w:customStyle="1" w:styleId="mo">
    <w:name w:val="mo"/>
    <w:basedOn w:val="DefaultParagraphFont"/>
    <w:rsid w:val="00F2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Bias_of_an_estimator" TargetMode="External"/><Relationship Id="rId4" Type="http://schemas.openxmlformats.org/officeDocument/2006/relationships/webSettings" Target="webSettings.xml"/><Relationship Id="rId9" Type="http://schemas.openxmlformats.org/officeDocument/2006/relationships/hyperlink" Target="https://en.wikipedia.org/wiki/Bessel's_corr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 Magar</dc:creator>
  <cp:keywords/>
  <dc:description/>
  <cp:lastModifiedBy>Khom Magar</cp:lastModifiedBy>
  <cp:revision>2</cp:revision>
  <dcterms:created xsi:type="dcterms:W3CDTF">2022-06-07T02:58:00Z</dcterms:created>
  <dcterms:modified xsi:type="dcterms:W3CDTF">2022-06-07T02:58:00Z</dcterms:modified>
</cp:coreProperties>
</file>