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6AD5B" w14:textId="77777777" w:rsidR="004B704C" w:rsidRDefault="005C45B7">
      <w:pPr>
        <w:pStyle w:val="Afb"/>
        <w:ind w:firstLine="720"/>
        <w:contextualSpacing/>
        <w:rPr>
          <w:sz w:val="26"/>
        </w:rPr>
      </w:pPr>
      <w:r>
        <w:rPr>
          <w:sz w:val="26"/>
        </w:rPr>
        <w:t>УДК 81'33:81'342.9</w:t>
      </w:r>
    </w:p>
    <w:p w14:paraId="5855469C" w14:textId="77777777" w:rsidR="004B704C" w:rsidRDefault="005C45B7">
      <w:pPr>
        <w:pStyle w:val="Afb"/>
        <w:ind w:firstLine="720"/>
        <w:contextualSpacing/>
        <w:rPr>
          <w:sz w:val="26"/>
        </w:rPr>
      </w:pPr>
      <w:r>
        <w:rPr>
          <w:sz w:val="26"/>
          <w:lang w:val="fr-FR"/>
        </w:rPr>
        <w:t xml:space="preserve">DOI: </w:t>
      </w:r>
    </w:p>
    <w:p w14:paraId="5A82C49C" w14:textId="77777777" w:rsidR="004B704C" w:rsidRDefault="004B704C">
      <w:pPr>
        <w:pStyle w:val="Afb"/>
        <w:ind w:firstLine="720"/>
        <w:contextualSpacing/>
        <w:jc w:val="center"/>
        <w:rPr>
          <w:b/>
          <w:bCs/>
          <w:sz w:val="26"/>
          <w:szCs w:val="32"/>
        </w:rPr>
      </w:pPr>
    </w:p>
    <w:p w14:paraId="65BD6AC3" w14:textId="77777777" w:rsidR="004B704C" w:rsidRDefault="005C45B7">
      <w:pPr>
        <w:pStyle w:val="Afb"/>
        <w:ind w:firstLine="720"/>
        <w:contextualSpacing/>
        <w:jc w:val="center"/>
        <w:rPr>
          <w:b/>
          <w:bCs/>
          <w:sz w:val="26"/>
          <w:szCs w:val="32"/>
        </w:rPr>
      </w:pPr>
      <w:r>
        <w:rPr>
          <w:b/>
          <w:bCs/>
          <w:sz w:val="26"/>
          <w:szCs w:val="32"/>
        </w:rPr>
        <w:t>Создание корпуса устной речи для диагностических целей с использованием автоматических алгоритмов распознавания речи</w:t>
      </w:r>
    </w:p>
    <w:p w14:paraId="2EB5AFBB" w14:textId="77777777" w:rsidR="004B704C" w:rsidRDefault="005C45B7">
      <w:pPr>
        <w:pStyle w:val="Afb"/>
        <w:ind w:firstLine="720"/>
        <w:contextualSpacing/>
        <w:jc w:val="center"/>
        <w:rPr>
          <w:sz w:val="26"/>
        </w:rPr>
      </w:pPr>
      <w:r>
        <w:rPr>
          <w:i/>
          <w:iCs/>
          <w:sz w:val="26"/>
        </w:rPr>
        <w:t>Жилина Полина Павловна</w:t>
      </w:r>
      <w:r>
        <w:rPr>
          <w:rFonts w:ascii="Arial Unicode MS" w:hAnsi="Arial Unicode MS"/>
          <w:sz w:val="26"/>
          <w:vertAlign w:val="superscript"/>
        </w:rPr>
        <w:t xml:space="preserve"> ✉</w:t>
      </w:r>
      <w:r>
        <w:rPr>
          <w:sz w:val="26"/>
          <w:vertAlign w:val="superscript"/>
        </w:rPr>
        <w:t>[0009-0001-8618-495X]</w:t>
      </w:r>
      <w:r>
        <w:rPr>
          <w:sz w:val="26"/>
        </w:rPr>
        <w:t xml:space="preserve"> </w:t>
      </w:r>
    </w:p>
    <w:p w14:paraId="0B235A33" w14:textId="77777777" w:rsidR="004B704C" w:rsidRDefault="005C45B7">
      <w:pPr>
        <w:pStyle w:val="Afb"/>
        <w:shd w:val="clear" w:color="FFFFFF" w:themeColor="background1" w:fill="FFFFFF" w:themeFill="background1"/>
        <w:ind w:firstLine="720"/>
        <w:contextualSpacing/>
        <w:jc w:val="center"/>
        <w:rPr>
          <w:rFonts w:cs="Times New Roman"/>
          <w:sz w:val="26"/>
          <w:szCs w:val="20"/>
        </w:rPr>
      </w:pPr>
      <w:r>
        <w:rPr>
          <w:rFonts w:cs="Times New Roman"/>
          <w:sz w:val="26"/>
          <w:szCs w:val="20"/>
        </w:rPr>
        <w:t>Нижегородский филиал Национального исследовательского университета «Высшая школа экономики», ул. Большая Печерская, 25/12 к. 303, г. Нижний Новгород, 603155, Россия</w:t>
      </w:r>
    </w:p>
    <w:p w14:paraId="66481205" w14:textId="77777777" w:rsidR="004B704C" w:rsidRDefault="005C45B7">
      <w:pPr>
        <w:pStyle w:val="Afb"/>
        <w:ind w:firstLine="720"/>
        <w:contextualSpacing/>
        <w:jc w:val="center"/>
        <w:rPr>
          <w:rFonts w:cs="Times New Roman"/>
          <w:sz w:val="26"/>
          <w:szCs w:val="20"/>
        </w:rPr>
      </w:pPr>
      <w:r>
        <w:rPr>
          <w:rFonts w:cs="Times New Roman"/>
          <w:sz w:val="26"/>
          <w:szCs w:val="20"/>
        </w:rPr>
        <w:t>ppzhilina@edu.hse.ru</w:t>
      </w:r>
    </w:p>
    <w:p w14:paraId="75E82C32" w14:textId="77777777" w:rsidR="004B704C" w:rsidRDefault="004B704C">
      <w:pPr>
        <w:pStyle w:val="Afb"/>
        <w:ind w:firstLine="720"/>
        <w:contextualSpacing/>
        <w:rPr>
          <w:b/>
          <w:bCs/>
          <w:sz w:val="26"/>
          <w:szCs w:val="20"/>
        </w:rPr>
      </w:pPr>
    </w:p>
    <w:p w14:paraId="66F466F5" w14:textId="77777777" w:rsidR="004B704C" w:rsidRDefault="005C45B7">
      <w:pPr>
        <w:pStyle w:val="Afb"/>
        <w:ind w:firstLine="720"/>
        <w:contextualSpacing/>
        <w:rPr>
          <w:rFonts w:eastAsia="Times New Roman" w:cs="Times New Roman"/>
          <w:i/>
          <w:sz w:val="26"/>
          <w:szCs w:val="20"/>
        </w:rPr>
      </w:pPr>
      <w:r>
        <w:rPr>
          <w:b/>
          <w:bCs/>
          <w:i/>
          <w:sz w:val="26"/>
          <w:szCs w:val="20"/>
        </w:rPr>
        <w:t>Аннотация</w:t>
      </w:r>
      <w:r>
        <w:rPr>
          <w:i/>
          <w:sz w:val="26"/>
          <w:szCs w:val="20"/>
        </w:rPr>
        <w:t xml:space="preserve">. В работе проведен сравнительный анализ трёх моделей автоматического распознавания речи (ASR) – </w:t>
      </w:r>
      <w:proofErr w:type="spellStart"/>
      <w:r>
        <w:rPr>
          <w:i/>
          <w:sz w:val="26"/>
          <w:szCs w:val="20"/>
          <w:lang w:val="en-US"/>
        </w:rPr>
        <w:t>gigaam</w:t>
      </w:r>
      <w:proofErr w:type="spellEnd"/>
      <w:r>
        <w:rPr>
          <w:i/>
          <w:sz w:val="26"/>
          <w:szCs w:val="20"/>
        </w:rPr>
        <w:t>-</w:t>
      </w:r>
      <w:r>
        <w:rPr>
          <w:i/>
          <w:sz w:val="26"/>
          <w:szCs w:val="20"/>
          <w:lang w:val="en-US"/>
        </w:rPr>
        <w:t>v</w:t>
      </w:r>
      <w:r>
        <w:rPr>
          <w:i/>
          <w:sz w:val="26"/>
          <w:szCs w:val="20"/>
        </w:rPr>
        <w:t>2-</w:t>
      </w:r>
      <w:proofErr w:type="spellStart"/>
      <w:r>
        <w:rPr>
          <w:i/>
          <w:sz w:val="26"/>
          <w:szCs w:val="20"/>
          <w:lang w:val="en-US"/>
        </w:rPr>
        <w:t>rnnt</w:t>
      </w:r>
      <w:proofErr w:type="spellEnd"/>
      <w:r>
        <w:rPr>
          <w:i/>
          <w:sz w:val="26"/>
          <w:szCs w:val="20"/>
        </w:rPr>
        <w:t xml:space="preserve">, </w:t>
      </w:r>
      <w:r>
        <w:rPr>
          <w:i/>
          <w:sz w:val="26"/>
          <w:szCs w:val="20"/>
          <w:lang w:val="en-US"/>
        </w:rPr>
        <w:t>whisper</w:t>
      </w:r>
      <w:r>
        <w:rPr>
          <w:i/>
          <w:sz w:val="26"/>
          <w:szCs w:val="20"/>
        </w:rPr>
        <w:t>-</w:t>
      </w:r>
      <w:r>
        <w:rPr>
          <w:i/>
          <w:sz w:val="26"/>
          <w:szCs w:val="20"/>
          <w:lang w:val="en-US"/>
        </w:rPr>
        <w:t>large</w:t>
      </w:r>
      <w:r>
        <w:rPr>
          <w:i/>
          <w:sz w:val="26"/>
          <w:szCs w:val="20"/>
        </w:rPr>
        <w:t>-</w:t>
      </w:r>
      <w:r>
        <w:rPr>
          <w:i/>
          <w:sz w:val="26"/>
          <w:szCs w:val="20"/>
          <w:lang w:val="en-US"/>
        </w:rPr>
        <w:t>v</w:t>
      </w:r>
      <w:r>
        <w:rPr>
          <w:i/>
          <w:sz w:val="26"/>
          <w:szCs w:val="20"/>
        </w:rPr>
        <w:t>3-</w:t>
      </w:r>
      <w:r>
        <w:rPr>
          <w:i/>
          <w:sz w:val="26"/>
          <w:szCs w:val="20"/>
          <w:lang w:val="en-US"/>
        </w:rPr>
        <w:t>turbo</w:t>
      </w:r>
      <w:r>
        <w:rPr>
          <w:i/>
          <w:sz w:val="26"/>
          <w:szCs w:val="20"/>
        </w:rPr>
        <w:t xml:space="preserve"> и </w:t>
      </w:r>
      <w:proofErr w:type="spellStart"/>
      <w:r>
        <w:rPr>
          <w:i/>
          <w:sz w:val="26"/>
          <w:szCs w:val="20"/>
          <w:lang w:val="de-DE"/>
        </w:rPr>
        <w:t>nemo-fastconformer-ru-rnnt</w:t>
      </w:r>
      <w:proofErr w:type="spellEnd"/>
      <w:r>
        <w:rPr>
          <w:i/>
          <w:sz w:val="26"/>
          <w:szCs w:val="20"/>
          <w:lang w:val="de-DE"/>
        </w:rPr>
        <w:t xml:space="preserve"> </w:t>
      </w:r>
      <w:r>
        <w:rPr>
          <w:i/>
          <w:sz w:val="26"/>
          <w:szCs w:val="20"/>
        </w:rPr>
        <w:t xml:space="preserve">– на аудиоматериале, подготовленном для создания специализированного корпуса русской речи, содержащего правдивые и ложные высказывания. Исследование включает количественную оценку по стандартным метрикам </w:t>
      </w:r>
      <w:r>
        <w:rPr>
          <w:i/>
          <w:sz w:val="26"/>
          <w:szCs w:val="20"/>
          <w:lang w:val="de-DE"/>
        </w:rPr>
        <w:t xml:space="preserve">(WER, CER, WIL, WIP) </w:t>
      </w:r>
      <w:r>
        <w:rPr>
          <w:i/>
          <w:sz w:val="26"/>
          <w:szCs w:val="20"/>
        </w:rPr>
        <w:t xml:space="preserve">и качественный лингвистический анализ ошибок автоматически созданных транскриптов. Модель </w:t>
      </w:r>
      <w:r>
        <w:rPr>
          <w:i/>
          <w:sz w:val="26"/>
          <w:szCs w:val="20"/>
          <w:lang w:val="de-DE"/>
        </w:rPr>
        <w:t xml:space="preserve">gigaam-v2-rnnt </w:t>
      </w:r>
      <w:r>
        <w:rPr>
          <w:i/>
          <w:sz w:val="26"/>
          <w:szCs w:val="20"/>
        </w:rPr>
        <w:t xml:space="preserve">продемонстрировала наилучшие показатели и устойчивость к </w:t>
      </w:r>
      <w:proofErr w:type="spellStart"/>
      <w:r>
        <w:rPr>
          <w:i/>
          <w:sz w:val="26"/>
          <w:szCs w:val="20"/>
        </w:rPr>
        <w:t>смыслоизменяющим</w:t>
      </w:r>
      <w:proofErr w:type="spellEnd"/>
      <w:r>
        <w:rPr>
          <w:i/>
          <w:sz w:val="26"/>
          <w:szCs w:val="20"/>
        </w:rPr>
        <w:t xml:space="preserve"> ошибкам. Однако все протестированные ASR-модели систематически не распознают </w:t>
      </w:r>
      <w:proofErr w:type="spellStart"/>
      <w:r>
        <w:rPr>
          <w:i/>
          <w:sz w:val="26"/>
          <w:szCs w:val="20"/>
        </w:rPr>
        <w:t>диагностически</w:t>
      </w:r>
      <w:proofErr w:type="spellEnd"/>
      <w:r>
        <w:rPr>
          <w:i/>
          <w:sz w:val="26"/>
          <w:szCs w:val="20"/>
        </w:rPr>
        <w:t xml:space="preserve"> значимые элементы спонтанной речи, критические для анализа достоверности высказываний. Для решения этой проблемы был разработан специализированный протокол аннотирования. </w:t>
      </w:r>
      <w:r>
        <w:rPr>
          <w:rFonts w:eastAsia="Times New Roman" w:cs="Times New Roman"/>
          <w:i/>
          <w:sz w:val="26"/>
          <w:szCs w:val="20"/>
        </w:rPr>
        <w:t>Результаты исследования обосновывают необходимость применения гибридного подхода для формирования диагностических корпусов, пригодных для анализа.</w:t>
      </w:r>
    </w:p>
    <w:p w14:paraId="491EBB51" w14:textId="77777777" w:rsidR="004B704C" w:rsidRDefault="004B704C">
      <w:pPr>
        <w:pStyle w:val="Afb"/>
        <w:ind w:firstLine="720"/>
        <w:contextualSpacing/>
        <w:rPr>
          <w:i/>
          <w:sz w:val="26"/>
          <w:szCs w:val="12"/>
        </w:rPr>
      </w:pPr>
    </w:p>
    <w:p w14:paraId="3B04E4FF" w14:textId="77777777" w:rsidR="004B704C" w:rsidRDefault="005C45B7">
      <w:pPr>
        <w:pStyle w:val="Afb"/>
        <w:ind w:firstLine="720"/>
        <w:contextualSpacing/>
        <w:rPr>
          <w:i/>
          <w:sz w:val="26"/>
          <w:szCs w:val="20"/>
        </w:rPr>
      </w:pPr>
      <w:r>
        <w:rPr>
          <w:b/>
          <w:bCs/>
          <w:i/>
          <w:sz w:val="26"/>
          <w:szCs w:val="20"/>
        </w:rPr>
        <w:t>Ключевые слова:</w:t>
      </w:r>
      <w:r>
        <w:rPr>
          <w:i/>
          <w:sz w:val="26"/>
          <w:szCs w:val="20"/>
        </w:rPr>
        <w:t xml:space="preserve"> автоматическое распознавание речи (ASR), корпус устной речи, индикаторы правды и лжи, аннотационный протокол, компьютерная лингвистика</w:t>
      </w:r>
      <w:r>
        <w:rPr>
          <w:i/>
          <w:sz w:val="26"/>
        </w:rPr>
        <w:t>.</w:t>
      </w:r>
    </w:p>
    <w:p w14:paraId="45D1EAEB" w14:textId="77777777" w:rsidR="004B704C" w:rsidRDefault="004B704C">
      <w:pPr>
        <w:pStyle w:val="Afb"/>
        <w:ind w:firstLine="720"/>
        <w:contextualSpacing/>
        <w:rPr>
          <w:sz w:val="26"/>
          <w:szCs w:val="20"/>
        </w:rPr>
      </w:pPr>
    </w:p>
    <w:p w14:paraId="212E22DF" w14:textId="77777777" w:rsidR="004B704C" w:rsidRDefault="005C45B7">
      <w:pPr>
        <w:pStyle w:val="Afb"/>
        <w:ind w:firstLine="720"/>
        <w:contextualSpacing/>
        <w:rPr>
          <w:sz w:val="26"/>
          <w:szCs w:val="20"/>
        </w:rPr>
      </w:pPr>
      <w:r>
        <w:rPr>
          <w:noProof/>
          <w:sz w:val="26"/>
          <w:szCs w:val="20"/>
        </w:rPr>
        <w:lastRenderedPageBreak/>
        <mc:AlternateContent>
          <mc:Choice Requires="wpg">
            <w:drawing>
              <wp:anchor distT="0" distB="0" distL="115200" distR="115200" simplePos="0" relativeHeight="251667456" behindDoc="0" locked="0" layoutInCell="1" allowOverlap="1" wp14:anchorId="7BA7FF6A" wp14:editId="76FE8781">
                <wp:simplePos x="0" y="0"/>
                <wp:positionH relativeFrom="column">
                  <wp:posOffset>136071</wp:posOffset>
                </wp:positionH>
                <wp:positionV relativeFrom="paragraph">
                  <wp:posOffset>-671830</wp:posOffset>
                </wp:positionV>
                <wp:extent cx="5915025" cy="2533650"/>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78409" name=""/>
                        <pic:cNvPicPr>
                          <a:picLocks noChangeAspect="1"/>
                        </pic:cNvPicPr>
                      </pic:nvPicPr>
                      <pic:blipFill>
                        <a:blip r:embed="rId6"/>
                        <a:srcRect l="1012" t="11640" r="2278" b="14655"/>
                        <a:stretch/>
                      </pic:blipFill>
                      <pic:spPr bwMode="auto">
                        <a:xfrm>
                          <a:off x="0" y="0"/>
                          <a:ext cx="5915025" cy="2533650"/>
                        </a:xfrm>
                        <a:prstGeom prst="rect">
                          <a:avLst/>
                        </a:prstGeom>
                      </pic:spPr>
                    </pic:pic>
                  </a:graphicData>
                </a:graphic>
              </wp:anchor>
            </w:drawing>
          </mc:Choice>
          <mc:Fallback xmlns:oel="http://schemas.microsoft.com/office/2019/extlst"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7456;o:allowoverlap:true;o:allowincell:true;mso-position-horizontal-relative:text;margin-left:10.71pt;mso-position-horizontal:absolute;mso-position-vertical-relative:text;margin-top:-52.90pt;mso-position-vertical:absolute;width:465.75pt;height:199.50pt;mso-wrap-distance-left:9.07pt;mso-wrap-distance-top:0.00pt;mso-wrap-distance-right:9.07pt;mso-wrap-distance-bottom:0.00pt;" stroked="false">
                <v:path textboxrect="0,0,0,0"/>
                <w10:wrap type="topAndBottom"/>
                <v:imagedata r:id="rId10" o:title=""/>
              </v:shape>
            </w:pict>
          </mc:Fallback>
        </mc:AlternateContent>
      </w:r>
    </w:p>
    <w:p w14:paraId="01FC9544" w14:textId="77777777" w:rsidR="004B704C" w:rsidRDefault="005C45B7">
      <w:pPr>
        <w:pStyle w:val="Afb"/>
        <w:ind w:firstLine="720"/>
        <w:contextualSpacing/>
        <w:rPr>
          <w:sz w:val="26"/>
        </w:rPr>
      </w:pPr>
      <w:r>
        <w:rPr>
          <w:b/>
          <w:bCs/>
          <w:sz w:val="26"/>
        </w:rPr>
        <w:t>Введение.</w:t>
      </w:r>
      <w:r>
        <w:rPr>
          <w:sz w:val="26"/>
        </w:rPr>
        <w:t xml:space="preserve"> Точная фиксация устной речи служит фундаментом диагностического лингвистического анализа. Технологии автоматического распознавания речи (ASR) существенно расширяют возможности обработки аудиоданных, а аннотированные корпуса становятся ключевым инструментом в решении как научных, так и прикладных задач. В большинстве русскоязычных исследований используются только разные версии модели </w:t>
      </w:r>
      <w:proofErr w:type="spellStart"/>
      <w:r>
        <w:rPr>
          <w:sz w:val="26"/>
        </w:rPr>
        <w:t>Whisper</w:t>
      </w:r>
      <w:proofErr w:type="spellEnd"/>
      <w:r>
        <w:rPr>
          <w:sz w:val="26"/>
        </w:rPr>
        <w:t xml:space="preserve"> [Мамаев; </w:t>
      </w:r>
      <w:proofErr w:type="spellStart"/>
      <w:r>
        <w:rPr>
          <w:sz w:val="26"/>
        </w:rPr>
        <w:t>Sherstinova</w:t>
      </w:r>
      <w:proofErr w:type="spellEnd"/>
      <w:r>
        <w:rPr>
          <w:sz w:val="26"/>
        </w:rPr>
        <w:t xml:space="preserve"> </w:t>
      </w:r>
      <w:proofErr w:type="spellStart"/>
      <w:r>
        <w:rPr>
          <w:sz w:val="26"/>
        </w:rPr>
        <w:t>et</w:t>
      </w:r>
      <w:proofErr w:type="spellEnd"/>
      <w:r>
        <w:rPr>
          <w:sz w:val="26"/>
        </w:rPr>
        <w:t xml:space="preserve"> </w:t>
      </w:r>
      <w:proofErr w:type="spellStart"/>
      <w:r>
        <w:rPr>
          <w:sz w:val="26"/>
        </w:rPr>
        <w:t>al</w:t>
      </w:r>
      <w:proofErr w:type="spellEnd"/>
      <w:r>
        <w:rPr>
          <w:sz w:val="26"/>
        </w:rPr>
        <w:t>.],</w:t>
      </w:r>
      <w:r>
        <w:rPr>
          <w:sz w:val="26"/>
          <w:lang w:val="pt-PT"/>
        </w:rPr>
        <w:t xml:space="preserve"> </w:t>
      </w:r>
      <w:r>
        <w:rPr>
          <w:sz w:val="26"/>
        </w:rPr>
        <w:t xml:space="preserve">однако существуют и другие эффективные решения для автоматического транскрибирования. В данной работе проводится сравнительный анализ трёх ASR-моделей: широко используемой </w:t>
      </w:r>
      <w:r>
        <w:rPr>
          <w:sz w:val="26"/>
          <w:lang w:val="en-US"/>
        </w:rPr>
        <w:t>whisper</w:t>
      </w:r>
      <w:r>
        <w:rPr>
          <w:sz w:val="26"/>
        </w:rPr>
        <w:t>-</w:t>
      </w:r>
      <w:r>
        <w:rPr>
          <w:sz w:val="26"/>
          <w:lang w:val="en-US"/>
        </w:rPr>
        <w:t>large</w:t>
      </w:r>
      <w:r>
        <w:rPr>
          <w:sz w:val="26"/>
        </w:rPr>
        <w:t>-</w:t>
      </w:r>
      <w:r>
        <w:rPr>
          <w:sz w:val="26"/>
          <w:lang w:val="en-US"/>
        </w:rPr>
        <w:t>v</w:t>
      </w:r>
      <w:r>
        <w:rPr>
          <w:sz w:val="26"/>
        </w:rPr>
        <w:t>3-</w:t>
      </w:r>
      <w:r>
        <w:rPr>
          <w:sz w:val="26"/>
          <w:lang w:val="en-US"/>
        </w:rPr>
        <w:t>turbo</w:t>
      </w:r>
      <w:r>
        <w:rPr>
          <w:sz w:val="26"/>
        </w:rPr>
        <w:t xml:space="preserve"> и высокоточных, но редко применяемых в лингвистических исследованиях </w:t>
      </w:r>
      <w:proofErr w:type="spellStart"/>
      <w:r>
        <w:rPr>
          <w:sz w:val="26"/>
          <w:lang w:val="de-DE"/>
        </w:rPr>
        <w:t>nemo-fastconformer-ru-rnnt</w:t>
      </w:r>
      <w:proofErr w:type="spellEnd"/>
      <w:r>
        <w:rPr>
          <w:sz w:val="26"/>
          <w:lang w:val="de-DE"/>
        </w:rPr>
        <w:t xml:space="preserve"> </w:t>
      </w:r>
      <w:r>
        <w:rPr>
          <w:sz w:val="26"/>
        </w:rPr>
        <w:t xml:space="preserve">и </w:t>
      </w:r>
      <w:r>
        <w:rPr>
          <w:sz w:val="26"/>
          <w:lang w:val="de-DE"/>
        </w:rPr>
        <w:t>gigaam-v2</w:t>
      </w:r>
      <w:r>
        <w:rPr>
          <w:sz w:val="26"/>
        </w:rPr>
        <w:t>-</w:t>
      </w:r>
      <w:proofErr w:type="spellStart"/>
      <w:r>
        <w:rPr>
          <w:sz w:val="26"/>
        </w:rPr>
        <w:t>rnnt</w:t>
      </w:r>
      <w:proofErr w:type="spellEnd"/>
      <w:r>
        <w:rPr>
          <w:sz w:val="26"/>
        </w:rPr>
        <w:t xml:space="preserve"> [</w:t>
      </w:r>
      <w:proofErr w:type="spellStart"/>
      <w:proofErr w:type="gramStart"/>
      <w:r>
        <w:rPr>
          <w:sz w:val="26"/>
        </w:rPr>
        <w:t>Stupakov</w:t>
      </w:r>
      <w:proofErr w:type="spellEnd"/>
      <w:r>
        <w:rPr>
          <w:sz w:val="26"/>
        </w:rPr>
        <w:t xml:space="preserve"> ]</w:t>
      </w:r>
      <w:proofErr w:type="gramEnd"/>
      <w:r>
        <w:rPr>
          <w:sz w:val="26"/>
        </w:rPr>
        <w:t>.</w:t>
      </w:r>
    </w:p>
    <w:p w14:paraId="51F6F36C" w14:textId="77777777" w:rsidR="004B704C" w:rsidRDefault="005C45B7">
      <w:pPr>
        <w:pStyle w:val="Afb"/>
        <w:ind w:firstLine="720"/>
        <w:contextualSpacing/>
        <w:rPr>
          <w:sz w:val="26"/>
        </w:rPr>
      </w:pPr>
      <w:r>
        <w:rPr>
          <w:b/>
          <w:bCs/>
          <w:sz w:val="26"/>
        </w:rPr>
        <w:t>Материал и методы исследования.</w:t>
      </w:r>
      <w:r>
        <w:rPr>
          <w:sz w:val="26"/>
        </w:rPr>
        <w:t xml:space="preserve"> Материалом исследования послужили 60 аудиофайлов устных рассказов (20 респондентов, возраст 17–67 лет) общей продолжительностью 231 мин. 37 </w:t>
      </w:r>
      <w:proofErr w:type="gramStart"/>
      <w:r>
        <w:rPr>
          <w:sz w:val="26"/>
        </w:rPr>
        <w:t>сек..</w:t>
      </w:r>
      <w:proofErr w:type="gramEnd"/>
      <w:r>
        <w:rPr>
          <w:sz w:val="26"/>
        </w:rPr>
        <w:t xml:space="preserve"> Сбор данных проводился в три этапа: рассказ о вымышленном событии, рассказ о реальном событии и выбор информанта (возможность продуцировать ложь или правду). Для оценки эффективности ASR-алгоритмов использовалась тестовая выборка данных (71 мин. 41 сек. — 30,95% от общего объема корпуса). Методология исследования включает автоматическое создание транскриптов ASR-моделями, ручное создание эталонных транскриптов, сравнительный анализ для локализации и классификации ошибок</w:t>
      </w:r>
      <w:r>
        <w:rPr>
          <w:sz w:val="26"/>
          <w:lang w:val="pt-PT"/>
        </w:rPr>
        <w:t xml:space="preserve">, </w:t>
      </w:r>
      <w:r>
        <w:rPr>
          <w:sz w:val="26"/>
        </w:rPr>
        <w:t>а также разработку протокола дискурсивной разметки</w:t>
      </w:r>
      <w:r>
        <w:rPr>
          <w:sz w:val="26"/>
          <w:lang w:val="pt-PT"/>
        </w:rPr>
        <w:t>.</w:t>
      </w:r>
    </w:p>
    <w:p w14:paraId="09E5460A" w14:textId="77777777" w:rsidR="004B704C" w:rsidRDefault="005C45B7">
      <w:pPr>
        <w:pStyle w:val="Afb"/>
        <w:ind w:firstLine="720"/>
        <w:contextualSpacing/>
        <w:rPr>
          <w:sz w:val="26"/>
        </w:rPr>
      </w:pPr>
      <w:r>
        <w:rPr>
          <w:sz w:val="26"/>
        </w:rPr>
        <w:lastRenderedPageBreak/>
        <w:t xml:space="preserve"> </w:t>
      </w:r>
      <w:r>
        <w:rPr>
          <w:b/>
          <w:bCs/>
          <w:sz w:val="26"/>
        </w:rPr>
        <w:t>Результаты оценки моделей.</w:t>
      </w:r>
      <w:r>
        <w:rPr>
          <w:sz w:val="26"/>
        </w:rPr>
        <w:t xml:space="preserve"> Для оценки качества автоматического распознавания применялись метрики </w:t>
      </w:r>
      <w:r>
        <w:rPr>
          <w:sz w:val="26"/>
          <w:lang w:val="de-DE"/>
        </w:rPr>
        <w:t xml:space="preserve">WER (Word Error Rate), CER (Character Error Rate), </w:t>
      </w:r>
      <w:r>
        <w:rPr>
          <w:sz w:val="26"/>
        </w:rPr>
        <w:t xml:space="preserve">а также </w:t>
      </w:r>
      <w:r>
        <w:rPr>
          <w:sz w:val="26"/>
          <w:lang w:val="en-US"/>
        </w:rPr>
        <w:t>WIL</w:t>
      </w:r>
      <w:r>
        <w:rPr>
          <w:sz w:val="26"/>
        </w:rPr>
        <w:t xml:space="preserve"> (</w:t>
      </w:r>
      <w:r>
        <w:rPr>
          <w:sz w:val="26"/>
          <w:lang w:val="en-US"/>
        </w:rPr>
        <w:t>Word</w:t>
      </w:r>
      <w:r>
        <w:rPr>
          <w:sz w:val="26"/>
        </w:rPr>
        <w:t xml:space="preserve"> </w:t>
      </w:r>
      <w:r>
        <w:rPr>
          <w:sz w:val="26"/>
          <w:lang w:val="en-US"/>
        </w:rPr>
        <w:t>Information</w:t>
      </w:r>
      <w:r>
        <w:rPr>
          <w:sz w:val="26"/>
        </w:rPr>
        <w:t xml:space="preserve"> </w:t>
      </w:r>
      <w:r>
        <w:rPr>
          <w:sz w:val="26"/>
          <w:lang w:val="en-US"/>
        </w:rPr>
        <w:t>Lost</w:t>
      </w:r>
      <w:r>
        <w:rPr>
          <w:sz w:val="26"/>
        </w:rPr>
        <w:t xml:space="preserve">) и </w:t>
      </w:r>
      <w:r>
        <w:rPr>
          <w:sz w:val="26"/>
          <w:lang w:val="en-US"/>
        </w:rPr>
        <w:t>WIP</w:t>
      </w:r>
      <w:r>
        <w:rPr>
          <w:sz w:val="26"/>
        </w:rPr>
        <w:t xml:space="preserve"> (</w:t>
      </w:r>
      <w:r>
        <w:rPr>
          <w:sz w:val="26"/>
          <w:lang w:val="en-US"/>
        </w:rPr>
        <w:t>Word</w:t>
      </w:r>
      <w:r>
        <w:rPr>
          <w:sz w:val="26"/>
        </w:rPr>
        <w:t xml:space="preserve"> </w:t>
      </w:r>
      <w:r>
        <w:rPr>
          <w:sz w:val="26"/>
          <w:lang w:val="en-US"/>
        </w:rPr>
        <w:t>Information</w:t>
      </w:r>
      <w:r>
        <w:rPr>
          <w:sz w:val="26"/>
        </w:rPr>
        <w:t xml:space="preserve"> </w:t>
      </w:r>
      <w:r>
        <w:rPr>
          <w:sz w:val="26"/>
          <w:lang w:val="en-US"/>
        </w:rPr>
        <w:t>Preserved</w:t>
      </w:r>
      <w:r>
        <w:rPr>
          <w:sz w:val="26"/>
        </w:rPr>
        <w:t xml:space="preserve">). Чем ниже значения </w:t>
      </w:r>
      <w:r>
        <w:rPr>
          <w:sz w:val="26"/>
          <w:lang w:val="de-DE"/>
        </w:rPr>
        <w:t xml:space="preserve">WER, CER </w:t>
      </w:r>
      <w:r>
        <w:rPr>
          <w:sz w:val="26"/>
        </w:rPr>
        <w:t xml:space="preserve">и </w:t>
      </w:r>
      <w:r>
        <w:rPr>
          <w:sz w:val="26"/>
          <w:lang w:val="en-US"/>
        </w:rPr>
        <w:t>WIL</w:t>
      </w:r>
      <w:r>
        <w:rPr>
          <w:sz w:val="26"/>
        </w:rPr>
        <w:t xml:space="preserve">, тем выше точность работы ASR–модели. Тестирование показало, что модель </w:t>
      </w:r>
      <w:r>
        <w:rPr>
          <w:sz w:val="26"/>
          <w:lang w:val="de-DE"/>
        </w:rPr>
        <w:t xml:space="preserve">gigaam-v2-rnnt </w:t>
      </w:r>
      <w:r>
        <w:rPr>
          <w:sz w:val="26"/>
        </w:rPr>
        <w:t xml:space="preserve">демонстрирует наилучшие количественные показатели (Таб. 1). </w:t>
      </w:r>
    </w:p>
    <w:p w14:paraId="3BBCA2E8" w14:textId="77777777" w:rsidR="004B704C" w:rsidRDefault="005C45B7">
      <w:pPr>
        <w:pStyle w:val="Afb"/>
        <w:ind w:firstLine="720"/>
        <w:contextualSpacing/>
        <w:jc w:val="right"/>
        <w:rPr>
          <w:sz w:val="26"/>
        </w:rPr>
      </w:pPr>
      <w:r>
        <w:rPr>
          <w:sz w:val="26"/>
        </w:rPr>
        <w:t>Таблица 1</w:t>
      </w:r>
    </w:p>
    <w:p w14:paraId="4EC27DBD" w14:textId="77777777" w:rsidR="004B704C" w:rsidRDefault="005C45B7">
      <w:pPr>
        <w:pStyle w:val="Afb"/>
        <w:ind w:firstLine="720"/>
        <w:contextualSpacing/>
        <w:jc w:val="center"/>
        <w:rPr>
          <w:sz w:val="26"/>
        </w:rPr>
      </w:pPr>
      <w:r>
        <w:rPr>
          <w:sz w:val="26"/>
        </w:rPr>
        <w:t>Результаты оценки качества моделей</w:t>
      </w:r>
    </w:p>
    <w:tbl>
      <w:tblPr>
        <w:tblStyle w:val="TableNormal"/>
        <w:tblW w:w="7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0DDEF"/>
        <w:tblLayout w:type="fixed"/>
        <w:tblLook w:val="04A0" w:firstRow="1" w:lastRow="0" w:firstColumn="1" w:lastColumn="0" w:noHBand="0" w:noVBand="1"/>
      </w:tblPr>
      <w:tblGrid>
        <w:gridCol w:w="1500"/>
        <w:gridCol w:w="2458"/>
        <w:gridCol w:w="2126"/>
        <w:gridCol w:w="1417"/>
      </w:tblGrid>
      <w:tr w:rsidR="004B704C" w14:paraId="51A387B0" w14:textId="77777777">
        <w:trPr>
          <w:trHeight w:val="20"/>
          <w:jc w:val="center"/>
        </w:trPr>
        <w:tc>
          <w:tcPr>
            <w:tcW w:w="1500" w:type="dxa"/>
            <w:tcMar>
              <w:top w:w="80" w:type="dxa"/>
              <w:left w:w="80" w:type="dxa"/>
              <w:bottom w:w="80" w:type="dxa"/>
              <w:right w:w="80" w:type="dxa"/>
            </w:tcMar>
            <w:vAlign w:val="bottom"/>
          </w:tcPr>
          <w:p w14:paraId="165EA53D" w14:textId="77777777" w:rsidR="004B704C" w:rsidRDefault="005C45B7">
            <w:pPr>
              <w:pStyle w:val="Afb"/>
              <w:widowControl w:val="0"/>
              <w:spacing w:line="240" w:lineRule="auto"/>
              <w:ind w:firstLine="0"/>
              <w:contextualSpacing/>
              <w:jc w:val="left"/>
              <w:rPr>
                <w:rFonts w:cs="Times New Roman"/>
                <w:sz w:val="22"/>
                <w:szCs w:val="22"/>
              </w:rPr>
            </w:pPr>
            <w:r>
              <w:rPr>
                <w:rFonts w:cs="Times New Roman"/>
                <w:sz w:val="22"/>
                <w:szCs w:val="22"/>
              </w:rPr>
              <w:t>Метрика (%) / ASR-модель</w:t>
            </w:r>
          </w:p>
        </w:tc>
        <w:tc>
          <w:tcPr>
            <w:tcW w:w="2458" w:type="dxa"/>
            <w:tcMar>
              <w:top w:w="80" w:type="dxa"/>
              <w:left w:w="80" w:type="dxa"/>
              <w:bottom w:w="80" w:type="dxa"/>
              <w:right w:w="80" w:type="dxa"/>
            </w:tcMar>
            <w:vAlign w:val="bottom"/>
          </w:tcPr>
          <w:p w14:paraId="47F5C603" w14:textId="77777777" w:rsidR="004B704C" w:rsidRDefault="005C45B7">
            <w:pPr>
              <w:pStyle w:val="Afb"/>
              <w:widowControl w:val="0"/>
              <w:spacing w:line="240" w:lineRule="auto"/>
              <w:ind w:firstLine="0"/>
              <w:contextualSpacing/>
              <w:jc w:val="center"/>
              <w:rPr>
                <w:rFonts w:cs="Times New Roman"/>
                <w:sz w:val="22"/>
                <w:szCs w:val="22"/>
              </w:rPr>
            </w:pPr>
            <w:proofErr w:type="spellStart"/>
            <w:r>
              <w:rPr>
                <w:rFonts w:cs="Times New Roman"/>
                <w:sz w:val="22"/>
                <w:szCs w:val="22"/>
              </w:rPr>
              <w:t>nemo-fastconformer-ru-rnnt</w:t>
            </w:r>
            <w:proofErr w:type="spellEnd"/>
          </w:p>
        </w:tc>
        <w:tc>
          <w:tcPr>
            <w:tcW w:w="2126" w:type="dxa"/>
            <w:tcMar>
              <w:top w:w="80" w:type="dxa"/>
              <w:left w:w="80" w:type="dxa"/>
              <w:bottom w:w="80" w:type="dxa"/>
              <w:right w:w="80" w:type="dxa"/>
            </w:tcMar>
            <w:vAlign w:val="bottom"/>
          </w:tcPr>
          <w:p w14:paraId="3ABA4B6A"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sz w:val="22"/>
                <w:szCs w:val="22"/>
              </w:rPr>
              <w:t>whisper-large-v3-turbo</w:t>
            </w:r>
          </w:p>
        </w:tc>
        <w:tc>
          <w:tcPr>
            <w:tcW w:w="1417" w:type="dxa"/>
            <w:tcMar>
              <w:top w:w="80" w:type="dxa"/>
              <w:left w:w="80" w:type="dxa"/>
              <w:bottom w:w="80" w:type="dxa"/>
              <w:right w:w="80" w:type="dxa"/>
            </w:tcMar>
            <w:vAlign w:val="bottom"/>
          </w:tcPr>
          <w:p w14:paraId="17EBF1AF"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sz w:val="22"/>
                <w:szCs w:val="22"/>
              </w:rPr>
              <w:t>gigaam-v2-rnnt</w:t>
            </w:r>
          </w:p>
        </w:tc>
      </w:tr>
      <w:tr w:rsidR="004B704C" w14:paraId="39DF1003" w14:textId="77777777">
        <w:trPr>
          <w:trHeight w:val="20"/>
          <w:jc w:val="center"/>
        </w:trPr>
        <w:tc>
          <w:tcPr>
            <w:tcW w:w="1500" w:type="dxa"/>
            <w:tcMar>
              <w:top w:w="80" w:type="dxa"/>
              <w:left w:w="80" w:type="dxa"/>
              <w:bottom w:w="80" w:type="dxa"/>
              <w:right w:w="80" w:type="dxa"/>
            </w:tcMar>
            <w:vAlign w:val="bottom"/>
          </w:tcPr>
          <w:p w14:paraId="09993EDC" w14:textId="77777777" w:rsidR="004B704C" w:rsidRDefault="005C45B7">
            <w:pPr>
              <w:pStyle w:val="Afb"/>
              <w:widowControl w:val="0"/>
              <w:spacing w:line="240" w:lineRule="auto"/>
              <w:ind w:firstLine="0"/>
              <w:contextualSpacing/>
              <w:jc w:val="left"/>
              <w:rPr>
                <w:rFonts w:cs="Times New Roman"/>
                <w:sz w:val="22"/>
                <w:szCs w:val="22"/>
              </w:rPr>
            </w:pPr>
            <w:r>
              <w:rPr>
                <w:rFonts w:cs="Times New Roman"/>
                <w:sz w:val="22"/>
                <w:szCs w:val="22"/>
              </w:rPr>
              <w:t>WER</w:t>
            </w:r>
          </w:p>
        </w:tc>
        <w:tc>
          <w:tcPr>
            <w:tcW w:w="2458" w:type="dxa"/>
            <w:tcMar>
              <w:top w:w="80" w:type="dxa"/>
              <w:left w:w="80" w:type="dxa"/>
              <w:bottom w:w="80" w:type="dxa"/>
              <w:right w:w="80" w:type="dxa"/>
            </w:tcMar>
            <w:vAlign w:val="bottom"/>
          </w:tcPr>
          <w:p w14:paraId="570D422E"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sz w:val="22"/>
                <w:szCs w:val="22"/>
              </w:rPr>
              <w:t>11.09</w:t>
            </w:r>
          </w:p>
        </w:tc>
        <w:tc>
          <w:tcPr>
            <w:tcW w:w="2126" w:type="dxa"/>
            <w:tcMar>
              <w:top w:w="80" w:type="dxa"/>
              <w:left w:w="80" w:type="dxa"/>
              <w:bottom w:w="80" w:type="dxa"/>
              <w:right w:w="80" w:type="dxa"/>
            </w:tcMar>
            <w:vAlign w:val="bottom"/>
          </w:tcPr>
          <w:p w14:paraId="32B0CAC2"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sz w:val="22"/>
                <w:szCs w:val="22"/>
              </w:rPr>
              <w:t>16.46</w:t>
            </w:r>
          </w:p>
        </w:tc>
        <w:tc>
          <w:tcPr>
            <w:tcW w:w="1417" w:type="dxa"/>
            <w:tcMar>
              <w:top w:w="80" w:type="dxa"/>
              <w:left w:w="80" w:type="dxa"/>
              <w:bottom w:w="80" w:type="dxa"/>
              <w:right w:w="80" w:type="dxa"/>
            </w:tcMar>
            <w:vAlign w:val="bottom"/>
          </w:tcPr>
          <w:p w14:paraId="435F4B78"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b/>
                <w:bCs/>
                <w:sz w:val="22"/>
                <w:szCs w:val="22"/>
              </w:rPr>
              <w:t>6.18</w:t>
            </w:r>
          </w:p>
        </w:tc>
      </w:tr>
      <w:tr w:rsidR="004B704C" w14:paraId="26C6D829" w14:textId="77777777">
        <w:trPr>
          <w:trHeight w:val="20"/>
          <w:jc w:val="center"/>
        </w:trPr>
        <w:tc>
          <w:tcPr>
            <w:tcW w:w="1500" w:type="dxa"/>
            <w:tcMar>
              <w:top w:w="80" w:type="dxa"/>
              <w:left w:w="80" w:type="dxa"/>
              <w:bottom w:w="80" w:type="dxa"/>
              <w:right w:w="80" w:type="dxa"/>
            </w:tcMar>
            <w:vAlign w:val="bottom"/>
          </w:tcPr>
          <w:p w14:paraId="3D761FA0" w14:textId="77777777" w:rsidR="004B704C" w:rsidRDefault="005C45B7">
            <w:pPr>
              <w:pStyle w:val="Afb"/>
              <w:widowControl w:val="0"/>
              <w:spacing w:line="240" w:lineRule="auto"/>
              <w:ind w:firstLine="0"/>
              <w:contextualSpacing/>
              <w:jc w:val="left"/>
              <w:rPr>
                <w:rFonts w:cs="Times New Roman"/>
                <w:sz w:val="22"/>
                <w:szCs w:val="22"/>
              </w:rPr>
            </w:pPr>
            <w:r>
              <w:rPr>
                <w:rFonts w:cs="Times New Roman"/>
                <w:sz w:val="22"/>
                <w:szCs w:val="22"/>
              </w:rPr>
              <w:t>CER</w:t>
            </w:r>
          </w:p>
        </w:tc>
        <w:tc>
          <w:tcPr>
            <w:tcW w:w="2458" w:type="dxa"/>
            <w:tcMar>
              <w:top w:w="80" w:type="dxa"/>
              <w:left w:w="80" w:type="dxa"/>
              <w:bottom w:w="80" w:type="dxa"/>
              <w:right w:w="80" w:type="dxa"/>
            </w:tcMar>
            <w:vAlign w:val="bottom"/>
          </w:tcPr>
          <w:p w14:paraId="77A82379"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sz w:val="22"/>
                <w:szCs w:val="22"/>
              </w:rPr>
              <w:t>4.4</w:t>
            </w:r>
          </w:p>
        </w:tc>
        <w:tc>
          <w:tcPr>
            <w:tcW w:w="2126" w:type="dxa"/>
            <w:tcMar>
              <w:top w:w="80" w:type="dxa"/>
              <w:left w:w="80" w:type="dxa"/>
              <w:bottom w:w="80" w:type="dxa"/>
              <w:right w:w="80" w:type="dxa"/>
            </w:tcMar>
            <w:vAlign w:val="bottom"/>
          </w:tcPr>
          <w:p w14:paraId="0865DDCF"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sz w:val="22"/>
                <w:szCs w:val="22"/>
              </w:rPr>
              <w:t>9.94</w:t>
            </w:r>
          </w:p>
        </w:tc>
        <w:tc>
          <w:tcPr>
            <w:tcW w:w="1417" w:type="dxa"/>
            <w:tcMar>
              <w:top w:w="80" w:type="dxa"/>
              <w:left w:w="80" w:type="dxa"/>
              <w:bottom w:w="80" w:type="dxa"/>
              <w:right w:w="80" w:type="dxa"/>
            </w:tcMar>
            <w:vAlign w:val="bottom"/>
          </w:tcPr>
          <w:p w14:paraId="46FB039F"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b/>
                <w:bCs/>
                <w:sz w:val="22"/>
                <w:szCs w:val="22"/>
              </w:rPr>
              <w:t>2.13</w:t>
            </w:r>
          </w:p>
        </w:tc>
      </w:tr>
      <w:tr w:rsidR="004B704C" w14:paraId="46AF4628" w14:textId="77777777">
        <w:trPr>
          <w:trHeight w:val="20"/>
          <w:jc w:val="center"/>
        </w:trPr>
        <w:tc>
          <w:tcPr>
            <w:tcW w:w="1500" w:type="dxa"/>
            <w:tcMar>
              <w:top w:w="80" w:type="dxa"/>
              <w:left w:w="80" w:type="dxa"/>
              <w:bottom w:w="80" w:type="dxa"/>
              <w:right w:w="80" w:type="dxa"/>
            </w:tcMar>
            <w:vAlign w:val="bottom"/>
          </w:tcPr>
          <w:p w14:paraId="355F57DD" w14:textId="77777777" w:rsidR="004B704C" w:rsidRDefault="005C45B7">
            <w:pPr>
              <w:pStyle w:val="Afb"/>
              <w:widowControl w:val="0"/>
              <w:spacing w:line="240" w:lineRule="auto"/>
              <w:ind w:firstLine="0"/>
              <w:contextualSpacing/>
              <w:jc w:val="left"/>
              <w:rPr>
                <w:rFonts w:cs="Times New Roman"/>
                <w:sz w:val="22"/>
                <w:szCs w:val="22"/>
              </w:rPr>
            </w:pPr>
            <w:r>
              <w:rPr>
                <w:rFonts w:cs="Times New Roman"/>
                <w:sz w:val="22"/>
                <w:szCs w:val="22"/>
              </w:rPr>
              <w:t>WIL</w:t>
            </w:r>
          </w:p>
        </w:tc>
        <w:tc>
          <w:tcPr>
            <w:tcW w:w="2458" w:type="dxa"/>
            <w:tcMar>
              <w:top w:w="80" w:type="dxa"/>
              <w:left w:w="80" w:type="dxa"/>
              <w:bottom w:w="80" w:type="dxa"/>
              <w:right w:w="80" w:type="dxa"/>
            </w:tcMar>
            <w:vAlign w:val="bottom"/>
          </w:tcPr>
          <w:p w14:paraId="25BA9141"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sz w:val="22"/>
                <w:szCs w:val="22"/>
              </w:rPr>
              <w:t>17.42</w:t>
            </w:r>
          </w:p>
        </w:tc>
        <w:tc>
          <w:tcPr>
            <w:tcW w:w="2126" w:type="dxa"/>
            <w:tcMar>
              <w:top w:w="80" w:type="dxa"/>
              <w:left w:w="80" w:type="dxa"/>
              <w:bottom w:w="80" w:type="dxa"/>
              <w:right w:w="80" w:type="dxa"/>
            </w:tcMar>
            <w:vAlign w:val="bottom"/>
          </w:tcPr>
          <w:p w14:paraId="01632789"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sz w:val="22"/>
                <w:szCs w:val="22"/>
              </w:rPr>
              <w:t>20.84</w:t>
            </w:r>
          </w:p>
        </w:tc>
        <w:tc>
          <w:tcPr>
            <w:tcW w:w="1417" w:type="dxa"/>
            <w:tcMar>
              <w:top w:w="80" w:type="dxa"/>
              <w:left w:w="80" w:type="dxa"/>
              <w:bottom w:w="80" w:type="dxa"/>
              <w:right w:w="80" w:type="dxa"/>
            </w:tcMar>
            <w:vAlign w:val="bottom"/>
          </w:tcPr>
          <w:p w14:paraId="53F059BB"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b/>
                <w:bCs/>
                <w:sz w:val="22"/>
                <w:szCs w:val="22"/>
              </w:rPr>
              <w:t>9.54</w:t>
            </w:r>
          </w:p>
        </w:tc>
      </w:tr>
      <w:tr w:rsidR="004B704C" w14:paraId="2FB29210" w14:textId="77777777">
        <w:trPr>
          <w:trHeight w:val="20"/>
          <w:jc w:val="center"/>
        </w:trPr>
        <w:tc>
          <w:tcPr>
            <w:tcW w:w="1500" w:type="dxa"/>
            <w:tcMar>
              <w:top w:w="80" w:type="dxa"/>
              <w:left w:w="80" w:type="dxa"/>
              <w:bottom w:w="80" w:type="dxa"/>
              <w:right w:w="80" w:type="dxa"/>
            </w:tcMar>
            <w:vAlign w:val="bottom"/>
          </w:tcPr>
          <w:p w14:paraId="4D234F10" w14:textId="77777777" w:rsidR="004B704C" w:rsidRDefault="005C45B7">
            <w:pPr>
              <w:pStyle w:val="Afb"/>
              <w:widowControl w:val="0"/>
              <w:spacing w:line="240" w:lineRule="auto"/>
              <w:ind w:firstLine="0"/>
              <w:contextualSpacing/>
              <w:jc w:val="left"/>
              <w:rPr>
                <w:rFonts w:cs="Times New Roman"/>
                <w:sz w:val="22"/>
                <w:szCs w:val="22"/>
              </w:rPr>
            </w:pPr>
            <w:r>
              <w:rPr>
                <w:rFonts w:cs="Times New Roman"/>
                <w:sz w:val="22"/>
                <w:szCs w:val="22"/>
              </w:rPr>
              <w:t>WIP</w:t>
            </w:r>
          </w:p>
        </w:tc>
        <w:tc>
          <w:tcPr>
            <w:tcW w:w="2458" w:type="dxa"/>
            <w:tcMar>
              <w:top w:w="80" w:type="dxa"/>
              <w:left w:w="80" w:type="dxa"/>
              <w:bottom w:w="80" w:type="dxa"/>
              <w:right w:w="80" w:type="dxa"/>
            </w:tcMar>
            <w:vAlign w:val="bottom"/>
          </w:tcPr>
          <w:p w14:paraId="5E9CED2E"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sz w:val="22"/>
                <w:szCs w:val="22"/>
              </w:rPr>
              <w:t>82.58</w:t>
            </w:r>
          </w:p>
        </w:tc>
        <w:tc>
          <w:tcPr>
            <w:tcW w:w="2126" w:type="dxa"/>
            <w:tcMar>
              <w:top w:w="80" w:type="dxa"/>
              <w:left w:w="80" w:type="dxa"/>
              <w:bottom w:w="80" w:type="dxa"/>
              <w:right w:w="80" w:type="dxa"/>
            </w:tcMar>
            <w:vAlign w:val="bottom"/>
          </w:tcPr>
          <w:p w14:paraId="4543EBC8"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sz w:val="22"/>
                <w:szCs w:val="22"/>
              </w:rPr>
              <w:t>79.16</w:t>
            </w:r>
          </w:p>
        </w:tc>
        <w:tc>
          <w:tcPr>
            <w:tcW w:w="1417" w:type="dxa"/>
            <w:tcMar>
              <w:top w:w="80" w:type="dxa"/>
              <w:left w:w="80" w:type="dxa"/>
              <w:bottom w:w="80" w:type="dxa"/>
              <w:right w:w="80" w:type="dxa"/>
            </w:tcMar>
            <w:vAlign w:val="bottom"/>
          </w:tcPr>
          <w:p w14:paraId="59B92AFA" w14:textId="77777777" w:rsidR="004B704C" w:rsidRDefault="005C45B7">
            <w:pPr>
              <w:pStyle w:val="Afb"/>
              <w:widowControl w:val="0"/>
              <w:spacing w:line="240" w:lineRule="auto"/>
              <w:ind w:firstLine="0"/>
              <w:contextualSpacing/>
              <w:jc w:val="center"/>
              <w:rPr>
                <w:rFonts w:cs="Times New Roman"/>
                <w:sz w:val="22"/>
                <w:szCs w:val="22"/>
              </w:rPr>
            </w:pPr>
            <w:r>
              <w:rPr>
                <w:rFonts w:cs="Times New Roman"/>
                <w:b/>
                <w:bCs/>
                <w:sz w:val="22"/>
                <w:szCs w:val="22"/>
              </w:rPr>
              <w:t>90.46</w:t>
            </w:r>
          </w:p>
        </w:tc>
      </w:tr>
    </w:tbl>
    <w:p w14:paraId="709A3019" w14:textId="77777777" w:rsidR="004B704C" w:rsidRDefault="004B704C">
      <w:pPr>
        <w:pStyle w:val="Afb"/>
        <w:widowControl w:val="0"/>
        <w:ind w:firstLine="720"/>
        <w:contextualSpacing/>
        <w:jc w:val="left"/>
        <w:rPr>
          <w:sz w:val="26"/>
        </w:rPr>
      </w:pPr>
    </w:p>
    <w:p w14:paraId="66342970" w14:textId="77777777" w:rsidR="004B704C" w:rsidRDefault="005C45B7">
      <w:pPr>
        <w:pStyle w:val="Afb"/>
        <w:ind w:firstLine="720"/>
        <w:contextualSpacing/>
        <w:rPr>
          <w:sz w:val="26"/>
        </w:rPr>
      </w:pPr>
      <w:r>
        <w:rPr>
          <w:sz w:val="26"/>
        </w:rPr>
        <w:t xml:space="preserve">В результате ручного анализа ошибок распознавания, относящихся к категории замен, были выделены два кластера: ошибки, не влияющие на семантику (подмена грамматических категорий), например, эталон: </w:t>
      </w:r>
      <w:r>
        <w:rPr>
          <w:i/>
          <w:iCs/>
          <w:sz w:val="26"/>
        </w:rPr>
        <w:t xml:space="preserve">другой моей </w:t>
      </w:r>
      <w:r>
        <w:rPr>
          <w:b/>
          <w:bCs/>
          <w:i/>
          <w:iCs/>
          <w:sz w:val="26"/>
        </w:rPr>
        <w:t>подруге</w:t>
      </w:r>
      <w:r>
        <w:rPr>
          <w:sz w:val="26"/>
        </w:rPr>
        <w:t xml:space="preserve">, гипотеза модели: </w:t>
      </w:r>
      <w:r>
        <w:rPr>
          <w:i/>
          <w:iCs/>
          <w:sz w:val="26"/>
        </w:rPr>
        <w:t xml:space="preserve">другой моей </w:t>
      </w:r>
      <w:r>
        <w:rPr>
          <w:b/>
          <w:bCs/>
          <w:i/>
          <w:iCs/>
          <w:sz w:val="26"/>
        </w:rPr>
        <w:t>подруги</w:t>
      </w:r>
      <w:r>
        <w:rPr>
          <w:sz w:val="26"/>
        </w:rPr>
        <w:t>,</w:t>
      </w:r>
      <w:r>
        <w:rPr>
          <w:b/>
          <w:bCs/>
          <w:i/>
          <w:iCs/>
          <w:sz w:val="26"/>
        </w:rPr>
        <w:t xml:space="preserve"> </w:t>
      </w:r>
      <w:r>
        <w:rPr>
          <w:sz w:val="26"/>
        </w:rPr>
        <w:t>–</w:t>
      </w:r>
      <w:r>
        <w:rPr>
          <w:b/>
          <w:bCs/>
          <w:i/>
          <w:iCs/>
          <w:sz w:val="26"/>
        </w:rPr>
        <w:t xml:space="preserve"> </w:t>
      </w:r>
      <w:r>
        <w:rPr>
          <w:sz w:val="26"/>
        </w:rPr>
        <w:t xml:space="preserve">и </w:t>
      </w:r>
      <w:proofErr w:type="spellStart"/>
      <w:r>
        <w:rPr>
          <w:sz w:val="26"/>
        </w:rPr>
        <w:t>смыслоизменяющие</w:t>
      </w:r>
      <w:proofErr w:type="spellEnd"/>
      <w:r>
        <w:rPr>
          <w:sz w:val="26"/>
        </w:rPr>
        <w:t xml:space="preserve"> ошибки (1 – полностью другая лексема, не связанная с контекстом, но схожая по звуковому облику, например, эталон: </w:t>
      </w:r>
      <w:r>
        <w:rPr>
          <w:b/>
          <w:bCs/>
          <w:i/>
          <w:iCs/>
          <w:sz w:val="26"/>
        </w:rPr>
        <w:t>мне</w:t>
      </w:r>
      <w:r>
        <w:rPr>
          <w:i/>
          <w:iCs/>
          <w:sz w:val="26"/>
        </w:rPr>
        <w:t xml:space="preserve"> дают бланк я заполняю этот </w:t>
      </w:r>
      <w:r>
        <w:rPr>
          <w:b/>
          <w:bCs/>
          <w:i/>
          <w:iCs/>
          <w:sz w:val="26"/>
        </w:rPr>
        <w:t>бланк</w:t>
      </w:r>
      <w:r>
        <w:rPr>
          <w:sz w:val="26"/>
        </w:rPr>
        <w:t xml:space="preserve">, гипотеза модели: </w:t>
      </w:r>
      <w:r>
        <w:rPr>
          <w:b/>
          <w:bCs/>
          <w:i/>
          <w:iCs/>
          <w:sz w:val="26"/>
        </w:rPr>
        <w:t>не</w:t>
      </w:r>
      <w:r>
        <w:rPr>
          <w:i/>
          <w:iCs/>
          <w:sz w:val="26"/>
        </w:rPr>
        <w:t xml:space="preserve"> дают бланк я заполняю этот </w:t>
      </w:r>
      <w:r>
        <w:rPr>
          <w:b/>
          <w:bCs/>
          <w:i/>
          <w:iCs/>
          <w:sz w:val="26"/>
        </w:rPr>
        <w:t>банк</w:t>
      </w:r>
      <w:r>
        <w:rPr>
          <w:sz w:val="26"/>
          <w:lang w:val="de-DE"/>
        </w:rPr>
        <w:t xml:space="preserve">;  2 </w:t>
      </w:r>
      <w:r>
        <w:rPr>
          <w:sz w:val="26"/>
        </w:rPr>
        <w:t xml:space="preserve">– несуществующий звуковой аналог, например, эталон: </w:t>
      </w:r>
      <w:r>
        <w:rPr>
          <w:i/>
          <w:iCs/>
          <w:sz w:val="26"/>
        </w:rPr>
        <w:t xml:space="preserve">не было </w:t>
      </w:r>
      <w:r>
        <w:rPr>
          <w:b/>
          <w:bCs/>
          <w:i/>
          <w:iCs/>
          <w:sz w:val="26"/>
        </w:rPr>
        <w:t>толкучки</w:t>
      </w:r>
      <w:r>
        <w:rPr>
          <w:i/>
          <w:iCs/>
          <w:sz w:val="26"/>
        </w:rPr>
        <w:t xml:space="preserve"> никто на пятки не наступал</w:t>
      </w:r>
      <w:r>
        <w:rPr>
          <w:sz w:val="26"/>
        </w:rPr>
        <w:t xml:space="preserve">, гипотеза модели: </w:t>
      </w:r>
      <w:r>
        <w:rPr>
          <w:i/>
          <w:iCs/>
          <w:sz w:val="26"/>
        </w:rPr>
        <w:t xml:space="preserve">не было </w:t>
      </w:r>
      <w:proofErr w:type="spellStart"/>
      <w:r>
        <w:rPr>
          <w:b/>
          <w:bCs/>
          <w:i/>
          <w:iCs/>
          <w:sz w:val="26"/>
        </w:rPr>
        <w:t>толпучки</w:t>
      </w:r>
      <w:proofErr w:type="spellEnd"/>
      <w:r>
        <w:rPr>
          <w:i/>
          <w:iCs/>
          <w:sz w:val="26"/>
        </w:rPr>
        <w:t xml:space="preserve"> никто на пятки не наступал</w:t>
      </w:r>
      <w:r>
        <w:rPr>
          <w:sz w:val="26"/>
        </w:rPr>
        <w:t xml:space="preserve">). Модель </w:t>
      </w:r>
      <w:r>
        <w:rPr>
          <w:sz w:val="26"/>
          <w:lang w:val="de-DE"/>
        </w:rPr>
        <w:t xml:space="preserve">gigaam-v2-rnnt </w:t>
      </w:r>
      <w:r>
        <w:rPr>
          <w:sz w:val="26"/>
        </w:rPr>
        <w:t xml:space="preserve">проявила наибольшую устойчивость к </w:t>
      </w:r>
      <w:proofErr w:type="spellStart"/>
      <w:r>
        <w:rPr>
          <w:sz w:val="26"/>
        </w:rPr>
        <w:t>смыслоизменяющим</w:t>
      </w:r>
      <w:proofErr w:type="spellEnd"/>
      <w:r>
        <w:rPr>
          <w:sz w:val="26"/>
        </w:rPr>
        <w:t xml:space="preserve"> заменам, в частности к подстановке несуществующих лексем (Рис. 1). При анализе ошибок, вошедших в категорию удалений, было отмечено, что </w:t>
      </w:r>
      <w:r>
        <w:rPr>
          <w:sz w:val="26"/>
          <w:lang w:val="en-US"/>
        </w:rPr>
        <w:t>whisper</w:t>
      </w:r>
      <w:r>
        <w:rPr>
          <w:sz w:val="26"/>
        </w:rPr>
        <w:t>-</w:t>
      </w:r>
      <w:r>
        <w:rPr>
          <w:sz w:val="26"/>
          <w:lang w:val="en-US"/>
        </w:rPr>
        <w:t>large</w:t>
      </w:r>
      <w:r>
        <w:rPr>
          <w:sz w:val="26"/>
        </w:rPr>
        <w:t>-</w:t>
      </w:r>
      <w:r>
        <w:rPr>
          <w:sz w:val="26"/>
          <w:lang w:val="en-US"/>
        </w:rPr>
        <w:t>v</w:t>
      </w:r>
      <w:r>
        <w:rPr>
          <w:sz w:val="26"/>
        </w:rPr>
        <w:t>3-</w:t>
      </w:r>
      <w:r>
        <w:rPr>
          <w:sz w:val="26"/>
          <w:lang w:val="en-US"/>
        </w:rPr>
        <w:t>turbo</w:t>
      </w:r>
      <w:r>
        <w:rPr>
          <w:sz w:val="26"/>
        </w:rPr>
        <w:t xml:space="preserve"> склонна к пропуску целых клауз, в то время как </w:t>
      </w:r>
      <w:r>
        <w:rPr>
          <w:sz w:val="26"/>
          <w:lang w:val="de-DE"/>
        </w:rPr>
        <w:t xml:space="preserve">gigaam-v2-rnnt </w:t>
      </w:r>
      <w:r>
        <w:rPr>
          <w:sz w:val="26"/>
        </w:rPr>
        <w:t xml:space="preserve">и </w:t>
      </w:r>
      <w:proofErr w:type="spellStart"/>
      <w:r>
        <w:rPr>
          <w:sz w:val="26"/>
          <w:lang w:val="de-DE"/>
        </w:rPr>
        <w:t>nemo-fastconformer-ru-rnnt</w:t>
      </w:r>
      <w:proofErr w:type="spellEnd"/>
      <w:r>
        <w:rPr>
          <w:sz w:val="26"/>
          <w:lang w:val="de-DE"/>
        </w:rPr>
        <w:t xml:space="preserve"> </w:t>
      </w:r>
      <w:r>
        <w:rPr>
          <w:sz w:val="26"/>
        </w:rPr>
        <w:t xml:space="preserve">более устойчивы к удалению знаменательных слов, хотя систематически пропускают союзы и дискурсивные частицы (Рис. 2). Критически важным выводом стала неспособность всех протестированных ASR-алгоритмов фиксировать </w:t>
      </w:r>
      <w:proofErr w:type="spellStart"/>
      <w:r>
        <w:rPr>
          <w:sz w:val="26"/>
        </w:rPr>
        <w:t>диагностически</w:t>
      </w:r>
      <w:proofErr w:type="spellEnd"/>
      <w:r>
        <w:rPr>
          <w:sz w:val="26"/>
        </w:rPr>
        <w:t xml:space="preserve"> значимые элементы – заполненные </w:t>
      </w:r>
      <w:proofErr w:type="spellStart"/>
      <w:r>
        <w:rPr>
          <w:sz w:val="26"/>
        </w:rPr>
        <w:t>хезитационные</w:t>
      </w:r>
      <w:proofErr w:type="spellEnd"/>
      <w:r>
        <w:rPr>
          <w:sz w:val="26"/>
        </w:rPr>
        <w:t xml:space="preserve"> паузы и </w:t>
      </w:r>
      <w:proofErr w:type="spellStart"/>
      <w:r>
        <w:rPr>
          <w:sz w:val="26"/>
        </w:rPr>
        <w:t>самоисправления</w:t>
      </w:r>
      <w:proofErr w:type="spellEnd"/>
      <w:r>
        <w:rPr>
          <w:sz w:val="26"/>
        </w:rPr>
        <w:t xml:space="preserve">. Это обусловило необходимость обязательной ручной валидации </w:t>
      </w:r>
      <w:r>
        <w:rPr>
          <w:sz w:val="26"/>
        </w:rPr>
        <w:lastRenderedPageBreak/>
        <w:t>транскриптов и разработку унифицированного протокола аннотации для обеспечения соответствия корпуса задачам диагностики.</w:t>
      </w:r>
    </w:p>
    <w:p w14:paraId="7A269F5A" w14:textId="77777777" w:rsidR="004B704C" w:rsidRDefault="004B704C">
      <w:pPr>
        <w:pStyle w:val="Afb"/>
        <w:ind w:firstLine="720"/>
        <w:contextualSpacing/>
        <w:jc w:val="left"/>
        <w:rPr>
          <w:sz w:val="26"/>
          <w:szCs w:val="20"/>
        </w:rPr>
      </w:pPr>
    </w:p>
    <w:tbl>
      <w:tblPr>
        <w:tblStyle w:val="TableNormal"/>
        <w:tblW w:w="9600" w:type="dxa"/>
        <w:tblInd w:w="432" w:type="dxa"/>
        <w:shd w:val="clear" w:color="auto" w:fill="D0DDEF"/>
        <w:tblLayout w:type="fixed"/>
        <w:tblLook w:val="04A0" w:firstRow="1" w:lastRow="0" w:firstColumn="1" w:lastColumn="0" w:noHBand="0" w:noVBand="1"/>
      </w:tblPr>
      <w:tblGrid>
        <w:gridCol w:w="4980"/>
        <w:gridCol w:w="4620"/>
      </w:tblGrid>
      <w:tr w:rsidR="004B704C" w:rsidRPr="00FB28D1" w14:paraId="73DFF9B7" w14:textId="77777777">
        <w:trPr>
          <w:trHeight w:val="1612"/>
        </w:trPr>
        <w:tc>
          <w:tcPr>
            <w:tcW w:w="4980" w:type="dxa"/>
            <w:tcMar>
              <w:top w:w="80" w:type="dxa"/>
              <w:left w:w="80" w:type="dxa"/>
              <w:bottom w:w="80" w:type="dxa"/>
              <w:right w:w="80" w:type="dxa"/>
            </w:tcMar>
            <w:vAlign w:val="center"/>
          </w:tcPr>
          <w:p w14:paraId="36BC2E97" w14:textId="77777777" w:rsidR="004B704C" w:rsidRDefault="005C45B7">
            <w:pPr>
              <w:pStyle w:val="Afb"/>
              <w:widowControl w:val="0"/>
              <w:ind w:firstLine="720"/>
              <w:contextualSpacing/>
              <w:jc w:val="center"/>
              <w:rPr>
                <w:b/>
                <w:bCs/>
                <w:sz w:val="26"/>
                <w:szCs w:val="20"/>
              </w:rPr>
            </w:pPr>
            <w:r>
              <w:rPr>
                <w:noProof/>
                <w:sz w:val="26"/>
              </w:rPr>
              <mc:AlternateContent>
                <mc:Choice Requires="wpg">
                  <w:drawing>
                    <wp:anchor distT="0" distB="0" distL="0" distR="0" simplePos="0" relativeHeight="251660288" behindDoc="0" locked="0" layoutInCell="1" allowOverlap="1" wp14:anchorId="1DA165C3" wp14:editId="53C9B418">
                      <wp:simplePos x="0" y="0"/>
                      <wp:positionH relativeFrom="column">
                        <wp:posOffset>214630</wp:posOffset>
                      </wp:positionH>
                      <wp:positionV relativeFrom="line">
                        <wp:posOffset>106680</wp:posOffset>
                      </wp:positionV>
                      <wp:extent cx="2595561" cy="1533525"/>
                      <wp:effectExtent l="0" t="0" r="0" b="0"/>
                      <wp:wrapTopAndBottom/>
                      <wp:docPr id="2" name="officeArt object" descr="Без названия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Без названия (5).png" descr="Без названия (5).png"/>
                              <pic:cNvPicPr>
                                <a:picLocks noChangeAspect="1"/>
                              </pic:cNvPicPr>
                            </pic:nvPicPr>
                            <pic:blipFill>
                              <a:blip r:embed="rId11"/>
                              <a:srcRect t="5031" b="11766"/>
                              <a:stretch/>
                            </pic:blipFill>
                            <pic:spPr bwMode="auto">
                              <a:xfrm>
                                <a:off x="0" y="0"/>
                                <a:ext cx="2595561" cy="153352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mc:Choice>
                <mc:Fallback xmlns:oel="http://schemas.microsoft.com/office/2019/extlst"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position:absolute;z-index:251660288;o:allowoverlap:true;o:allowincell:true;mso-position-horizontal-relative:text;margin-left:16.90pt;mso-position-horizontal:absolute;mso-position-vertical-relative:line;margin-top:8.40pt;mso-position-vertical:absolute;width:204.37pt;height:120.75pt;mso-wrap-distance-left:0.00pt;mso-wrap-distance-top:0.00pt;mso-wrap-distance-right:0.00pt;mso-wrap-distance-bottom:0.00pt;" stroked="f" strokeweight="1.00pt">
                      <v:path textboxrect="0,0,0,0"/>
                      <w10:wrap type="topAndBottom"/>
                      <v:imagedata r:id="rId12" o:title=""/>
                    </v:shape>
                  </w:pict>
                </mc:Fallback>
              </mc:AlternateContent>
            </w:r>
          </w:p>
        </w:tc>
        <w:tc>
          <w:tcPr>
            <w:tcW w:w="4620" w:type="dxa"/>
            <w:tcMar>
              <w:top w:w="80" w:type="dxa"/>
              <w:left w:w="80" w:type="dxa"/>
              <w:bottom w:w="80" w:type="dxa"/>
              <w:right w:w="80" w:type="dxa"/>
            </w:tcMar>
            <w:vAlign w:val="center"/>
          </w:tcPr>
          <w:p w14:paraId="6C542A19" w14:textId="77777777" w:rsidR="004B704C" w:rsidRDefault="005C45B7">
            <w:pPr>
              <w:pStyle w:val="Afb"/>
              <w:widowControl w:val="0"/>
              <w:ind w:firstLine="720"/>
              <w:contextualSpacing/>
              <w:jc w:val="center"/>
              <w:rPr>
                <w:b/>
                <w:bCs/>
                <w:sz w:val="26"/>
                <w:szCs w:val="20"/>
              </w:rPr>
            </w:pPr>
            <w:r>
              <w:rPr>
                <w:noProof/>
                <w:sz w:val="26"/>
              </w:rPr>
              <mc:AlternateContent>
                <mc:Choice Requires="wpg">
                  <w:drawing>
                    <wp:anchor distT="19050" distB="19050" distL="19050" distR="19050" simplePos="0" relativeHeight="251661312" behindDoc="0" locked="0" layoutInCell="1" allowOverlap="1" wp14:anchorId="7C0ED6C7" wp14:editId="60529D3B">
                      <wp:simplePos x="0" y="0"/>
                      <wp:positionH relativeFrom="column">
                        <wp:posOffset>132080</wp:posOffset>
                      </wp:positionH>
                      <wp:positionV relativeFrom="line">
                        <wp:posOffset>118745</wp:posOffset>
                      </wp:positionV>
                      <wp:extent cx="2614295" cy="1524000"/>
                      <wp:effectExtent l="0" t="0" r="0" b="0"/>
                      <wp:wrapTopAndBottom/>
                      <wp:docPr id="3" name="officeArt object" descr="зашу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7" name="зашум.png" descr="зашум.png"/>
                              <pic:cNvPicPr>
                                <a:picLocks noChangeAspect="1"/>
                              </pic:cNvPicPr>
                            </pic:nvPicPr>
                            <pic:blipFill>
                              <a:blip r:embed="rId13"/>
                              <a:srcRect t="4827" b="13837"/>
                              <a:stretch/>
                            </pic:blipFill>
                            <pic:spPr bwMode="auto">
                              <a:xfrm>
                                <a:off x="0" y="0"/>
                                <a:ext cx="2614295" cy="1524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mc:Choice>
                <mc:Fallback xmlns:oel="http://schemas.microsoft.com/office/2019/extlst"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position:absolute;z-index:251661312;o:allowoverlap:true;o:allowincell:true;mso-position-horizontal-relative:text;margin-left:10.40pt;mso-position-horizontal:absolute;mso-position-vertical-relative:line;margin-top:9.35pt;mso-position-vertical:absolute;width:205.85pt;height:120.00pt;mso-wrap-distance-left:1.50pt;mso-wrap-distance-top:1.50pt;mso-wrap-distance-right:1.50pt;mso-wrap-distance-bottom:1.50pt;" stroked="f" strokeweight="1.00pt">
                      <v:path textboxrect="0,0,0,0"/>
                      <w10:wrap type="topAndBottom"/>
                      <v:imagedata r:id="rId14" o:title=""/>
                    </v:shape>
                  </w:pict>
                </mc:Fallback>
              </mc:AlternateContent>
            </w:r>
          </w:p>
        </w:tc>
      </w:tr>
      <w:tr w:rsidR="004B704C" w14:paraId="252D5947" w14:textId="77777777">
        <w:trPr>
          <w:trHeight w:val="1612"/>
        </w:trPr>
        <w:tc>
          <w:tcPr>
            <w:tcW w:w="4980" w:type="dxa"/>
            <w:tcMar>
              <w:top w:w="80" w:type="dxa"/>
              <w:left w:w="80" w:type="dxa"/>
              <w:bottom w:w="80" w:type="dxa"/>
              <w:right w:w="80" w:type="dxa"/>
            </w:tcMar>
          </w:tcPr>
          <w:p w14:paraId="727BCC67" w14:textId="77777777" w:rsidR="004B704C" w:rsidRDefault="005C45B7">
            <w:pPr>
              <w:pStyle w:val="Afb"/>
              <w:widowControl w:val="0"/>
              <w:ind w:firstLine="720"/>
              <w:contextualSpacing/>
              <w:rPr>
                <w:sz w:val="26"/>
              </w:rPr>
            </w:pPr>
            <w:r>
              <w:rPr>
                <w:bCs/>
                <w:sz w:val="26"/>
                <w:szCs w:val="20"/>
              </w:rPr>
              <w:t>Рис. 1.</w:t>
            </w:r>
            <w:r>
              <w:rPr>
                <w:sz w:val="26"/>
                <w:szCs w:val="20"/>
              </w:rPr>
              <w:t xml:space="preserve"> Количество замен, произведенных каждым алгоритмом, распределенных по категориям (НИС – ошибки, не искажающие смысл, НЗА – замена на несуществующий звуковой аналог, СЗА – замена на существующий звуковой аналог).</w:t>
            </w:r>
          </w:p>
        </w:tc>
        <w:tc>
          <w:tcPr>
            <w:tcW w:w="4620" w:type="dxa"/>
            <w:tcMar>
              <w:top w:w="80" w:type="dxa"/>
              <w:left w:w="80" w:type="dxa"/>
              <w:bottom w:w="80" w:type="dxa"/>
              <w:right w:w="80" w:type="dxa"/>
            </w:tcMar>
          </w:tcPr>
          <w:p w14:paraId="125D6D0D" w14:textId="77777777" w:rsidR="004B704C" w:rsidRDefault="005C45B7">
            <w:pPr>
              <w:pStyle w:val="Afb"/>
              <w:widowControl w:val="0"/>
              <w:ind w:firstLine="720"/>
              <w:contextualSpacing/>
              <w:rPr>
                <w:sz w:val="26"/>
              </w:rPr>
            </w:pPr>
            <w:r>
              <w:rPr>
                <w:bCs/>
                <w:sz w:val="26"/>
                <w:szCs w:val="20"/>
              </w:rPr>
              <w:t>Рис. 2.</w:t>
            </w:r>
            <w:r>
              <w:rPr>
                <w:sz w:val="26"/>
                <w:szCs w:val="20"/>
              </w:rPr>
              <w:t xml:space="preserve"> Количество удалений, произведенных каждым алгоритмом, распределенных по категориям (СЧР – служебные части речи, ЗЧР – знаменательные части речи, КЛ – отдельные клаузы / группы клауз в составе сложного предложения).</w:t>
            </w:r>
          </w:p>
        </w:tc>
      </w:tr>
    </w:tbl>
    <w:p w14:paraId="57C6AC31" w14:textId="77777777" w:rsidR="004B704C" w:rsidRDefault="005C45B7">
      <w:pPr>
        <w:pStyle w:val="Afb"/>
        <w:ind w:firstLine="720"/>
        <w:contextualSpacing/>
        <w:rPr>
          <w:sz w:val="26"/>
        </w:rPr>
      </w:pPr>
      <w:r>
        <w:rPr>
          <w:b/>
          <w:bCs/>
          <w:sz w:val="26"/>
        </w:rPr>
        <w:t>Разработка протокола разметки.</w:t>
      </w:r>
      <w:r>
        <w:rPr>
          <w:sz w:val="26"/>
        </w:rPr>
        <w:t xml:space="preserve"> В качестве основных принципов были заложены разделение речевого потока на элементарные дискурсивные единицы (ЭДЕ) и обязательная фиксация речевых сбоев (паузы, повторы, самокоррекции) как ключевых индикаторов когнитивной нагрузки и коммуникативной неуверенности [</w:t>
      </w:r>
      <w:proofErr w:type="spellStart"/>
      <w:r>
        <w:rPr>
          <w:sz w:val="26"/>
        </w:rPr>
        <w:t>Chen</w:t>
      </w:r>
      <w:proofErr w:type="spellEnd"/>
      <w:r>
        <w:rPr>
          <w:sz w:val="26"/>
        </w:rPr>
        <w:t xml:space="preserve"> </w:t>
      </w:r>
      <w:proofErr w:type="spellStart"/>
      <w:r>
        <w:rPr>
          <w:sz w:val="26"/>
        </w:rPr>
        <w:t>et</w:t>
      </w:r>
      <w:proofErr w:type="spellEnd"/>
      <w:r>
        <w:rPr>
          <w:sz w:val="26"/>
        </w:rPr>
        <w:t xml:space="preserve"> </w:t>
      </w:r>
      <w:proofErr w:type="spellStart"/>
      <w:r>
        <w:rPr>
          <w:sz w:val="26"/>
        </w:rPr>
        <w:t>al</w:t>
      </w:r>
      <w:proofErr w:type="spellEnd"/>
      <w:r>
        <w:rPr>
          <w:sz w:val="26"/>
        </w:rPr>
        <w:t xml:space="preserve">.; </w:t>
      </w:r>
      <w:proofErr w:type="spellStart"/>
      <w:r>
        <w:rPr>
          <w:sz w:val="26"/>
        </w:rPr>
        <w:t>Loy</w:t>
      </w:r>
      <w:proofErr w:type="spellEnd"/>
      <w:r>
        <w:rPr>
          <w:sz w:val="26"/>
        </w:rPr>
        <w:t xml:space="preserve">, </w:t>
      </w:r>
      <w:proofErr w:type="spellStart"/>
      <w:r>
        <w:rPr>
          <w:sz w:val="26"/>
        </w:rPr>
        <w:t>Rohde</w:t>
      </w:r>
      <w:proofErr w:type="spellEnd"/>
      <w:r>
        <w:rPr>
          <w:sz w:val="26"/>
        </w:rPr>
        <w:t xml:space="preserve">, </w:t>
      </w:r>
      <w:proofErr w:type="spellStart"/>
      <w:r>
        <w:rPr>
          <w:sz w:val="26"/>
        </w:rPr>
        <w:t>Corley</w:t>
      </w:r>
      <w:proofErr w:type="spellEnd"/>
      <w:r>
        <w:rPr>
          <w:sz w:val="26"/>
        </w:rPr>
        <w:t xml:space="preserve">; </w:t>
      </w:r>
      <w:proofErr w:type="spellStart"/>
      <w:r>
        <w:rPr>
          <w:sz w:val="26"/>
        </w:rPr>
        <w:t>Solà</w:t>
      </w:r>
      <w:proofErr w:type="spellEnd"/>
      <w:r>
        <w:rPr>
          <w:sz w:val="26"/>
        </w:rPr>
        <w:t xml:space="preserve">-Sales </w:t>
      </w:r>
      <w:proofErr w:type="spellStart"/>
      <w:r>
        <w:rPr>
          <w:sz w:val="26"/>
        </w:rPr>
        <w:t>et</w:t>
      </w:r>
      <w:proofErr w:type="spellEnd"/>
      <w:r>
        <w:rPr>
          <w:sz w:val="26"/>
        </w:rPr>
        <w:t xml:space="preserve"> </w:t>
      </w:r>
      <w:proofErr w:type="spellStart"/>
      <w:r>
        <w:rPr>
          <w:sz w:val="26"/>
        </w:rPr>
        <w:t>al</w:t>
      </w:r>
      <w:proofErr w:type="spellEnd"/>
      <w:r>
        <w:rPr>
          <w:sz w:val="26"/>
        </w:rPr>
        <w:t xml:space="preserve">.]. Протокол был разработан на основе системы разметки проекта «Рассказы о сновидениях…» [Кибрик, </w:t>
      </w:r>
      <w:proofErr w:type="spellStart"/>
      <w:r>
        <w:rPr>
          <w:sz w:val="26"/>
        </w:rPr>
        <w:t>Подлесская</w:t>
      </w:r>
      <w:proofErr w:type="spellEnd"/>
      <w:r>
        <w:rPr>
          <w:sz w:val="26"/>
        </w:rPr>
        <w:t xml:space="preserve">]. Была произведена замена 7 существующих обозначений (например, незаполненные и заполненные паузы). Дополнительно были введены 3 новых обозначения для точной фиксации границ неполноценной ЭДЕ, незавершенного предложения и ЭДЕ, совмещенной с границей предложения. Эти изменения потребовали соответствующей корректировки обозначений для фиксации сильного фальстарта, сплита и </w:t>
      </w:r>
      <w:proofErr w:type="spellStart"/>
      <w:r>
        <w:rPr>
          <w:sz w:val="26"/>
        </w:rPr>
        <w:t>парентезы</w:t>
      </w:r>
      <w:proofErr w:type="spellEnd"/>
      <w:r>
        <w:rPr>
          <w:sz w:val="26"/>
        </w:rPr>
        <w:t xml:space="preserve"> (Таб. 2). Значимость разработанной разметки заключается в её способности сочетать традиции корпусной лингвистики и требования к машинной обработке.</w:t>
      </w:r>
    </w:p>
    <w:p w14:paraId="7BC8C4DD" w14:textId="77777777" w:rsidR="004B704C" w:rsidRDefault="005C45B7">
      <w:pPr>
        <w:pStyle w:val="Afb"/>
        <w:ind w:firstLine="720"/>
        <w:contextualSpacing/>
        <w:jc w:val="right"/>
        <w:rPr>
          <w:sz w:val="26"/>
        </w:rPr>
      </w:pPr>
      <w:r>
        <w:rPr>
          <w:sz w:val="26"/>
        </w:rPr>
        <w:t>Таблица 2</w:t>
      </w:r>
    </w:p>
    <w:p w14:paraId="60355628" w14:textId="77777777" w:rsidR="004B704C" w:rsidRDefault="005C45B7">
      <w:pPr>
        <w:pStyle w:val="Afb"/>
        <w:ind w:firstLine="720"/>
        <w:contextualSpacing/>
        <w:jc w:val="center"/>
        <w:rPr>
          <w:sz w:val="26"/>
        </w:rPr>
      </w:pPr>
      <w:r>
        <w:rPr>
          <w:sz w:val="26"/>
        </w:rPr>
        <w:lastRenderedPageBreak/>
        <w:t>Примеры использования обновлённых обозначений</w:t>
      </w:r>
    </w:p>
    <w:tbl>
      <w:tblPr>
        <w:tblStyle w:val="TableNormal"/>
        <w:tblW w:w="9638" w:type="dxa"/>
        <w:tblInd w:w="43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4819"/>
        <w:gridCol w:w="4819"/>
      </w:tblGrid>
      <w:tr w:rsidR="004B704C" w:rsidRPr="00FB28D1" w14:paraId="546B7478" w14:textId="77777777">
        <w:trPr>
          <w:trHeight w:val="20"/>
        </w:trPr>
        <w:tc>
          <w:tcPr>
            <w:tcW w:w="481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93730BE" w14:textId="77777777" w:rsidR="004B704C" w:rsidRDefault="005C45B7">
            <w:pPr>
              <w:pStyle w:val="Afb"/>
              <w:widowControl w:val="0"/>
              <w:spacing w:line="240" w:lineRule="auto"/>
              <w:ind w:firstLine="0"/>
              <w:contextualSpacing/>
              <w:jc w:val="left"/>
              <w:rPr>
                <w:sz w:val="26"/>
              </w:rPr>
            </w:pPr>
            <w:r>
              <w:rPr>
                <w:sz w:val="26"/>
              </w:rPr>
              <w:t xml:space="preserve">Пример отображения </w:t>
            </w:r>
            <w:r>
              <w:rPr>
                <w:sz w:val="26"/>
                <w:u w:val="single"/>
              </w:rPr>
              <w:t>сплита</w:t>
            </w:r>
            <w:r>
              <w:rPr>
                <w:sz w:val="26"/>
                <w:szCs w:val="18"/>
              </w:rPr>
              <w:t>*</w:t>
            </w:r>
            <w:r>
              <w:rPr>
                <w:sz w:val="26"/>
              </w:rPr>
              <w:t>:</w:t>
            </w:r>
          </w:p>
          <w:p w14:paraId="5555DEA9" w14:textId="77777777" w:rsidR="004B704C" w:rsidRDefault="005C45B7">
            <w:pPr>
              <w:pStyle w:val="Afb"/>
              <w:widowControl w:val="0"/>
              <w:spacing w:line="240" w:lineRule="auto"/>
              <w:ind w:firstLine="0"/>
              <w:contextualSpacing/>
              <w:jc w:val="left"/>
              <w:rPr>
                <w:i/>
                <w:iCs/>
                <w:sz w:val="26"/>
              </w:rPr>
            </w:pPr>
            <w:r>
              <w:rPr>
                <w:i/>
                <w:iCs/>
                <w:sz w:val="26"/>
              </w:rPr>
              <w:t>Там сидели мои друзья |E|</w:t>
            </w:r>
          </w:p>
          <w:p w14:paraId="5A4BDA20" w14:textId="77777777" w:rsidR="004B704C" w:rsidRDefault="005C45B7">
            <w:pPr>
              <w:pStyle w:val="Afb"/>
              <w:widowControl w:val="0"/>
              <w:spacing w:line="240" w:lineRule="auto"/>
              <w:ind w:firstLine="0"/>
              <w:contextualSpacing/>
              <w:jc w:val="left"/>
              <w:rPr>
                <w:i/>
                <w:iCs/>
                <w:sz w:val="26"/>
              </w:rPr>
            </w:pPr>
            <w:proofErr w:type="spellStart"/>
            <w:r>
              <w:rPr>
                <w:i/>
                <w:iCs/>
                <w:sz w:val="26"/>
              </w:rPr>
              <w:t>дво</w:t>
            </w:r>
            <w:proofErr w:type="spellEnd"/>
            <w:r>
              <w:rPr>
                <w:i/>
                <w:iCs/>
                <w:sz w:val="26"/>
              </w:rPr>
              <w:t xml:space="preserve">-о-е, </w:t>
            </w:r>
            <w:proofErr w:type="gramStart"/>
            <w:r>
              <w:rPr>
                <w:i/>
                <w:iCs/>
                <w:sz w:val="26"/>
              </w:rPr>
              <w:t>...(</w:t>
            </w:r>
            <w:proofErr w:type="gramEnd"/>
            <w:r>
              <w:rPr>
                <w:i/>
                <w:iCs/>
                <w:sz w:val="26"/>
              </w:rPr>
              <w:t>0.3)</w:t>
            </w:r>
          </w:p>
          <w:p w14:paraId="2AFBEA93" w14:textId="77777777" w:rsidR="004B704C" w:rsidRDefault="005C45B7">
            <w:pPr>
              <w:pStyle w:val="Afb"/>
              <w:widowControl w:val="0"/>
              <w:spacing w:line="240" w:lineRule="auto"/>
              <w:ind w:firstLine="0"/>
              <w:contextualSpacing/>
              <w:jc w:val="left"/>
              <w:rPr>
                <w:i/>
                <w:iCs/>
                <w:sz w:val="26"/>
              </w:rPr>
            </w:pPr>
            <w:r>
              <w:rPr>
                <w:i/>
                <w:iCs/>
                <w:sz w:val="26"/>
              </w:rPr>
              <w:t xml:space="preserve">или </w:t>
            </w:r>
            <w:proofErr w:type="spellStart"/>
            <w:r>
              <w:rPr>
                <w:i/>
                <w:iCs/>
                <w:sz w:val="26"/>
              </w:rPr>
              <w:t>тро</w:t>
            </w:r>
            <w:proofErr w:type="spellEnd"/>
            <w:r>
              <w:rPr>
                <w:i/>
                <w:iCs/>
                <w:sz w:val="26"/>
              </w:rPr>
              <w:t>-о-е,</w:t>
            </w:r>
          </w:p>
          <w:p w14:paraId="1D62C0ED" w14:textId="77777777" w:rsidR="004B704C" w:rsidRDefault="005C45B7">
            <w:pPr>
              <w:pStyle w:val="Afb"/>
              <w:widowControl w:val="0"/>
              <w:spacing w:line="240" w:lineRule="auto"/>
              <w:ind w:firstLine="0"/>
              <w:contextualSpacing/>
              <w:jc w:val="left"/>
              <w:rPr>
                <w:i/>
                <w:iCs/>
                <w:sz w:val="26"/>
              </w:rPr>
            </w:pPr>
            <w:r>
              <w:rPr>
                <w:i/>
                <w:iCs/>
                <w:sz w:val="26"/>
              </w:rPr>
              <w:t>и брат мой старший был.</w:t>
            </w:r>
          </w:p>
          <w:p w14:paraId="70900E6D" w14:textId="77777777" w:rsidR="004B704C" w:rsidRDefault="004B704C">
            <w:pPr>
              <w:pStyle w:val="Afb"/>
              <w:widowControl w:val="0"/>
              <w:spacing w:line="240" w:lineRule="auto"/>
              <w:ind w:firstLine="0"/>
              <w:contextualSpacing/>
              <w:jc w:val="left"/>
              <w:rPr>
                <w:i/>
                <w:iCs/>
                <w:sz w:val="26"/>
              </w:rPr>
            </w:pPr>
          </w:p>
          <w:p w14:paraId="61864CA1" w14:textId="77777777" w:rsidR="004B704C" w:rsidRDefault="004B704C">
            <w:pPr>
              <w:pStyle w:val="Afb"/>
              <w:widowControl w:val="0"/>
              <w:spacing w:line="240" w:lineRule="auto"/>
              <w:ind w:firstLine="0"/>
              <w:contextualSpacing/>
              <w:jc w:val="left"/>
              <w:rPr>
                <w:i/>
                <w:iCs/>
                <w:sz w:val="26"/>
              </w:rPr>
            </w:pPr>
          </w:p>
          <w:p w14:paraId="78369F04" w14:textId="77777777" w:rsidR="004B704C" w:rsidRDefault="004B704C">
            <w:pPr>
              <w:pStyle w:val="Afb"/>
              <w:widowControl w:val="0"/>
              <w:spacing w:line="240" w:lineRule="auto"/>
              <w:ind w:firstLine="0"/>
              <w:contextualSpacing/>
              <w:jc w:val="left"/>
              <w:rPr>
                <w:i/>
                <w:iCs/>
                <w:sz w:val="26"/>
              </w:rPr>
            </w:pPr>
          </w:p>
          <w:p w14:paraId="627F572F" w14:textId="77777777" w:rsidR="004B704C" w:rsidRDefault="004B704C">
            <w:pPr>
              <w:pStyle w:val="Afb"/>
              <w:widowControl w:val="0"/>
              <w:spacing w:line="240" w:lineRule="auto"/>
              <w:ind w:firstLine="0"/>
              <w:contextualSpacing/>
              <w:jc w:val="left"/>
              <w:rPr>
                <w:i/>
                <w:iCs/>
                <w:sz w:val="26"/>
              </w:rPr>
            </w:pPr>
          </w:p>
          <w:p w14:paraId="4A40944B" w14:textId="77777777" w:rsidR="004B704C" w:rsidRDefault="005C45B7">
            <w:pPr>
              <w:pStyle w:val="Afb"/>
              <w:widowControl w:val="0"/>
              <w:spacing w:line="240" w:lineRule="auto"/>
              <w:ind w:firstLine="0"/>
              <w:contextualSpacing/>
              <w:jc w:val="left"/>
              <w:rPr>
                <w:sz w:val="26"/>
              </w:rPr>
            </w:pPr>
            <w:r>
              <w:rPr>
                <w:sz w:val="26"/>
                <w:szCs w:val="18"/>
              </w:rPr>
              <w:t>*разрыв единой синтаксической конструкции путем вставки других элементов между её частями</w:t>
            </w:r>
          </w:p>
        </w:tc>
        <w:tc>
          <w:tcPr>
            <w:tcW w:w="481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A85E281" w14:textId="77777777" w:rsidR="004B704C" w:rsidRDefault="005C45B7">
            <w:pPr>
              <w:pStyle w:val="Afb"/>
              <w:widowControl w:val="0"/>
              <w:spacing w:line="240" w:lineRule="auto"/>
              <w:ind w:firstLine="0"/>
              <w:contextualSpacing/>
              <w:jc w:val="left"/>
              <w:rPr>
                <w:sz w:val="26"/>
              </w:rPr>
            </w:pPr>
            <w:r>
              <w:rPr>
                <w:sz w:val="26"/>
              </w:rPr>
              <w:t xml:space="preserve">Пример отображения </w:t>
            </w:r>
            <w:proofErr w:type="spellStart"/>
            <w:r>
              <w:rPr>
                <w:sz w:val="26"/>
                <w:u w:val="single"/>
              </w:rPr>
              <w:t>парентезы</w:t>
            </w:r>
            <w:proofErr w:type="spellEnd"/>
            <w:r>
              <w:rPr>
                <w:sz w:val="26"/>
                <w:szCs w:val="18"/>
              </w:rPr>
              <w:t>*</w:t>
            </w:r>
            <w:r>
              <w:rPr>
                <w:sz w:val="26"/>
              </w:rPr>
              <w:t>:</w:t>
            </w:r>
          </w:p>
          <w:p w14:paraId="6D4F3FDC" w14:textId="77777777" w:rsidR="004B704C" w:rsidRDefault="005C45B7">
            <w:pPr>
              <w:pStyle w:val="Afb"/>
              <w:widowControl w:val="0"/>
              <w:spacing w:line="240" w:lineRule="auto"/>
              <w:ind w:firstLine="0"/>
              <w:contextualSpacing/>
              <w:jc w:val="left"/>
              <w:rPr>
                <w:i/>
                <w:iCs/>
                <w:sz w:val="26"/>
              </w:rPr>
            </w:pPr>
            <w:r>
              <w:rPr>
                <w:i/>
                <w:iCs/>
                <w:sz w:val="26"/>
              </w:rPr>
              <w:t>Я вчера прихожу домой |E|</w:t>
            </w:r>
          </w:p>
          <w:p w14:paraId="1451C253" w14:textId="77777777" w:rsidR="004B704C" w:rsidRDefault="005C45B7">
            <w:pPr>
              <w:pStyle w:val="Afb"/>
              <w:widowControl w:val="0"/>
              <w:spacing w:line="240" w:lineRule="auto"/>
              <w:ind w:firstLine="0"/>
              <w:contextualSpacing/>
              <w:jc w:val="left"/>
              <w:rPr>
                <w:i/>
                <w:iCs/>
                <w:sz w:val="26"/>
              </w:rPr>
            </w:pPr>
            <w:r>
              <w:rPr>
                <w:i/>
                <w:iCs/>
                <w:sz w:val="26"/>
              </w:rPr>
              <w:t>(А было темно-о уже.)</w:t>
            </w:r>
          </w:p>
          <w:p w14:paraId="1F98B71B" w14:textId="77777777" w:rsidR="004B704C" w:rsidRDefault="005C45B7">
            <w:pPr>
              <w:pStyle w:val="Afb"/>
              <w:widowControl w:val="0"/>
              <w:spacing w:line="240" w:lineRule="auto"/>
              <w:ind w:firstLine="0"/>
              <w:contextualSpacing/>
              <w:jc w:val="left"/>
              <w:rPr>
                <w:i/>
                <w:iCs/>
                <w:sz w:val="26"/>
              </w:rPr>
            </w:pPr>
            <w:r>
              <w:rPr>
                <w:i/>
                <w:iCs/>
                <w:sz w:val="26"/>
              </w:rPr>
              <w:t>слышу,</w:t>
            </w:r>
          </w:p>
          <w:p w14:paraId="40B54F31" w14:textId="77777777" w:rsidR="004B704C" w:rsidRDefault="005C45B7">
            <w:pPr>
              <w:pStyle w:val="Afb"/>
              <w:widowControl w:val="0"/>
              <w:spacing w:line="240" w:lineRule="auto"/>
              <w:ind w:firstLine="0"/>
              <w:contextualSpacing/>
              <w:jc w:val="left"/>
              <w:rPr>
                <w:i/>
                <w:iCs/>
                <w:sz w:val="26"/>
              </w:rPr>
            </w:pPr>
            <w:r>
              <w:rPr>
                <w:i/>
                <w:iCs/>
                <w:sz w:val="26"/>
              </w:rPr>
              <w:t xml:space="preserve">дверь хлопает, </w:t>
            </w:r>
            <w:proofErr w:type="gramStart"/>
            <w:r>
              <w:rPr>
                <w:i/>
                <w:iCs/>
                <w:sz w:val="26"/>
              </w:rPr>
              <w:t>…(</w:t>
            </w:r>
            <w:proofErr w:type="gramEnd"/>
            <w:r>
              <w:rPr>
                <w:i/>
                <w:iCs/>
                <w:sz w:val="26"/>
              </w:rPr>
              <w:t>0.3)</w:t>
            </w:r>
          </w:p>
          <w:p w14:paraId="06ABD01D" w14:textId="77777777" w:rsidR="004B704C" w:rsidRDefault="005C45B7">
            <w:pPr>
              <w:pStyle w:val="Afb"/>
              <w:widowControl w:val="0"/>
              <w:spacing w:line="240" w:lineRule="auto"/>
              <w:ind w:firstLine="0"/>
              <w:contextualSpacing/>
              <w:jc w:val="left"/>
              <w:rPr>
                <w:i/>
                <w:iCs/>
                <w:sz w:val="26"/>
              </w:rPr>
            </w:pPr>
            <w:r>
              <w:rPr>
                <w:i/>
                <w:iCs/>
                <w:sz w:val="26"/>
              </w:rPr>
              <w:t>и кто‐то мне из темноты:</w:t>
            </w:r>
          </w:p>
          <w:p w14:paraId="085B9CB0" w14:textId="77777777" w:rsidR="004B704C" w:rsidRDefault="005C45B7">
            <w:pPr>
              <w:pStyle w:val="Afb"/>
              <w:widowControl w:val="0"/>
              <w:spacing w:line="240" w:lineRule="auto"/>
              <w:ind w:firstLine="0"/>
              <w:contextualSpacing/>
              <w:jc w:val="left"/>
              <w:rPr>
                <w:i/>
                <w:iCs/>
                <w:sz w:val="26"/>
              </w:rPr>
            </w:pPr>
            <w:r>
              <w:rPr>
                <w:i/>
                <w:iCs/>
                <w:sz w:val="26"/>
              </w:rPr>
              <w:t xml:space="preserve">«Вы не </w:t>
            </w:r>
            <w:proofErr w:type="gramStart"/>
            <w:r>
              <w:rPr>
                <w:i/>
                <w:iCs/>
                <w:sz w:val="26"/>
              </w:rPr>
              <w:t>подскажете?,</w:t>
            </w:r>
            <w:proofErr w:type="gramEnd"/>
          </w:p>
          <w:p w14:paraId="3D96CF99" w14:textId="77777777" w:rsidR="004B704C" w:rsidRDefault="005C45B7">
            <w:pPr>
              <w:pStyle w:val="Afb"/>
              <w:widowControl w:val="0"/>
              <w:spacing w:line="240" w:lineRule="auto"/>
              <w:ind w:firstLine="0"/>
              <w:contextualSpacing/>
              <w:jc w:val="left"/>
              <w:rPr>
                <w:i/>
                <w:iCs/>
                <w:sz w:val="26"/>
              </w:rPr>
            </w:pPr>
            <w:r>
              <w:rPr>
                <w:i/>
                <w:iCs/>
                <w:sz w:val="26"/>
              </w:rPr>
              <w:t>где тут магазин?»</w:t>
            </w:r>
          </w:p>
          <w:p w14:paraId="5DA6FB3E" w14:textId="77777777" w:rsidR="004B704C" w:rsidRDefault="004B704C">
            <w:pPr>
              <w:pStyle w:val="Afb"/>
              <w:widowControl w:val="0"/>
              <w:spacing w:line="240" w:lineRule="auto"/>
              <w:ind w:firstLine="0"/>
              <w:contextualSpacing/>
              <w:jc w:val="left"/>
              <w:rPr>
                <w:sz w:val="26"/>
              </w:rPr>
            </w:pPr>
          </w:p>
          <w:p w14:paraId="6A01717B" w14:textId="77777777" w:rsidR="004B704C" w:rsidRDefault="005C45B7">
            <w:pPr>
              <w:pStyle w:val="Afb"/>
              <w:widowControl w:val="0"/>
              <w:spacing w:line="240" w:lineRule="auto"/>
              <w:ind w:firstLine="0"/>
              <w:contextualSpacing/>
              <w:jc w:val="left"/>
              <w:rPr>
                <w:sz w:val="26"/>
              </w:rPr>
            </w:pPr>
            <w:r>
              <w:rPr>
                <w:i/>
                <w:iCs/>
                <w:sz w:val="26"/>
                <w:szCs w:val="18"/>
              </w:rPr>
              <w:t>*</w:t>
            </w:r>
            <w:r>
              <w:rPr>
                <w:sz w:val="26"/>
                <w:szCs w:val="18"/>
              </w:rPr>
              <w:t>вставная конструкция, которая выражает дополнительное замечание, попутное указание, разъяснение.</w:t>
            </w:r>
          </w:p>
        </w:tc>
      </w:tr>
    </w:tbl>
    <w:p w14:paraId="395FF1F1" w14:textId="77777777" w:rsidR="004B704C" w:rsidRDefault="004B704C">
      <w:pPr>
        <w:pStyle w:val="Afb"/>
        <w:widowControl w:val="0"/>
        <w:ind w:firstLine="720"/>
        <w:contextualSpacing/>
        <w:jc w:val="left"/>
        <w:rPr>
          <w:sz w:val="26"/>
        </w:rPr>
      </w:pPr>
    </w:p>
    <w:p w14:paraId="30D175EE" w14:textId="77777777" w:rsidR="004B704C" w:rsidRDefault="005C45B7">
      <w:pPr>
        <w:pStyle w:val="Afb"/>
        <w:ind w:firstLine="720"/>
        <w:contextualSpacing/>
        <w:rPr>
          <w:sz w:val="26"/>
        </w:rPr>
      </w:pPr>
      <w:r>
        <w:rPr>
          <w:b/>
          <w:bCs/>
          <w:sz w:val="26"/>
        </w:rPr>
        <w:t>Заключение.</w:t>
      </w:r>
      <w:r>
        <w:rPr>
          <w:sz w:val="26"/>
        </w:rPr>
        <w:t xml:space="preserve"> Количественный и качественный анализ показал превосходство модели </w:t>
      </w:r>
      <w:r>
        <w:rPr>
          <w:sz w:val="26"/>
          <w:lang w:val="de-DE"/>
        </w:rPr>
        <w:t>gigaam-v2-rnnt</w:t>
      </w:r>
      <w:r>
        <w:rPr>
          <w:sz w:val="26"/>
        </w:rPr>
        <w:t xml:space="preserve">, что определило её выбор для дальнейшей работы в создании корпуса. Тем не менее исследование выявило системную неспособность ASR-моделей фиксировать </w:t>
      </w:r>
      <w:proofErr w:type="spellStart"/>
      <w:r>
        <w:rPr>
          <w:sz w:val="26"/>
        </w:rPr>
        <w:t>диагностически</w:t>
      </w:r>
      <w:proofErr w:type="spellEnd"/>
      <w:r>
        <w:rPr>
          <w:sz w:val="26"/>
        </w:rPr>
        <w:t xml:space="preserve"> значимые элементы звучащей речи. Для решения этой проблемы был разработан унифицированный протокол аннотирования, который фиксирует речевые сбои как потенциальные маркеры лжи и адаптирован для последующей автоматической обработки. На данном этапе мы останавливаемся на гибридном подходе для создания специализированного диагностического речевого корпуса. </w:t>
      </w:r>
    </w:p>
    <w:p w14:paraId="6EA5FAF5" w14:textId="77777777" w:rsidR="004B704C" w:rsidRDefault="004B704C">
      <w:pPr>
        <w:pStyle w:val="Afb"/>
        <w:ind w:firstLine="720"/>
        <w:contextualSpacing/>
        <w:rPr>
          <w:sz w:val="26"/>
        </w:rPr>
      </w:pPr>
    </w:p>
    <w:p w14:paraId="70997E7D" w14:textId="77777777" w:rsidR="004B704C" w:rsidRDefault="005C45B7">
      <w:pPr>
        <w:pStyle w:val="Afb"/>
        <w:keepNext/>
        <w:ind w:firstLine="720"/>
        <w:contextualSpacing/>
        <w:jc w:val="center"/>
        <w:rPr>
          <w:b/>
          <w:bCs/>
          <w:sz w:val="26"/>
          <w:szCs w:val="28"/>
        </w:rPr>
      </w:pPr>
      <w:r>
        <w:rPr>
          <w:b/>
          <w:bCs/>
          <w:sz w:val="26"/>
          <w:szCs w:val="28"/>
        </w:rPr>
        <w:t>Библиографический список</w:t>
      </w:r>
    </w:p>
    <w:p w14:paraId="4B967A6B" w14:textId="77777777" w:rsidR="004B704C" w:rsidRDefault="004B704C">
      <w:pPr>
        <w:pStyle w:val="Afb"/>
        <w:keepNext/>
        <w:ind w:firstLine="720"/>
        <w:contextualSpacing/>
        <w:jc w:val="center"/>
        <w:rPr>
          <w:b/>
          <w:bCs/>
          <w:sz w:val="26"/>
          <w:szCs w:val="28"/>
        </w:rPr>
      </w:pPr>
    </w:p>
    <w:p w14:paraId="66E34232" w14:textId="77777777" w:rsidR="004B704C" w:rsidRDefault="005C45B7">
      <w:pPr>
        <w:pBdr>
          <w:top w:val="none" w:sz="4" w:space="0" w:color="000000"/>
          <w:left w:val="none" w:sz="4" w:space="0" w:color="000000"/>
          <w:bottom w:val="none" w:sz="4" w:space="0" w:color="000000"/>
          <w:right w:val="none" w:sz="4" w:space="0" w:color="000000"/>
        </w:pBdr>
        <w:shd w:val="clear" w:color="auto" w:fill="FFFFFF" w:themeFill="background1"/>
        <w:spacing w:line="360" w:lineRule="auto"/>
        <w:ind w:firstLine="720"/>
        <w:contextualSpacing/>
        <w:jc w:val="both"/>
        <w:rPr>
          <w:sz w:val="26"/>
          <w:lang w:val="ru-RU"/>
        </w:rPr>
      </w:pPr>
      <w:r>
        <w:rPr>
          <w:rFonts w:eastAsia="Times New Roman"/>
          <w:i/>
          <w:iCs/>
          <w:color w:val="222222"/>
          <w:sz w:val="26"/>
          <w:lang w:val="ru-RU"/>
        </w:rPr>
        <w:t xml:space="preserve">Мамаев И.Д., </w:t>
      </w:r>
      <w:proofErr w:type="spellStart"/>
      <w:r>
        <w:rPr>
          <w:rFonts w:eastAsia="Times New Roman"/>
          <w:i/>
          <w:iCs/>
          <w:color w:val="222222"/>
          <w:sz w:val="26"/>
          <w:lang w:val="ru-RU"/>
        </w:rPr>
        <w:t>Риехакайнен</w:t>
      </w:r>
      <w:proofErr w:type="spellEnd"/>
      <w:r>
        <w:rPr>
          <w:rFonts w:eastAsia="Times New Roman"/>
          <w:i/>
          <w:iCs/>
          <w:color w:val="222222"/>
          <w:sz w:val="26"/>
          <w:lang w:val="ru-RU"/>
        </w:rPr>
        <w:t xml:space="preserve"> Е.И.</w:t>
      </w:r>
      <w:r>
        <w:rPr>
          <w:rFonts w:eastAsia="Times New Roman"/>
          <w:color w:val="222222"/>
          <w:sz w:val="26"/>
          <w:lang w:val="ru-RU"/>
        </w:rPr>
        <w:t xml:space="preserve"> Автоматическая расшифровка записей устной речи: тестирование программы </w:t>
      </w:r>
      <w:r>
        <w:rPr>
          <w:rFonts w:eastAsia="Times New Roman"/>
          <w:color w:val="222222"/>
          <w:sz w:val="26"/>
        </w:rPr>
        <w:t>Whisper</w:t>
      </w:r>
      <w:r>
        <w:rPr>
          <w:rFonts w:eastAsia="Times New Roman"/>
          <w:color w:val="222222"/>
          <w:sz w:val="26"/>
          <w:lang w:val="ru-RU"/>
        </w:rPr>
        <w:t xml:space="preserve"> // Социо- и психолингвистические исследования. 2023. </w:t>
      </w:r>
      <w:proofErr w:type="spellStart"/>
      <w:r>
        <w:rPr>
          <w:rFonts w:eastAsia="Times New Roman"/>
          <w:color w:val="222222"/>
          <w:sz w:val="26"/>
          <w:lang w:val="ru-RU"/>
        </w:rPr>
        <w:t>Вып</w:t>
      </w:r>
      <w:proofErr w:type="spellEnd"/>
      <w:r>
        <w:rPr>
          <w:rFonts w:eastAsia="Times New Roman"/>
          <w:color w:val="222222"/>
          <w:sz w:val="26"/>
          <w:lang w:val="ru-RU"/>
        </w:rPr>
        <w:t>. 11. С. 19-22.</w:t>
      </w:r>
    </w:p>
    <w:p w14:paraId="376F6483" w14:textId="77777777" w:rsidR="004B704C" w:rsidRPr="00290862" w:rsidRDefault="005C45B7">
      <w:pPr>
        <w:pBdr>
          <w:top w:val="none" w:sz="4" w:space="0" w:color="000000"/>
          <w:left w:val="none" w:sz="4" w:space="0" w:color="000000"/>
          <w:bottom w:val="none" w:sz="4" w:space="0" w:color="000000"/>
          <w:right w:val="none" w:sz="4" w:space="0" w:color="000000"/>
        </w:pBdr>
        <w:shd w:val="clear" w:color="auto" w:fill="FFFFFF" w:themeFill="background1"/>
        <w:spacing w:line="360" w:lineRule="auto"/>
        <w:ind w:firstLine="720"/>
        <w:contextualSpacing/>
        <w:jc w:val="both"/>
        <w:rPr>
          <w:rFonts w:eastAsia="Times New Roman"/>
          <w:color w:val="000000"/>
          <w:sz w:val="26"/>
          <w:lang w:val="ru-RU"/>
        </w:rPr>
      </w:pPr>
      <w:r w:rsidRPr="00290862">
        <w:rPr>
          <w:rFonts w:eastAsia="Times New Roman"/>
          <w:color w:val="000000"/>
          <w:sz w:val="26"/>
          <w:lang w:val="ru-RU"/>
        </w:rPr>
        <w:t xml:space="preserve">Рассказы о сновидениях: Корпусное исследование устного русского дискурса / Под ред. А. А. Кибрика, В. И. </w:t>
      </w:r>
      <w:proofErr w:type="spellStart"/>
      <w:r w:rsidRPr="00290862">
        <w:rPr>
          <w:rFonts w:eastAsia="Times New Roman"/>
          <w:color w:val="000000"/>
          <w:sz w:val="26"/>
          <w:lang w:val="ru-RU"/>
        </w:rPr>
        <w:t>Подлесской</w:t>
      </w:r>
      <w:proofErr w:type="spellEnd"/>
      <w:r w:rsidRPr="00290862">
        <w:rPr>
          <w:rFonts w:eastAsia="Times New Roman"/>
          <w:color w:val="000000"/>
          <w:sz w:val="26"/>
          <w:lang w:val="ru-RU"/>
        </w:rPr>
        <w:t xml:space="preserve">. М.: Языки славянских культур, 2009. </w:t>
      </w:r>
    </w:p>
    <w:p w14:paraId="476FC217" w14:textId="77777777" w:rsidR="004B704C" w:rsidRDefault="005C45B7">
      <w:pPr>
        <w:pStyle w:val="Afb"/>
        <w:shd w:val="clear" w:color="auto" w:fill="FFFFFF" w:themeFill="background1"/>
        <w:ind w:firstLine="720"/>
        <w:contextualSpacing/>
        <w:rPr>
          <w:sz w:val="26"/>
          <w:lang w:val="en-US"/>
        </w:rPr>
      </w:pPr>
      <w:r>
        <w:rPr>
          <w:rFonts w:eastAsia="Times New Roman" w:cs="Times New Roman"/>
          <w:i/>
          <w:sz w:val="26"/>
          <w:lang w:val="en-US"/>
        </w:rPr>
        <w:t>Chen X. et al.</w:t>
      </w:r>
      <w:r>
        <w:rPr>
          <w:rFonts w:eastAsia="Times New Roman" w:cs="Times New Roman"/>
          <w:sz w:val="26"/>
          <w:lang w:val="en-US"/>
        </w:rPr>
        <w:t xml:space="preserve"> Acoustic-prosodic and lexical cues to deception and trust: deciphering how people detect lies // Transactions of the Association for Computational Linguistics. 2020. Vol. 8. P. 199-214.</w:t>
      </w:r>
      <w:r>
        <w:rPr>
          <w:sz w:val="26"/>
          <w:lang w:val="en-US"/>
        </w:rPr>
        <w:t xml:space="preserve"> </w:t>
      </w:r>
    </w:p>
    <w:p w14:paraId="2575D7A8" w14:textId="77777777" w:rsidR="004B704C" w:rsidRDefault="005C45B7">
      <w:pPr>
        <w:pBdr>
          <w:top w:val="none" w:sz="4" w:space="0" w:color="000000"/>
          <w:left w:val="none" w:sz="4" w:space="0" w:color="000000"/>
          <w:bottom w:val="none" w:sz="4" w:space="0" w:color="000000"/>
          <w:right w:val="none" w:sz="4" w:space="0" w:color="000000"/>
        </w:pBdr>
        <w:shd w:val="clear" w:color="auto" w:fill="FFFFFF" w:themeFill="background1"/>
        <w:spacing w:line="360" w:lineRule="auto"/>
        <w:ind w:firstLine="720"/>
        <w:contextualSpacing/>
        <w:jc w:val="both"/>
        <w:rPr>
          <w:sz w:val="26"/>
          <w:lang w:val="ru-RU"/>
        </w:rPr>
      </w:pPr>
      <w:proofErr w:type="spellStart"/>
      <w:r>
        <w:rPr>
          <w:rFonts w:eastAsia="Times New Roman"/>
          <w:i/>
          <w:color w:val="000000"/>
          <w:sz w:val="26"/>
        </w:rPr>
        <w:lastRenderedPageBreak/>
        <w:t>Stupakov</w:t>
      </w:r>
      <w:proofErr w:type="spellEnd"/>
      <w:r>
        <w:rPr>
          <w:rFonts w:eastAsia="Times New Roman"/>
          <w:i/>
          <w:color w:val="000000"/>
          <w:sz w:val="26"/>
        </w:rPr>
        <w:t xml:space="preserve"> I. </w:t>
      </w:r>
      <w:proofErr w:type="spellStart"/>
      <w:r>
        <w:rPr>
          <w:rFonts w:eastAsia="Times New Roman"/>
          <w:color w:val="000000"/>
          <w:sz w:val="26"/>
        </w:rPr>
        <w:t>Onnx-asr</w:t>
      </w:r>
      <w:proofErr w:type="spellEnd"/>
      <w:r>
        <w:rPr>
          <w:rFonts w:eastAsia="Times New Roman"/>
          <w:color w:val="000000"/>
          <w:sz w:val="26"/>
        </w:rPr>
        <w:t>: Source code repository for ONNX‑based automatic speech recognition // GitHub. URL</w:t>
      </w:r>
      <w:r>
        <w:rPr>
          <w:rFonts w:eastAsia="Times New Roman"/>
          <w:color w:val="000000"/>
          <w:sz w:val="26"/>
          <w:lang w:val="ru-RU"/>
        </w:rPr>
        <w:t xml:space="preserve">: </w:t>
      </w:r>
      <w:r>
        <w:rPr>
          <w:rFonts w:eastAsia="Times New Roman"/>
          <w:sz w:val="26"/>
        </w:rPr>
        <w:t>https</w:t>
      </w:r>
      <w:r>
        <w:rPr>
          <w:rFonts w:eastAsia="Times New Roman"/>
          <w:sz w:val="26"/>
          <w:lang w:val="ru-RU"/>
        </w:rPr>
        <w:t>://</w:t>
      </w:r>
      <w:proofErr w:type="spellStart"/>
      <w:r>
        <w:rPr>
          <w:rFonts w:eastAsia="Times New Roman"/>
          <w:sz w:val="26"/>
        </w:rPr>
        <w:t>github</w:t>
      </w:r>
      <w:proofErr w:type="spellEnd"/>
      <w:r>
        <w:rPr>
          <w:rFonts w:eastAsia="Times New Roman"/>
          <w:sz w:val="26"/>
          <w:lang w:val="ru-RU"/>
        </w:rPr>
        <w:t>.</w:t>
      </w:r>
      <w:r>
        <w:rPr>
          <w:rFonts w:eastAsia="Times New Roman"/>
          <w:sz w:val="26"/>
        </w:rPr>
        <w:t>com</w:t>
      </w:r>
      <w:r>
        <w:rPr>
          <w:rFonts w:eastAsia="Times New Roman"/>
          <w:sz w:val="26"/>
          <w:lang w:val="ru-RU"/>
        </w:rPr>
        <w:t>/</w:t>
      </w:r>
      <w:proofErr w:type="spellStart"/>
      <w:r>
        <w:rPr>
          <w:rFonts w:eastAsia="Times New Roman"/>
          <w:sz w:val="26"/>
        </w:rPr>
        <w:t>istupakov</w:t>
      </w:r>
      <w:proofErr w:type="spellEnd"/>
      <w:r>
        <w:rPr>
          <w:rFonts w:eastAsia="Times New Roman"/>
          <w:sz w:val="26"/>
          <w:lang w:val="ru-RU"/>
        </w:rPr>
        <w:t>/</w:t>
      </w:r>
      <w:proofErr w:type="spellStart"/>
      <w:r>
        <w:rPr>
          <w:rFonts w:eastAsia="Times New Roman"/>
          <w:sz w:val="26"/>
        </w:rPr>
        <w:t>onnx</w:t>
      </w:r>
      <w:proofErr w:type="spellEnd"/>
      <w:r>
        <w:rPr>
          <w:rFonts w:eastAsia="Times New Roman"/>
          <w:sz w:val="26"/>
          <w:lang w:val="ru-RU"/>
        </w:rPr>
        <w:t>-</w:t>
      </w:r>
      <w:proofErr w:type="spellStart"/>
      <w:r>
        <w:rPr>
          <w:rFonts w:eastAsia="Times New Roman"/>
          <w:sz w:val="26"/>
        </w:rPr>
        <w:t>asr</w:t>
      </w:r>
      <w:proofErr w:type="spellEnd"/>
      <w:r>
        <w:rPr>
          <w:rFonts w:eastAsia="Times New Roman"/>
          <w:color w:val="000000"/>
          <w:sz w:val="26"/>
          <w:lang w:val="ru-RU"/>
        </w:rPr>
        <w:t xml:space="preserve"> (дата доступа 1 июня 2025).</w:t>
      </w:r>
    </w:p>
    <w:p w14:paraId="34DEFFB4" w14:textId="77777777" w:rsidR="004B704C" w:rsidRDefault="005C45B7">
      <w:pPr>
        <w:pStyle w:val="Afb"/>
        <w:shd w:val="clear" w:color="auto" w:fill="FFFFFF" w:themeFill="background1"/>
        <w:ind w:firstLine="720"/>
        <w:contextualSpacing/>
        <w:rPr>
          <w:sz w:val="26"/>
          <w:lang w:val="en-US"/>
        </w:rPr>
      </w:pPr>
      <w:r>
        <w:rPr>
          <w:rFonts w:eastAsia="Times New Roman" w:cs="Times New Roman"/>
          <w:i/>
          <w:iCs/>
          <w:color w:val="222222"/>
          <w:sz w:val="26"/>
          <w:lang w:val="en-US"/>
        </w:rPr>
        <w:t xml:space="preserve">Loy J. E., Rohde H., Corley M. </w:t>
      </w:r>
      <w:r>
        <w:rPr>
          <w:rFonts w:eastAsia="Times New Roman" w:cs="Times New Roman"/>
          <w:color w:val="222222"/>
          <w:sz w:val="26"/>
          <w:lang w:val="en-US"/>
        </w:rPr>
        <w:t xml:space="preserve">Cues to lying may be deceptive: Speaker and listener </w:t>
      </w:r>
      <w:proofErr w:type="spellStart"/>
      <w:r>
        <w:rPr>
          <w:rFonts w:eastAsia="Times New Roman" w:cs="Times New Roman"/>
          <w:color w:val="222222"/>
          <w:sz w:val="26"/>
          <w:lang w:val="en-US"/>
        </w:rPr>
        <w:t>behaviour</w:t>
      </w:r>
      <w:proofErr w:type="spellEnd"/>
      <w:r>
        <w:rPr>
          <w:rFonts w:eastAsia="Times New Roman" w:cs="Times New Roman"/>
          <w:color w:val="222222"/>
          <w:sz w:val="26"/>
          <w:lang w:val="en-US"/>
        </w:rPr>
        <w:t xml:space="preserve"> in an interactive game of deception // Journal of Cognition. 2018. Vol. 1. №. 1. Art. 42. P. 1–21.</w:t>
      </w:r>
    </w:p>
    <w:p w14:paraId="6A0474A7" w14:textId="77777777" w:rsidR="004B704C" w:rsidRDefault="005C45B7">
      <w:pPr>
        <w:pStyle w:val="Afb"/>
        <w:shd w:val="clear" w:color="auto" w:fill="FFFFFF" w:themeFill="background1"/>
        <w:ind w:firstLine="720"/>
        <w:contextualSpacing/>
        <w:rPr>
          <w:sz w:val="26"/>
          <w:lang w:val="en-US"/>
        </w:rPr>
      </w:pPr>
      <w:proofErr w:type="spellStart"/>
      <w:r>
        <w:rPr>
          <w:rFonts w:eastAsia="Times New Roman" w:cs="Times New Roman"/>
          <w:i/>
          <w:sz w:val="26"/>
          <w:lang w:val="en-US"/>
        </w:rPr>
        <w:t>Sherstinova</w:t>
      </w:r>
      <w:proofErr w:type="spellEnd"/>
      <w:r>
        <w:rPr>
          <w:rFonts w:eastAsia="Times New Roman" w:cs="Times New Roman"/>
          <w:i/>
          <w:sz w:val="26"/>
          <w:lang w:val="en-US"/>
        </w:rPr>
        <w:t xml:space="preserve"> T. et al.</w:t>
      </w:r>
      <w:r>
        <w:rPr>
          <w:rFonts w:eastAsia="Times New Roman" w:cs="Times New Roman"/>
          <w:sz w:val="26"/>
          <w:lang w:val="en-US"/>
        </w:rPr>
        <w:t xml:space="preserve"> Bridging gaps in Russian language processing: AI and everyday conversations // 2024 35th Conference of Open Innovations Association (FRUCT). IEEE, 2024. P. 665-674.</w:t>
      </w:r>
    </w:p>
    <w:p w14:paraId="47FC29D2" w14:textId="77777777" w:rsidR="004B704C" w:rsidRDefault="005C45B7">
      <w:pPr>
        <w:pBdr>
          <w:top w:val="none" w:sz="4" w:space="0" w:color="000000"/>
          <w:left w:val="none" w:sz="4" w:space="0" w:color="000000"/>
          <w:bottom w:val="none" w:sz="4" w:space="0" w:color="000000"/>
          <w:right w:val="none" w:sz="4" w:space="0" w:color="000000"/>
        </w:pBdr>
        <w:shd w:val="clear" w:color="auto" w:fill="FFFFFF" w:themeFill="background1"/>
        <w:spacing w:line="360" w:lineRule="auto"/>
        <w:ind w:firstLine="720"/>
        <w:contextualSpacing/>
        <w:jc w:val="both"/>
        <w:rPr>
          <w:sz w:val="26"/>
        </w:rPr>
      </w:pPr>
      <w:proofErr w:type="spellStart"/>
      <w:r>
        <w:rPr>
          <w:rFonts w:eastAsia="Times New Roman"/>
          <w:i/>
          <w:color w:val="000000"/>
          <w:sz w:val="26"/>
        </w:rPr>
        <w:t>Solà</w:t>
      </w:r>
      <w:proofErr w:type="spellEnd"/>
      <w:r>
        <w:rPr>
          <w:rFonts w:eastAsia="Times New Roman"/>
          <w:i/>
          <w:color w:val="000000"/>
          <w:sz w:val="26"/>
        </w:rPr>
        <w:t xml:space="preserve">-Sales S. et al. </w:t>
      </w:r>
      <w:proofErr w:type="spellStart"/>
      <w:r>
        <w:rPr>
          <w:rFonts w:eastAsia="Times New Roman"/>
          <w:color w:val="000000"/>
          <w:sz w:val="26"/>
        </w:rPr>
        <w:t>Analysing</w:t>
      </w:r>
      <w:proofErr w:type="spellEnd"/>
      <w:r>
        <w:rPr>
          <w:rFonts w:eastAsia="Times New Roman"/>
          <w:color w:val="000000"/>
          <w:sz w:val="26"/>
        </w:rPr>
        <w:t xml:space="preserve"> deception in witness memory through linguistic styles in spontaneous language // Brain sciences. 2023. Vol. 13. №. 2. P. 317.</w:t>
      </w:r>
    </w:p>
    <w:p w14:paraId="2FDD407F" w14:textId="77777777" w:rsidR="004B704C" w:rsidRDefault="004B704C">
      <w:pPr>
        <w:pStyle w:val="Afb"/>
        <w:shd w:val="clear" w:color="auto" w:fill="FFFFFF"/>
        <w:ind w:firstLine="720"/>
        <w:contextualSpacing/>
        <w:rPr>
          <w:sz w:val="26"/>
          <w:lang w:val="en-US"/>
        </w:rPr>
      </w:pPr>
    </w:p>
    <w:p w14:paraId="56000E7E" w14:textId="77777777" w:rsidR="004B704C" w:rsidRDefault="005C45B7">
      <w:pPr>
        <w:jc w:val="center"/>
        <w:rPr>
          <w:b/>
        </w:rPr>
      </w:pPr>
      <w:r>
        <w:rPr>
          <w:b/>
        </w:rPr>
        <w:t>Creating a Spoken Language Corpus for Diagnostic Purposes Using Automatic Speech Recognition Algorithms</w:t>
      </w:r>
    </w:p>
    <w:p w14:paraId="5B38E71E" w14:textId="77777777" w:rsidR="004B704C" w:rsidRDefault="005C45B7">
      <w:pPr>
        <w:pStyle w:val="Afb"/>
        <w:ind w:firstLine="720"/>
        <w:contextualSpacing/>
        <w:jc w:val="center"/>
        <w:rPr>
          <w:sz w:val="26"/>
          <w:lang w:val="en-US"/>
        </w:rPr>
      </w:pPr>
      <w:r>
        <w:rPr>
          <w:i/>
          <w:iCs/>
          <w:sz w:val="26"/>
          <w:lang w:val="it-IT"/>
        </w:rPr>
        <w:t>Zhilina Polina</w:t>
      </w:r>
      <w:r>
        <w:rPr>
          <w:i/>
          <w:iCs/>
          <w:sz w:val="26"/>
          <w:lang w:val="en-US"/>
        </w:rPr>
        <w:t xml:space="preserve"> P.</w:t>
      </w:r>
      <w:r>
        <w:rPr>
          <w:rFonts w:ascii="Arial Unicode MS" w:hAnsi="Arial Unicode MS"/>
          <w:sz w:val="26"/>
          <w:vertAlign w:val="superscript"/>
          <w:lang w:val="en-US"/>
        </w:rPr>
        <w:t>✉</w:t>
      </w:r>
      <w:r>
        <w:rPr>
          <w:sz w:val="26"/>
          <w:vertAlign w:val="superscript"/>
          <w:lang w:val="en-US"/>
        </w:rPr>
        <w:t>[0009-0001-8618-495X]</w:t>
      </w:r>
    </w:p>
    <w:p w14:paraId="31074097" w14:textId="77777777" w:rsidR="004B704C" w:rsidRDefault="005C45B7">
      <w:pPr>
        <w:pStyle w:val="Afb"/>
        <w:ind w:firstLine="720"/>
        <w:contextualSpacing/>
        <w:jc w:val="center"/>
        <w:rPr>
          <w:rFonts w:eastAsia="Times New Roman" w:cs="Times New Roman"/>
          <w:sz w:val="26"/>
          <w:szCs w:val="20"/>
          <w:lang w:val="en-US"/>
        </w:rPr>
      </w:pPr>
      <w:r>
        <w:rPr>
          <w:rFonts w:eastAsia="Times New Roman" w:cs="Times New Roman"/>
          <w:sz w:val="26"/>
          <w:szCs w:val="20"/>
          <w:lang w:val="en-US"/>
        </w:rPr>
        <w:t xml:space="preserve">HSE University — Nizhny Novgorod, 25/12 </w:t>
      </w:r>
      <w:proofErr w:type="spellStart"/>
      <w:r>
        <w:rPr>
          <w:rFonts w:eastAsia="Times New Roman" w:cs="Times New Roman"/>
          <w:sz w:val="26"/>
          <w:szCs w:val="20"/>
          <w:lang w:val="en-US"/>
        </w:rPr>
        <w:t>Bolshaya</w:t>
      </w:r>
      <w:proofErr w:type="spellEnd"/>
      <w:r>
        <w:rPr>
          <w:rFonts w:eastAsia="Times New Roman" w:cs="Times New Roman"/>
          <w:sz w:val="26"/>
          <w:szCs w:val="20"/>
          <w:lang w:val="en-US"/>
        </w:rPr>
        <w:t xml:space="preserve"> </w:t>
      </w:r>
      <w:proofErr w:type="spellStart"/>
      <w:r>
        <w:rPr>
          <w:rFonts w:eastAsia="Times New Roman" w:cs="Times New Roman"/>
          <w:sz w:val="26"/>
          <w:szCs w:val="20"/>
          <w:lang w:val="en-US"/>
        </w:rPr>
        <w:t>Pecherskaya</w:t>
      </w:r>
      <w:proofErr w:type="spellEnd"/>
      <w:r>
        <w:rPr>
          <w:rFonts w:eastAsia="Times New Roman" w:cs="Times New Roman"/>
          <w:sz w:val="26"/>
          <w:szCs w:val="20"/>
          <w:lang w:val="en-US"/>
        </w:rPr>
        <w:t xml:space="preserve"> Street, Room 303, Nizhny Novgorod, 603155, Russia</w:t>
      </w:r>
    </w:p>
    <w:p w14:paraId="7E45C0C3" w14:textId="77777777" w:rsidR="004B704C" w:rsidRDefault="005C45B7">
      <w:pPr>
        <w:pStyle w:val="Afb"/>
        <w:ind w:firstLine="720"/>
        <w:contextualSpacing/>
        <w:jc w:val="center"/>
        <w:rPr>
          <w:rFonts w:eastAsia="Times New Roman" w:cs="Times New Roman"/>
          <w:sz w:val="26"/>
          <w:szCs w:val="20"/>
          <w:lang w:val="en-US"/>
        </w:rPr>
      </w:pPr>
      <w:r>
        <w:rPr>
          <w:rFonts w:eastAsia="Times New Roman" w:cs="Times New Roman"/>
          <w:sz w:val="26"/>
          <w:szCs w:val="20"/>
          <w:lang w:val="en-US"/>
        </w:rPr>
        <w:t xml:space="preserve"> ppzhilina@edu.hse.ru</w:t>
      </w:r>
    </w:p>
    <w:p w14:paraId="5500E5DC" w14:textId="77777777" w:rsidR="004B704C" w:rsidRDefault="004B704C">
      <w:pPr>
        <w:pStyle w:val="Afb"/>
        <w:ind w:firstLine="720"/>
        <w:contextualSpacing/>
        <w:rPr>
          <w:b/>
          <w:bCs/>
          <w:sz w:val="26"/>
          <w:szCs w:val="20"/>
          <w:lang w:val="en-US"/>
        </w:rPr>
      </w:pPr>
    </w:p>
    <w:p w14:paraId="1E7F0DDA" w14:textId="77777777" w:rsidR="004B704C" w:rsidRDefault="005C45B7">
      <w:pPr>
        <w:pStyle w:val="Afb"/>
        <w:ind w:firstLine="720"/>
        <w:contextualSpacing/>
        <w:rPr>
          <w:i/>
          <w:sz w:val="26"/>
          <w:szCs w:val="20"/>
          <w:lang w:val="en-US"/>
        </w:rPr>
      </w:pPr>
      <w:r>
        <w:rPr>
          <w:b/>
          <w:bCs/>
          <w:i/>
          <w:sz w:val="26"/>
          <w:szCs w:val="20"/>
          <w:lang w:val="de-DE"/>
        </w:rPr>
        <w:t xml:space="preserve">Abstract. </w:t>
      </w:r>
      <w:r>
        <w:rPr>
          <w:i/>
          <w:sz w:val="26"/>
          <w:szCs w:val="20"/>
          <w:lang w:val="en-US"/>
        </w:rPr>
        <w:t>This study presents a comparative analysis of three Automatic Speech Recognition (ASR) systems—gigaam-v2-rnnt, whisper-large-v3-turbo, and nemo-</w:t>
      </w:r>
      <w:proofErr w:type="spellStart"/>
      <w:r>
        <w:rPr>
          <w:i/>
          <w:sz w:val="26"/>
          <w:szCs w:val="20"/>
          <w:lang w:val="en-US"/>
        </w:rPr>
        <w:t>fastconformer</w:t>
      </w:r>
      <w:proofErr w:type="spellEnd"/>
      <w:r>
        <w:rPr>
          <w:i/>
          <w:sz w:val="26"/>
          <w:szCs w:val="20"/>
          <w:lang w:val="en-US"/>
        </w:rPr>
        <w:t>-</w:t>
      </w:r>
      <w:proofErr w:type="spellStart"/>
      <w:r>
        <w:rPr>
          <w:i/>
          <w:sz w:val="26"/>
          <w:szCs w:val="20"/>
          <w:lang w:val="en-US"/>
        </w:rPr>
        <w:t>ru-rnnt</w:t>
      </w:r>
      <w:proofErr w:type="spellEnd"/>
      <w:r>
        <w:rPr>
          <w:i/>
          <w:sz w:val="26"/>
          <w:szCs w:val="20"/>
          <w:lang w:val="en-US"/>
        </w:rPr>
        <w:t>—evaluated on audio material prepared for creating a specialized Russian speech corpus containing truthful and deceptive statements. The research combines quantitative evaluation using standard metrics (WER, CER, WIL, and WIP) with qualitative linguistic analysis of automatically generated transcript errors. The gigaam-v2-rnnt model demonstrated superior performance and resilience to meaning-altering errors. However, all tested ASR models systematically failed to capture diagnostically significant elements of spontaneous speech that are crucial for statement veracity assessment. To address this limitation, a specialized annotation protocol was developed. The findings justify the current necessity of a hybrid approach, combining ASR technologies with linguistic validation, for creating diagnostic corpora suitable for subsequent analysis.</w:t>
      </w:r>
    </w:p>
    <w:p w14:paraId="0B433160" w14:textId="77777777" w:rsidR="004B704C" w:rsidRDefault="004B704C">
      <w:pPr>
        <w:pStyle w:val="Afb"/>
        <w:ind w:firstLine="720"/>
        <w:contextualSpacing/>
        <w:rPr>
          <w:i/>
          <w:sz w:val="26"/>
          <w:szCs w:val="20"/>
          <w:lang w:val="en-US"/>
        </w:rPr>
      </w:pPr>
    </w:p>
    <w:p w14:paraId="2BC9E6CD" w14:textId="77777777" w:rsidR="004B704C" w:rsidRDefault="005C45B7">
      <w:pPr>
        <w:pStyle w:val="Afb"/>
        <w:ind w:firstLine="720"/>
        <w:contextualSpacing/>
        <w:rPr>
          <w:i/>
          <w:sz w:val="26"/>
          <w:lang w:val="en-US"/>
        </w:rPr>
      </w:pPr>
      <w:r>
        <w:rPr>
          <w:b/>
          <w:bCs/>
          <w:i/>
          <w:sz w:val="26"/>
          <w:szCs w:val="20"/>
          <w:lang w:val="en-US"/>
        </w:rPr>
        <w:lastRenderedPageBreak/>
        <w:t>Keywords:</w:t>
      </w:r>
      <w:r>
        <w:rPr>
          <w:i/>
          <w:sz w:val="26"/>
          <w:szCs w:val="20"/>
          <w:lang w:val="en-US"/>
        </w:rPr>
        <w:t xml:space="preserve"> automatic speech recognition (ASR), spoken language corpus, truth and deception cues, annotation protocol, computational linguistics.</w:t>
      </w:r>
    </w:p>
    <w:sectPr w:rsidR="004B704C">
      <w:headerReference w:type="default" r:id="rId15"/>
      <w:footerReference w:type="default" r:id="rId16"/>
      <w:pgSz w:w="11900" w:h="16840"/>
      <w:pgMar w:top="1418" w:right="1134" w:bottom="1418" w:left="113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C4DDA" w14:textId="77777777" w:rsidR="00881632" w:rsidRDefault="00881632">
      <w:r>
        <w:separator/>
      </w:r>
    </w:p>
  </w:endnote>
  <w:endnote w:type="continuationSeparator" w:id="0">
    <w:p w14:paraId="163C2814" w14:textId="77777777" w:rsidR="00881632" w:rsidRDefault="00881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EB893" w14:textId="77777777" w:rsidR="004B704C" w:rsidRDefault="004B704C">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2846C" w14:textId="77777777" w:rsidR="00881632" w:rsidRDefault="00881632">
      <w:r>
        <w:separator/>
      </w:r>
    </w:p>
  </w:footnote>
  <w:footnote w:type="continuationSeparator" w:id="0">
    <w:p w14:paraId="4D87E251" w14:textId="77777777" w:rsidR="00881632" w:rsidRDefault="00881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83C36" w14:textId="77777777" w:rsidR="004B704C" w:rsidRDefault="004B704C">
    <w:pPr>
      <w:pStyle w:val="af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04C"/>
    <w:rsid w:val="00290862"/>
    <w:rsid w:val="004B704C"/>
    <w:rsid w:val="00593AA2"/>
    <w:rsid w:val="005C45B7"/>
    <w:rsid w:val="00811CF5"/>
    <w:rsid w:val="00881632"/>
    <w:rsid w:val="00B12AA1"/>
    <w:rsid w:val="00FB2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6B4A6"/>
  <w15:docId w15:val="{52ABC135-254D-1140-BCE7-A31B04042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US" w:eastAsia="en-US"/>
    </w:r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after="200"/>
    </w:p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pPr>
  </w:style>
  <w:style w:type="character" w:customStyle="1" w:styleId="FooterChar">
    <w:name w:val="Footer Char"/>
    <w:basedOn w:val="a0"/>
    <w:uiPriority w:val="99"/>
  </w:style>
  <w:style w:type="paragraph" w:styleId="af">
    <w:name w:val="caption"/>
    <w:basedOn w:val="a"/>
    <w:next w:val="a"/>
    <w:uiPriority w:val="35"/>
    <w:semiHidden/>
    <w:unhideWhenUsed/>
    <w:qFormat/>
    <w:pPr>
      <w:spacing w:line="276" w:lineRule="auto"/>
    </w:pPr>
    <w:rPr>
      <w:b/>
      <w:bCs/>
      <w:color w:val="5B9BD5"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1">
    <w:name w:val="footnote text"/>
    <w:basedOn w:val="a"/>
    <w:link w:val="af2"/>
    <w:uiPriority w:val="99"/>
    <w:semiHidden/>
    <w:unhideWhenUsed/>
    <w:pPr>
      <w:spacing w:after="40"/>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style>
  <w:style w:type="character" w:styleId="af9">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fa">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Afb">
    <w:name w:val="Основной текст A"/>
    <w:pPr>
      <w:spacing w:line="360" w:lineRule="auto"/>
      <w:ind w:firstLine="709"/>
      <w:jc w:val="both"/>
    </w:pPr>
    <w:rPr>
      <w:rFonts w:cs="Arial Unicode MS"/>
      <w:color w:val="000000"/>
      <w:sz w:val="24"/>
      <w:szCs w:val="24"/>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10.png"/><Relationship Id="rId4" Type="http://schemas.openxmlformats.org/officeDocument/2006/relationships/footnotes" Target="footnotes.xml"/><Relationship Id="rId14" Type="http://schemas.openxmlformats.org/officeDocument/2006/relationships/image" Target="media/image30.png"/></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prstGeom prst="rect">
          <a:avLst/>
        </a:prstGeom>
        <a:solidFill>
          <a:srgbClr val="FFFFFF"/>
        </a:solidFill>
        <a:ln w="25400" cap="flat">
          <a:solidFill>
            <a:schemeClr val="accent1"/>
          </a:solidFill>
          <a:prstDash val="solid"/>
          <a:round/>
        </a:ln>
      </a:spPr>
      <a:bodyPr/>
      <a:lstStyle/>
      <a:style>
        <a:lnRef idx="0">
          <a:srgbClr val="000000"/>
        </a:lnRef>
        <a:fillRef idx="0">
          <a:srgbClr val="000000"/>
        </a:fillRef>
        <a:effectRef idx="0">
          <a:srgbClr val="000000"/>
        </a:effectRef>
        <a:fontRef idx="none"/>
      </a:style>
    </a:spDef>
    <a:lnDef>
      <a:spPr bwMode="auto">
        <a:prstGeom prst="rect">
          <a:avLst/>
        </a:prstGeom>
        <a:noFill/>
        <a:ln w="25400" cap="flat">
          <a:solidFill>
            <a:schemeClr val="accent1"/>
          </a:solidFill>
          <a:prstDash val="solid"/>
          <a:round/>
        </a:ln>
      </a:spPr>
      <a:bodyPr/>
      <a:lstStyle/>
      <a:style>
        <a:lnRef idx="0">
          <a:srgbClr val="000000"/>
        </a:lnRef>
        <a:fillRef idx="0">
          <a:srgbClr val="000000"/>
        </a:fillRef>
        <a:effectRef idx="0">
          <a:srgbClr val="000000"/>
        </a:effectRef>
        <a:fontRef idx="none"/>
      </a:style>
    </a:lnDef>
    <a:txDef>
      <a:spPr bwMode="auto">
        <a:prstGeom prst="rect">
          <a:avLst/>
        </a:prstGeom>
        <a:noFill/>
        <a:ln w="12700" cap="flat">
          <a:noFill/>
          <a:miter lim="400000"/>
        </a:ln>
      </a:spPr>
      <a:bodyPr/>
      <a:lstStyle/>
      <a:style>
        <a:lnRef idx="0">
          <a:srgbClr val="000000"/>
        </a:lnRef>
        <a:fillRef idx="0">
          <a:srgbClr val="000000"/>
        </a:fillRef>
        <a:effectRef idx="0">
          <a:srgbClr val="00000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1545</Words>
  <Characters>8808</Characters>
  <Application>Microsoft Office Word</Application>
  <DocSecurity>0</DocSecurity>
  <Lines>73</Lines>
  <Paragraphs>20</Paragraphs>
  <ScaleCrop>false</ScaleCrop>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Анна Хоменко</dc:creator>
  <cp:lastModifiedBy>Анна Хоменко</cp:lastModifiedBy>
  <cp:revision>2</cp:revision>
  <dcterms:created xsi:type="dcterms:W3CDTF">2025-12-03T09:45:00Z</dcterms:created>
  <dcterms:modified xsi:type="dcterms:W3CDTF">2025-12-03T09:45:00Z</dcterms:modified>
</cp:coreProperties>
</file>