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Tên: </w:t>
      </w:r>
      <w:r>
        <w:rPr>
          <w:rFonts w:ascii="Times New Roman" w:hAnsi="Times New Roman" w:eastAsia="Times New Roman" w:cs="Times New Roman"/>
          <w:color w:val="000000"/>
          <w:sz w:val="24"/>
          <w:highlight w:val="none"/>
        </w:rPr>
        <w:t xml:space="preserve">Trươn</w:t>
      </w:r>
      <w:r>
        <w:rPr>
          <w:rFonts w:ascii="Times New Roman" w:hAnsi="Times New Roman" w:eastAsia="Times New Roman" w:cs="Times New Roman"/>
          <w:color w:val="000000"/>
          <w:sz w:val="24"/>
          <w:highlight w:val="none"/>
        </w:rPr>
        <w:t xml:space="preserve">g </w:t>
      </w:r>
      <w:r>
        <w:rPr>
          <w:rFonts w:ascii="Times New Roman" w:hAnsi="Times New Roman" w:eastAsia="Times New Roman" w:cs="Times New Roman"/>
          <w:color w:val="000000"/>
          <w:sz w:val="24"/>
          <w:highlight w:val="none"/>
        </w:rPr>
        <w:t xml:space="preserve">Anh </w:t>
      </w:r>
      <w:r>
        <w:rPr>
          <w:rFonts w:ascii="Times New Roman" w:hAnsi="Times New Roman" w:eastAsia="Times New Roman" w:cs="Times New Roman"/>
          <w:color w:val="000000"/>
          <w:sz w:val="24"/>
          <w:highlight w:val="none"/>
        </w:rPr>
        <w:t xml:space="preserve">Kiệt </w:t>
      </w:r>
      <w:r>
        <w:rPr>
          <w:rFonts w:ascii="Times New Roman" w:hAnsi="Times New Roman" w:eastAsia="Times New Roman" w:cs="Times New Roman"/>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t xml:space="preserve">MSSV: </w:t>
      </w:r>
      <w:r>
        <w:rPr>
          <w:rFonts w:ascii="Times New Roman" w:hAnsi="Times New Roman" w:eastAsia="Times New Roman" w:cs="Times New Roman"/>
          <w:color w:val="000000"/>
          <w:sz w:val="24"/>
          <w:highlight w:val="none"/>
        </w:rPr>
        <w:t xml:space="preserve">24110267 </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6B9EB5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32"/>
          <w:szCs w:val="32"/>
          <w:highlight w:val="none"/>
        </w:rPr>
      </w:pPr>
      <w:r>
        <w:rPr>
          <w:rFonts w:ascii="Times New Roman" w:hAnsi="Times New Roman" w:eastAsia="Times New Roman" w:cs="Times New Roman"/>
          <w:color w:val="000000"/>
          <w:sz w:val="32"/>
          <w:szCs w:val="32"/>
          <w:highlight w:val="none"/>
        </w:rPr>
        <w:t xml:space="preserve">Câu </w:t>
      </w:r>
      <w:r>
        <w:rPr>
          <w:rFonts w:ascii="Times New Roman" w:hAnsi="Times New Roman" w:eastAsia="Times New Roman" w:cs="Times New Roman"/>
          <w:color w:val="000000"/>
          <w:sz w:val="32"/>
          <w:szCs w:val="32"/>
          <w:highlight w:val="none"/>
        </w:rPr>
        <w:t xml:space="preserve">1: </w:t>
      </w: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color w:val="000000"/>
          <w:sz w:val="32"/>
          <w:szCs w:val="32"/>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Cửa hàng </w:t>
      </w:r>
      <w:r>
        <w:rPr>
          <w:rFonts w:ascii="Times New Roman" w:hAnsi="Times New Roman" w:eastAsia="Times New Roman" w:cs="Times New Roman"/>
          <w:b w:val="0"/>
          <w:bCs w:val="0"/>
          <w:color w:val="000000"/>
          <w:sz w:val="24"/>
        </w:rPr>
        <w:t xml:space="preserve">nên chuyển sang sử dụng </w:t>
      </w:r>
      <w:r>
        <w:rPr>
          <w:rFonts w:ascii="Times New Roman" w:hAnsi="Times New Roman" w:eastAsia="Times New Roman" w:cs="Times New Roman"/>
          <w:b w:val="0"/>
          <w:bCs w:val="0"/>
          <w:color w:val="000000"/>
          <w:sz w:val="24"/>
        </w:rPr>
        <w:t xml:space="preserve">h</w:t>
      </w:r>
      <w:r>
        <w:rPr>
          <w:rFonts w:ascii="Times New Roman" w:hAnsi="Times New Roman" w:eastAsia="Times New Roman" w:cs="Times New Roman"/>
          <w:b w:val="0"/>
          <w:bCs w:val="0"/>
          <w:color w:val="000000"/>
          <w:sz w:val="24"/>
        </w:rPr>
        <w:t xml:space="preserve">ệ quản trị cơ sở dữ liệu</w:t>
      </w:r>
      <w:r>
        <w:rPr>
          <w:rFonts w:ascii="Times New Roman" w:hAnsi="Times New Roman" w:eastAsia="Times New Roman" w:cs="Times New Roman"/>
          <w:color w:val="000000"/>
          <w:sz w:val="24"/>
        </w:rPr>
        <w:t xml:space="preserve"> thay vì tiếp tục dùng các file Excel riêng lẻ </w:t>
      </w:r>
      <w:r>
        <w:rPr>
          <w:rFonts w:ascii="Times New Roman" w:hAnsi="Times New Roman" w:eastAsia="Times New Roman" w:cs="Times New Roman"/>
          <w:color w:val="000000"/>
          <w:sz w:val="24"/>
        </w:rPr>
        <w:t xml:space="preserve">bởi </w:t>
      </w:r>
      <w:r>
        <w:rPr>
          <w:rFonts w:ascii="Times New Roman" w:hAnsi="Times New Roman" w:eastAsia="Times New Roman" w:cs="Times New Roman"/>
          <w:color w:val="000000"/>
          <w:sz w:val="24"/>
        </w:rPr>
        <w:t xml:space="preserve">vì </w:t>
      </w:r>
      <w:r/>
    </w:p>
    <w:p w14:paraId="4FE19CD5">
      <w:pPr>
        <w:pBdr/>
        <w:spacing/>
        <w:ind w:firstLine="0" w:left="0"/>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color w:val="000000"/>
          <w:sz w:val="24"/>
        </w:rPr>
        <w:t xml:space="preserve">Loại bỏ trùng lặp và đảm bảo tính toàn vẹn dữ liệu:</w:t>
      </w:r>
      <w:r>
        <w:rPr>
          <w:b/>
          <w:bCs/>
        </w:rPr>
      </w:r>
    </w:p>
    <w:p w14:paraId="392515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Cho phép thiết lập mô hình quan hệ với các ràng buộc như </w:t>
      </w:r>
      <w:r>
        <w:rPr>
          <w:rFonts w:ascii="Times New Roman" w:hAnsi="Times New Roman" w:eastAsia="Times New Roman" w:cs="Times New Roman"/>
          <w:b w:val="0"/>
          <w:bCs w:val="0"/>
          <w:color w:val="000000"/>
          <w:sz w:val="24"/>
        </w:rPr>
        <w:t xml:space="preserve">k</w:t>
      </w:r>
      <w:r>
        <w:rPr>
          <w:rFonts w:ascii="Times New Roman" w:hAnsi="Times New Roman" w:eastAsia="Times New Roman" w:cs="Times New Roman"/>
          <w:b w:val="0"/>
          <w:bCs w:val="0"/>
          <w:color w:val="000000"/>
          <w:sz w:val="24"/>
        </w:rPr>
        <w:t xml:space="preserve">hóa chính </w:t>
      </w:r>
      <w:r>
        <w:rPr>
          <w:rFonts w:ascii="Times New Roman" w:hAnsi="Times New Roman" w:eastAsia="Times New Roman" w:cs="Times New Roman"/>
          <w:b w:val="0"/>
          <w:bCs w:val="0"/>
          <w:color w:val="000000"/>
          <w:sz w:val="24"/>
        </w:rPr>
        <w:t xml:space="preserve">(ví dụ: </w:t>
      </w:r>
      <w:r>
        <w:rPr>
          <w:rFonts w:ascii="Courier New" w:hAnsi="Courier New" w:eastAsia="Courier New" w:cs="Courier New"/>
          <w:b w:val="0"/>
          <w:bCs w:val="0"/>
          <w:color w:val="000000"/>
          <w:sz w:val="20"/>
        </w:rPr>
        <w:t xml:space="preserve">MaKH</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và </w:t>
      </w:r>
      <w:r>
        <w:rPr>
          <w:rFonts w:ascii="Times New Roman" w:hAnsi="Times New Roman" w:eastAsia="Times New Roman" w:cs="Times New Roman"/>
          <w:b w:val="0"/>
          <w:bCs w:val="0"/>
          <w:color w:val="000000"/>
          <w:sz w:val="24"/>
        </w:rPr>
        <w:t xml:space="preserve">Khóa ngoại (Foreign Key)</w:t>
      </w:r>
      <w:r>
        <w:rPr>
          <w:rFonts w:ascii="Times New Roman" w:hAnsi="Times New Roman" w:eastAsia="Times New Roman" w:cs="Times New Roman"/>
          <w:color w:val="000000"/>
          <w:sz w:val="24"/>
        </w:rPr>
        <w:t xml:space="preserve">. Khi tạo đơn hàng mới, nhân viên chỉ cần liên kết với mã khách hàng đã có mà không phải nhập lại toàn bộ thông tin, ngăn chặn triệt để việc trùng lặp</w:t>
      </w:r>
      <w:r/>
    </w:p>
    <w:p w14:paraId="1C970F41">
      <w:pPr>
        <w:pStyle w:val="668"/>
        <w:pBdr>
          <w:top w:val="none" w:color="000000" w:sz="4" w:space="0"/>
          <w:left w:val="none" w:color="000000" w:sz="4" w:space="0"/>
          <w:bottom w:val="none" w:color="000000" w:sz="4" w:space="0"/>
          <w:right w:val="none" w:color="000000" w:sz="4" w:space="0"/>
        </w:pBdr>
        <w:spacing/>
        <w:ind w:right="0" w:firstLine="0" w:left="0"/>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color w:val="000000"/>
          <w:sz w:val="24"/>
        </w:rPr>
        <w:t xml:space="preserve">Tối ưu hóa tìm kiếm và truy vấn dữ liệu cũ nhanh chóng </w:t>
      </w:r>
      <w:r>
        <w:rPr>
          <w:b/>
          <w:bCs/>
        </w:rPr>
      </w:r>
    </w:p>
    <w:p w14:paraId="6849B8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Cung cấp ngôn ngữ truy vấn mạnh mẽ kết hợp cơ chế </w:t>
      </w:r>
      <w:r>
        <w:rPr>
          <w:rFonts w:ascii="Times New Roman" w:hAnsi="Times New Roman" w:eastAsia="Times New Roman" w:cs="Times New Roman"/>
          <w:b/>
          <w:color w:val="000000"/>
          <w:sz w:val="24"/>
        </w:rPr>
        <w:t xml:space="preserve">đánh chỉ mục (Indexing)</w:t>
      </w:r>
      <w:r>
        <w:rPr>
          <w:rFonts w:ascii="Times New Roman" w:hAnsi="Times New Roman" w:eastAsia="Times New Roman" w:cs="Times New Roman"/>
          <w:color w:val="000000"/>
          <w:sz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color w:val="000000"/>
          <w:sz w:val="24"/>
        </w:rPr>
        <w:t xml:space="preserve">rất </w:t>
      </w:r>
      <w:r>
        <w:rPr>
          <w:rFonts w:ascii="Times New Roman" w:hAnsi="Times New Roman" w:eastAsia="Times New Roman" w:cs="Times New Roman"/>
          <w:color w:val="000000"/>
          <w:sz w:val="24"/>
        </w:rPr>
        <w:t xml:space="preserve">nhanh </w:t>
      </w:r>
      <w:r>
        <w:rPr>
          <w:rFonts w:ascii="Times New Roman" w:hAnsi="Times New Roman" w:eastAsia="Times New Roman" w:cs="Times New Roman"/>
          <w:color w:val="000000"/>
          <w:sz w:val="24"/>
        </w:rPr>
        <w:t xml:space="preserve">chóng </w:t>
      </w:r>
      <w:r/>
    </w:p>
    <w:p w14:paraId="5B3C7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Hỗ trợ truy cập đồng thời và tính nhất quán khi nhiều nhân viên làm việc (Concurrency Control)</w:t>
      </w:r>
      <w:r/>
    </w:p>
    <w:p w14:paraId="44C161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Cơ chế quản lý giao dịch (</w:t>
      </w:r>
      <w:r>
        <w:rPr>
          <w:rFonts w:ascii="Times New Roman" w:hAnsi="Times New Roman" w:eastAsia="Times New Roman" w:cs="Times New Roman"/>
          <w:b w:val="0"/>
          <w:bCs w:val="0"/>
          <w:color w:val="000000"/>
          <w:sz w:val="24"/>
        </w:rPr>
        <w:t xml:space="preserve">ACID Transactions</w:t>
      </w:r>
      <w:r>
        <w:rPr>
          <w:rFonts w:ascii="Times New Roman" w:hAnsi="Times New Roman" w:eastAsia="Times New Roman" w:cs="Times New Roman"/>
          <w:color w:val="000000"/>
          <w:sz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rPr>
          <w:rFonts w:ascii="Times New Roman" w:hAnsi="Times New Roman" w:eastAsia="Times New Roman" w:cs="Times New Roman"/>
          <w:sz w:val="24"/>
        </w:rPr>
      </w:r>
    </w:p>
    <w:p w14:paraId="7ECE3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32"/>
          <w:szCs w:val="32"/>
          <w:highlight w:val="none"/>
        </w:rPr>
      </w:pPr>
      <w:r>
        <w:rPr>
          <w:rFonts w:ascii="Times New Roman" w:hAnsi="Times New Roman" w:eastAsia="Times New Roman" w:cs="Times New Roman"/>
          <w:color w:val="000000"/>
          <w:sz w:val="32"/>
          <w:szCs w:val="32"/>
          <w:highlight w:val="none"/>
        </w:rPr>
        <w:t xml:space="preserve">câu </w:t>
      </w:r>
      <w:r>
        <w:rPr>
          <w:rFonts w:ascii="Times New Roman" w:hAnsi="Times New Roman" w:eastAsia="Times New Roman" w:cs="Times New Roman"/>
          <w:color w:val="000000"/>
          <w:sz w:val="32"/>
          <w:szCs w:val="32"/>
          <w:highlight w:val="none"/>
        </w:rPr>
        <w:t xml:space="preserve">2: </w:t>
      </w: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sz w:val="32"/>
          <w:szCs w:val="32"/>
        </w:rPr>
      </w:r>
    </w:p>
    <w:p w14:paraId="7E37EA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4 ưu điểm tiêu biểu của DBMS đối với trường đại học:</w:t>
      </w:r>
      <w:r/>
    </w:p>
    <w:p w14:paraId="25B598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Dữ liệu tập trung và nhất quán:</w:t>
      </w:r>
      <w:r/>
    </w:p>
    <w:p w14:paraId="235C90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Sinh viên đổi số điện thoại tại Phòng Đào tạo thì bên Thư viện và Tài chính tự động cập nhật ngay, không lo lệch dữ liệu.</w:t>
      </w:r>
      <w:r/>
    </w:p>
    <w:p w14:paraId="38B8A0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Phân quyền và bảo mật chặt chẽ:</w:t>
      </w:r>
      <w:r/>
    </w:p>
    <w:p w14:paraId="5C0A67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Phòng Tài chính quản lý học phí nhưng không sửa được điểm; Giảng viên nhập điểm nhưng không xem được số dư tài khoản của sinh viên.</w:t>
      </w:r>
      <w:r/>
    </w:p>
    <w:p w14:paraId="0182ED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Hỗ trợ nhiều góc nhìn (Views) cho từng đơn vị:</w:t>
      </w:r>
      <w:r/>
    </w:p>
    <w:p w14:paraId="5E000B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Thư viện chỉ thấy thông tin mượn/trả sách, còn Khoa quản lý chuyên ngành sẽ thấy bảng điểm tích lũy và kết quả rèn luyện.</w:t>
      </w:r>
      <w:r/>
    </w:p>
    <w:p w14:paraId="76E931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Xử lý đồng thời không lo lỗi hệ thống:</w:t>
      </w:r>
      <w:r/>
    </w:p>
    <w:p w14:paraId="2154AC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Hàng trăm sinh viên cùng đăng ký một lớp học phần 50 chỗ, hệ thống tự động khóa chính xác khi đủ 50 người, không bị quá tải hay trùng lặp.</w:t>
      </w:r>
      <w:r/>
    </w:p>
    <w:p w14:paraId="0EF519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32"/>
          <w:szCs w:val="32"/>
        </w:rPr>
      </w:pP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color w:val="000000"/>
          <w:sz w:val="32"/>
          <w:szCs w:val="32"/>
          <w:highlight w:val="none"/>
        </w:rPr>
      </w:r>
    </w:p>
    <w:p>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50CDD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F3D581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94BAF3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C58FE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0A52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56F36C0"/>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2026-08-27T02:49:45Z</dcterms:modified>
</cp:coreProperties>
</file>