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0678B1BE" w14:textId="77777777" w:rsidR="00F904F2" w:rsidRDefault="00F904F2" w:rsidP="008C3B73">
      <w:pPr>
        <w:pStyle w:val="Body"/>
        <w:rPr>
          <w:rFonts w:eastAsia="Arial Unicode MS" w:cs="Arial Unicode MS"/>
          <w:sz w:val="36"/>
          <w:szCs w:val="36"/>
          <w:bdr w:val="nil"/>
          <w:lang w:val="en-US"/>
        </w:rPr>
      </w:pPr>
      <w:r w:rsidRPr="00F904F2">
        <w:rPr>
          <w:rFonts w:eastAsia="Arial Unicode MS" w:cs="Arial Unicode MS"/>
          <w:sz w:val="36"/>
          <w:szCs w:val="36"/>
          <w:bdr w:val="nil"/>
          <w:lang w:val="en-US"/>
        </w:rPr>
        <w:t>How many accidents occur in each state?</w:t>
      </w:r>
    </w:p>
    <w:p w14:paraId="5429B3E1" w14:textId="024CAE5E" w:rsidR="00F904F2" w:rsidRDefault="00F904F2" w:rsidP="008C3B73">
      <w:pPr>
        <w:pStyle w:val="Body"/>
      </w:pPr>
      <w:r>
        <w:rPr>
          <w:noProof/>
        </w:rPr>
        <w:drawing>
          <wp:inline distT="0" distB="0" distL="0" distR="0" wp14:anchorId="52C9FE0D" wp14:editId="74D34219">
            <wp:extent cx="5556250" cy="3349625"/>
            <wp:effectExtent l="0" t="0" r="6350" b="3175"/>
            <wp:docPr id="19326632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76FD74-B180-8831-36DC-7376D71295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78AEB6" w14:textId="77777777" w:rsidR="00F904F2" w:rsidRDefault="00F904F2" w:rsidP="008C3B73">
      <w:pPr>
        <w:pStyle w:val="Body"/>
      </w:pPr>
    </w:p>
    <w:p w14:paraId="124FC95F" w14:textId="77777777" w:rsidR="00076526" w:rsidRPr="008C3B73" w:rsidRDefault="00076526" w:rsidP="008C3B73">
      <w:pPr>
        <w:pStyle w:val="Body"/>
      </w:pPr>
    </w:p>
    <w:p w14:paraId="75A42642" w14:textId="548ADFFC" w:rsidR="00506E86" w:rsidRPr="00506E86" w:rsidRDefault="00506E86" w:rsidP="008C3B73">
      <w:pPr>
        <w:pStyle w:val="Body"/>
        <w:rPr>
          <w:b/>
          <w:bCs/>
          <w:sz w:val="36"/>
          <w:szCs w:val="28"/>
        </w:rPr>
      </w:pPr>
      <w:r w:rsidRPr="00506E86">
        <w:rPr>
          <w:b/>
          <w:bCs/>
          <w:sz w:val="36"/>
          <w:szCs w:val="28"/>
        </w:rPr>
        <w:t xml:space="preserve">What is the </w:t>
      </w:r>
      <w:r>
        <w:rPr>
          <w:b/>
          <w:bCs/>
          <w:sz w:val="36"/>
          <w:szCs w:val="28"/>
        </w:rPr>
        <w:t xml:space="preserve">total </w:t>
      </w:r>
      <w:r w:rsidRPr="00506E86">
        <w:rPr>
          <w:b/>
          <w:bCs/>
          <w:sz w:val="36"/>
          <w:szCs w:val="28"/>
        </w:rPr>
        <w:t>percentage distribution of accidents across different days of the week?</w:t>
      </w:r>
    </w:p>
    <w:p w14:paraId="4C88D9AD" w14:textId="77777777" w:rsidR="00506E86" w:rsidRDefault="00506E86" w:rsidP="008C3B73">
      <w:pPr>
        <w:pStyle w:val="Body"/>
      </w:pPr>
    </w:p>
    <w:p w14:paraId="43537E21" w14:textId="0A3CFB13" w:rsidR="00E7578E" w:rsidRDefault="00506E86" w:rsidP="008C3B73">
      <w:pPr>
        <w:pStyle w:val="Body"/>
      </w:pPr>
      <w:r>
        <w:rPr>
          <w:noProof/>
        </w:rPr>
        <w:drawing>
          <wp:inline distT="0" distB="0" distL="0" distR="0" wp14:anchorId="6078B9F4" wp14:editId="72604287">
            <wp:extent cx="6231890" cy="3797300"/>
            <wp:effectExtent l="0" t="0" r="16510" b="12700"/>
            <wp:docPr id="13938052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2EAEBA-2ED8-C8F7-FFEB-F26313E391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16CFA5" w14:textId="77777777" w:rsidR="00E7578E" w:rsidRDefault="00E7578E" w:rsidP="008C3B73">
      <w:pPr>
        <w:pStyle w:val="Body"/>
      </w:pPr>
    </w:p>
    <w:p w14:paraId="4D60B833" w14:textId="77777777" w:rsidR="00E7578E" w:rsidRPr="00076526" w:rsidRDefault="00E7578E" w:rsidP="008C3B73">
      <w:pPr>
        <w:pStyle w:val="Body"/>
      </w:pPr>
    </w:p>
    <w:p w14:paraId="69B6988B" w14:textId="77C43026" w:rsidR="008C3B73" w:rsidRDefault="00F55CFE" w:rsidP="008C3B73">
      <w:pPr>
        <w:pStyle w:val="Body"/>
      </w:pPr>
      <w:r w:rsidRPr="0049717D">
        <w:rPr>
          <w:rFonts w:eastAsia="Arial Unicode MS" w:cs="Arial Unicode MS"/>
          <w:b/>
          <w:bCs/>
          <w:sz w:val="36"/>
          <w:szCs w:val="36"/>
          <w:bdr w:val="nil"/>
          <w:lang w:val="en-US"/>
        </w:rPr>
        <w:t>What are the top 5 years with the highest total count of accidents within a specific age group</w:t>
      </w:r>
      <w:r w:rsidR="00B94C3F">
        <w:rPr>
          <w:noProof/>
        </w:rPr>
        <w:drawing>
          <wp:inline distT="0" distB="0" distL="0" distR="0" wp14:anchorId="689C1249" wp14:editId="6A6EBE3F">
            <wp:extent cx="6231890" cy="3258185"/>
            <wp:effectExtent l="0" t="0" r="16510" b="18415"/>
            <wp:docPr id="3801073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A85589-88E9-0ECA-213C-1C6809B4E0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805B25" w14:textId="77777777" w:rsidR="00722DA4" w:rsidRDefault="00722DA4" w:rsidP="008C3B73">
      <w:pPr>
        <w:pStyle w:val="Body"/>
      </w:pPr>
    </w:p>
    <w:p w14:paraId="62B5571B" w14:textId="77777777" w:rsidR="00722DA4" w:rsidRDefault="00722DA4" w:rsidP="008C3B73">
      <w:pPr>
        <w:pStyle w:val="Body"/>
      </w:pPr>
    </w:p>
    <w:p w14:paraId="3EC61C40" w14:textId="0F44184E" w:rsidR="00722DA4" w:rsidRDefault="00722DA4" w:rsidP="008C3B73">
      <w:pPr>
        <w:pStyle w:val="Body"/>
      </w:pPr>
    </w:p>
    <w:p w14:paraId="36DF10E8" w14:textId="77777777" w:rsidR="00722DA4" w:rsidRPr="008C3B73" w:rsidRDefault="00722DA4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F9FB0" w14:textId="77777777" w:rsidR="0006019F" w:rsidRDefault="0006019F">
      <w:r>
        <w:separator/>
      </w:r>
    </w:p>
  </w:endnote>
  <w:endnote w:type="continuationSeparator" w:id="0">
    <w:p w14:paraId="297689FA" w14:textId="77777777" w:rsidR="0006019F" w:rsidRDefault="00060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CBBBF" w14:textId="77777777" w:rsidR="0006019F" w:rsidRDefault="0006019F">
      <w:r>
        <w:separator/>
      </w:r>
    </w:p>
  </w:footnote>
  <w:footnote w:type="continuationSeparator" w:id="0">
    <w:p w14:paraId="5DFA9685" w14:textId="77777777" w:rsidR="0006019F" w:rsidRDefault="00060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1"/>
  </w:num>
  <w:num w:numId="2" w16cid:durableId="833953813">
    <w:abstractNumId w:val="0"/>
  </w:num>
  <w:num w:numId="3" w16cid:durableId="148184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6019F"/>
    <w:rsid w:val="000740BC"/>
    <w:rsid w:val="00076526"/>
    <w:rsid w:val="001C4B57"/>
    <w:rsid w:val="002E4A8B"/>
    <w:rsid w:val="00332F92"/>
    <w:rsid w:val="00382C21"/>
    <w:rsid w:val="003A4F73"/>
    <w:rsid w:val="003E410D"/>
    <w:rsid w:val="0049717D"/>
    <w:rsid w:val="004D19C2"/>
    <w:rsid w:val="00506E86"/>
    <w:rsid w:val="005848AE"/>
    <w:rsid w:val="00593537"/>
    <w:rsid w:val="00613A5D"/>
    <w:rsid w:val="00645C76"/>
    <w:rsid w:val="0069047B"/>
    <w:rsid w:val="006C4F5C"/>
    <w:rsid w:val="00702FC9"/>
    <w:rsid w:val="00704FC5"/>
    <w:rsid w:val="00722DA4"/>
    <w:rsid w:val="00727734"/>
    <w:rsid w:val="008C3B73"/>
    <w:rsid w:val="009034B5"/>
    <w:rsid w:val="00927312"/>
    <w:rsid w:val="00B31CC5"/>
    <w:rsid w:val="00B3354B"/>
    <w:rsid w:val="00B352DA"/>
    <w:rsid w:val="00B42BAE"/>
    <w:rsid w:val="00B94C3F"/>
    <w:rsid w:val="00BC204F"/>
    <w:rsid w:val="00CC0ECA"/>
    <w:rsid w:val="00CD42AA"/>
    <w:rsid w:val="00CD7DB3"/>
    <w:rsid w:val="00D25D7A"/>
    <w:rsid w:val="00D34820"/>
    <w:rsid w:val="00DD7F41"/>
    <w:rsid w:val="00E20C88"/>
    <w:rsid w:val="00E7578E"/>
    <w:rsid w:val="00F03C8A"/>
    <w:rsid w:val="00F057B4"/>
    <w:rsid w:val="00F55CFE"/>
    <w:rsid w:val="00F9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ooc\Documents\Khoo%20Chun%20Pin\SUT\2024-08%20AUG\COS30045%20Data%20Visualisation\ardd_fatalities_Jan2020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ooc\Documents\Khoo%20Chun%20Pin\SUT\2024-08%20AUG\COS30045%20Data%20Visualisation\ardd_fatalities_Jan2020_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ooc\Documents\Khoo%20Chun%20Pin\SUT\2024-08%20AUG\COS30045%20Data%20Visualisation\ardd_fatalities_Jan2020_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[ardd_fatalities_Jan2020_0.xlsx]Total Count of Accidents for Ea!PivotTable2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</a:t>
            </a:r>
            <a:r>
              <a:rPr lang="en-US"/>
              <a:t>Count</a:t>
            </a:r>
            <a:r>
              <a:rPr lang="en-US" baseline="0"/>
              <a:t> of </a:t>
            </a:r>
            <a:r>
              <a:rPr lang="en-US"/>
              <a:t>Accidents</a:t>
            </a:r>
            <a:r>
              <a:rPr lang="en-US" baseline="0"/>
              <a:t> for Each State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shade val="45000"/>
            </a:schemeClr>
          </a:solidFill>
          <a:ln>
            <a:noFill/>
          </a:ln>
          <a:effectLst/>
        </c:spP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tint val="46000"/>
            </a:schemeClr>
          </a:solidFill>
          <a:ln>
            <a:noFill/>
          </a:ln>
          <a:effectLst/>
        </c:spPr>
      </c:pivotFmt>
      <c:pivotFmt>
        <c:idx val="4"/>
        <c:spPr>
          <a:solidFill>
            <a:schemeClr val="accent1">
              <a:tint val="62000"/>
            </a:schemeClr>
          </a:solidFill>
          <a:ln>
            <a:noFill/>
          </a:ln>
          <a:effectLst/>
        </c:spPr>
      </c:pivotFmt>
      <c:pivotFmt>
        <c:idx val="5"/>
        <c:spPr>
          <a:solidFill>
            <a:schemeClr val="accent1">
              <a:tint val="77000"/>
            </a:schemeClr>
          </a:solidFill>
          <a:ln>
            <a:noFill/>
          </a:ln>
          <a:effectLst/>
        </c:spPr>
      </c:pivotFmt>
      <c:pivotFmt>
        <c:idx val="6"/>
        <c:spPr>
          <a:solidFill>
            <a:schemeClr val="accent1">
              <a:tint val="93000"/>
            </a:schemeClr>
          </a:solidFill>
          <a:ln>
            <a:noFill/>
          </a:ln>
          <a:effectLst/>
        </c:spPr>
      </c:pivotFmt>
      <c:pivotFmt>
        <c:idx val="7"/>
        <c:spPr>
          <a:solidFill>
            <a:schemeClr val="accent1">
              <a:shade val="92000"/>
            </a:schemeClr>
          </a:solidFill>
          <a:ln>
            <a:noFill/>
          </a:ln>
          <a:effectLst/>
        </c:spPr>
      </c:pivotFmt>
      <c:pivotFmt>
        <c:idx val="8"/>
        <c:spPr>
          <a:solidFill>
            <a:schemeClr val="accent1">
              <a:shade val="76000"/>
            </a:schemeClr>
          </a:solidFill>
          <a:ln>
            <a:noFill/>
          </a:ln>
          <a:effectLst/>
        </c:spPr>
      </c:pivotFmt>
      <c:pivotFmt>
        <c:idx val="9"/>
        <c:spPr>
          <a:solidFill>
            <a:schemeClr val="accent1">
              <a:shade val="61000"/>
            </a:schemeClr>
          </a:solidFill>
          <a:ln>
            <a:noFill/>
          </a:ln>
          <a:effectLst/>
        </c:spPr>
      </c:pivotFmt>
      <c:pivotFmt>
        <c:idx val="10"/>
        <c:spPr>
          <a:solidFill>
            <a:schemeClr val="accent1">
              <a:shade val="45000"/>
            </a:schemeClr>
          </a:solidFill>
          <a:ln>
            <a:noFill/>
          </a:ln>
          <a:effectLst/>
        </c:spP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>
              <a:tint val="46000"/>
            </a:schemeClr>
          </a:solidFill>
          <a:ln>
            <a:noFill/>
          </a:ln>
          <a:effectLst/>
        </c:spPr>
      </c:pivotFmt>
      <c:pivotFmt>
        <c:idx val="13"/>
        <c:spPr>
          <a:solidFill>
            <a:schemeClr val="accent1">
              <a:tint val="62000"/>
            </a:schemeClr>
          </a:solidFill>
          <a:ln>
            <a:noFill/>
          </a:ln>
          <a:effectLst/>
        </c:spPr>
      </c:pivotFmt>
      <c:pivotFmt>
        <c:idx val="14"/>
        <c:spPr>
          <a:solidFill>
            <a:schemeClr val="accent1">
              <a:tint val="77000"/>
            </a:schemeClr>
          </a:solidFill>
          <a:ln>
            <a:noFill/>
          </a:ln>
          <a:effectLst/>
        </c:spPr>
      </c:pivotFmt>
      <c:pivotFmt>
        <c:idx val="15"/>
        <c:spPr>
          <a:solidFill>
            <a:schemeClr val="accent1">
              <a:tint val="93000"/>
            </a:schemeClr>
          </a:solidFill>
          <a:ln>
            <a:noFill/>
          </a:ln>
          <a:effectLst/>
        </c:spPr>
      </c:pivotFmt>
      <c:pivotFmt>
        <c:idx val="16"/>
        <c:spPr>
          <a:solidFill>
            <a:schemeClr val="accent1">
              <a:shade val="92000"/>
            </a:schemeClr>
          </a:solidFill>
          <a:ln>
            <a:noFill/>
          </a:ln>
          <a:effectLst/>
        </c:spPr>
      </c:pivotFmt>
      <c:pivotFmt>
        <c:idx val="17"/>
        <c:spPr>
          <a:solidFill>
            <a:schemeClr val="accent1">
              <a:shade val="76000"/>
            </a:schemeClr>
          </a:solidFill>
          <a:ln>
            <a:noFill/>
          </a:ln>
          <a:effectLst/>
        </c:spPr>
      </c:pivotFmt>
      <c:pivotFmt>
        <c:idx val="18"/>
        <c:spPr>
          <a:solidFill>
            <a:schemeClr val="accent1">
              <a:shade val="61000"/>
            </a:schemeClr>
          </a:solidFill>
          <a:ln>
            <a:noFill/>
          </a:ln>
          <a:effectLst/>
        </c:spPr>
      </c:pivotFmt>
      <c:pivotFmt>
        <c:idx val="19"/>
        <c:spPr>
          <a:solidFill>
            <a:schemeClr val="accent1">
              <a:shade val="45000"/>
            </a:schemeClr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'Total Count of Accidents for Ea'!$B$3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>
                  <a:tint val="46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D5A-4F34-9E8A-938952BEAA64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tint val="62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D5A-4F34-9E8A-938952BEAA64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D5A-4F34-9E8A-938952BEAA64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tint val="93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3D5A-4F34-9E8A-938952BEAA64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>
                  <a:shade val="92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3D5A-4F34-9E8A-938952BEAA64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3D5A-4F34-9E8A-938952BEAA64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>
                  <a:shade val="61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3D5A-4F34-9E8A-938952BEAA64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1">
                  <a:shade val="4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3D5A-4F34-9E8A-938952BEAA6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'Total Count of Accidents for Ea'!$A$4:$A$12</c:f>
              <c:strCache>
                <c:ptCount val="8"/>
                <c:pt idx="0">
                  <c:v>ACT</c:v>
                </c:pt>
                <c:pt idx="1">
                  <c:v>Tas</c:v>
                </c:pt>
                <c:pt idx="2">
                  <c:v>NT</c:v>
                </c:pt>
                <c:pt idx="3">
                  <c:v>SA</c:v>
                </c:pt>
                <c:pt idx="4">
                  <c:v>WA</c:v>
                </c:pt>
                <c:pt idx="5">
                  <c:v>Qld</c:v>
                </c:pt>
                <c:pt idx="6">
                  <c:v>Vic</c:v>
                </c:pt>
                <c:pt idx="7">
                  <c:v>NSW</c:v>
                </c:pt>
              </c:strCache>
            </c:strRef>
          </c:cat>
          <c:val>
            <c:numRef>
              <c:f>'Total Count of Accidents for Ea'!$B$4:$B$12</c:f>
              <c:numCache>
                <c:formatCode>General</c:formatCode>
                <c:ptCount val="8"/>
                <c:pt idx="0">
                  <c:v>462</c:v>
                </c:pt>
                <c:pt idx="1">
                  <c:v>1494</c:v>
                </c:pt>
                <c:pt idx="2">
                  <c:v>1586</c:v>
                </c:pt>
                <c:pt idx="3">
                  <c:v>4391</c:v>
                </c:pt>
                <c:pt idx="4">
                  <c:v>6010</c:v>
                </c:pt>
                <c:pt idx="5">
                  <c:v>10021</c:v>
                </c:pt>
                <c:pt idx="6">
                  <c:v>11205</c:v>
                </c:pt>
                <c:pt idx="7">
                  <c:v>15832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3D5A-4F34-9E8A-938952BEAA6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8337791"/>
        <c:axId val="28336351"/>
      </c:barChart>
      <c:catAx>
        <c:axId val="28337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36351"/>
        <c:crosses val="autoZero"/>
        <c:auto val="1"/>
        <c:lblAlgn val="ctr"/>
        <c:lblOffset val="100"/>
        <c:noMultiLvlLbl val="0"/>
      </c:catAx>
      <c:valAx>
        <c:axId val="2833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37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[ardd_fatalities_Jan2020_0.xlsx]Total Percentage of accidents i!PivotTable4</c:name>
    <c:fmtId val="-1"/>
  </c:pivotSource>
  <c:chart>
    <c:title>
      <c:tx>
        <c:rich>
          <a:bodyPr rot="0" spcFirstLastPara="1" vertOverflow="ellipsis" vert="horz" wrap="square" anchor="t" anchorCtr="0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Total</a:t>
            </a:r>
            <a:r>
              <a:rPr lang="en-US" baseline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</a:t>
            </a:r>
            <a:r>
              <a:rPr lang="en-US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Percentage</a:t>
            </a:r>
            <a:r>
              <a:rPr lang="en-US" baseline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of accidents in DayWeek from 1989 to 2020      </a:t>
            </a:r>
            <a:r>
              <a:rPr lang="en-US" sz="1400" b="0" i="0" u="none" strike="noStrike" baseline="0"/>
              <a:t> </a:t>
            </a:r>
            <a:r>
              <a:rPr lang="en-US" baseline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 </a:t>
            </a:r>
            <a:endParaRPr lang="en-US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layout>
        <c:manualLayout>
          <c:xMode val="edge"/>
          <c:yMode val="edge"/>
          <c:x val="0.16131646295890867"/>
          <c:y val="2.47448472602396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t" anchorCtr="0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4">
              <a:shade val="47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4">
              <a:shade val="6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4">
              <a:shade val="82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4">
              <a:tint val="83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4">
              <a:tint val="6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4">
              <a:tint val="48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chemeClr val="accent4">
              <a:shade val="47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4">
              <a:shade val="6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4">
              <a:shade val="82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4">
              <a:tint val="83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4">
              <a:tint val="6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4">
              <a:tint val="48000"/>
            </a:schemeClr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'Total Percentage of accidents i'!$B$3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shade val="4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CF-4BBF-A8D9-CF569ACAA554}"/>
              </c:ext>
            </c:extLst>
          </c:dPt>
          <c:dPt>
            <c:idx val="1"/>
            <c:bubble3D val="0"/>
            <c:spPr>
              <a:solidFill>
                <a:schemeClr val="accent4">
                  <a:shade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CF-4BBF-A8D9-CF569ACAA554}"/>
              </c:ext>
            </c:extLst>
          </c:dPt>
          <c:dPt>
            <c:idx val="2"/>
            <c:bubble3D val="0"/>
            <c:spPr>
              <a:solidFill>
                <a:schemeClr val="accent4">
                  <a:shade val="82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CF-4BBF-A8D9-CF569ACAA55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DCF-4BBF-A8D9-CF569ACAA554}"/>
              </c:ext>
            </c:extLst>
          </c:dPt>
          <c:dPt>
            <c:idx val="4"/>
            <c:bubble3D val="0"/>
            <c:spPr>
              <a:solidFill>
                <a:schemeClr val="accent4">
                  <a:tint val="8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DCF-4BBF-A8D9-CF569ACAA554}"/>
              </c:ext>
            </c:extLst>
          </c:dPt>
          <c:dPt>
            <c:idx val="5"/>
            <c:bubble3D val="0"/>
            <c:spPr>
              <a:solidFill>
                <a:schemeClr val="accent4">
                  <a:tint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DCF-4BBF-A8D9-CF569ACAA554}"/>
              </c:ext>
            </c:extLst>
          </c:dPt>
          <c:dPt>
            <c:idx val="6"/>
            <c:bubble3D val="0"/>
            <c:spPr>
              <a:solidFill>
                <a:schemeClr val="accent4">
                  <a:tint val="4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DCF-4BBF-A8D9-CF569ACAA554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'Total Percentage of accidents i'!$A$4:$A$11</c:f>
              <c:strCache>
                <c:ptCount val="7"/>
                <c:pt idx="0">
                  <c:v>Saturday</c:v>
                </c:pt>
                <c:pt idx="1">
                  <c:v>Friday</c:v>
                </c:pt>
                <c:pt idx="2">
                  <c:v>Sunday</c:v>
                </c:pt>
                <c:pt idx="3">
                  <c:v>Thursday</c:v>
                </c:pt>
                <c:pt idx="4">
                  <c:v>Wednesday</c:v>
                </c:pt>
                <c:pt idx="5">
                  <c:v>Tuesday</c:v>
                </c:pt>
                <c:pt idx="6">
                  <c:v>Monday</c:v>
                </c:pt>
              </c:strCache>
            </c:strRef>
          </c:cat>
          <c:val>
            <c:numRef>
              <c:f>'Total Percentage of accidents i'!$B$4:$B$11</c:f>
              <c:numCache>
                <c:formatCode>0.00%</c:formatCode>
                <c:ptCount val="7"/>
                <c:pt idx="0">
                  <c:v>0.18340816846728494</c:v>
                </c:pt>
                <c:pt idx="1">
                  <c:v>0.16450657830238624</c:v>
                </c:pt>
                <c:pt idx="2">
                  <c:v>0.16005568518264349</c:v>
                </c:pt>
                <c:pt idx="3">
                  <c:v>0.13440912923276013</c:v>
                </c:pt>
                <c:pt idx="4">
                  <c:v>0.12558577282798378</c:v>
                </c:pt>
                <c:pt idx="5">
                  <c:v>0.11625262249759809</c:v>
                </c:pt>
                <c:pt idx="6">
                  <c:v>0.11578204348934334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5DCF-4BBF-A8D9-CF569ACAA5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[ardd_fatalities_Jan2020_0.xlsx]Top 10 Year of Total Count of A!PivotTable6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Top</a:t>
            </a:r>
            <a:r>
              <a:rPr lang="en-US" b="1" baseline="0"/>
              <a:t> 5 Year of Total Count of Acciedents in Age Group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gradFill flip="none" rotWithShape="1">
                    <a:gsLst>
                      <a:gs pos="0">
                        <a:schemeClr val="tx1"/>
                      </a:gs>
                      <a:gs pos="74000">
                        <a:schemeClr val="tx1"/>
                      </a:gs>
                      <a:gs pos="83000">
                        <a:schemeClr val="tx1"/>
                      </a:gs>
                      <a:gs pos="100000">
                        <a:schemeClr val="tx1"/>
                      </a:gs>
                    </a:gsLst>
                    <a:lin ang="5400000" scaled="1"/>
                    <a:tileRect/>
                  </a:gra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5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gradFill flip="none" rotWithShape="1">
                    <a:gsLst>
                      <a:gs pos="0">
                        <a:schemeClr val="tx1"/>
                      </a:gs>
                      <a:gs pos="74000">
                        <a:schemeClr val="tx1"/>
                      </a:gs>
                      <a:gs pos="83000">
                        <a:schemeClr val="tx1"/>
                      </a:gs>
                      <a:gs pos="100000">
                        <a:schemeClr val="tx1"/>
                      </a:gs>
                    </a:gsLst>
                    <a:lin ang="5400000" scaled="1"/>
                    <a:tileRect/>
                  </a:gra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noFill/>
                  </a:ln>
                  <a:gradFill flip="none" rotWithShape="1">
                    <a:gsLst>
                      <a:gs pos="0">
                        <a:schemeClr val="tx1"/>
                      </a:gs>
                      <a:gs pos="74000">
                        <a:schemeClr val="tx1"/>
                      </a:gs>
                      <a:gs pos="83000">
                        <a:schemeClr val="tx1"/>
                      </a:gs>
                      <a:gs pos="100000">
                        <a:schemeClr val="tx1"/>
                      </a:gs>
                    </a:gsLst>
                    <a:lin ang="5400000" scaled="1"/>
                    <a:tileRect/>
                  </a:gra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'Top 10 Year of Total Count of A'!$B$3:$B$4</c:f>
              <c:strCache>
                <c:ptCount val="1"/>
                <c:pt idx="0">
                  <c:v>17_to_25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gradFill flip="none" rotWithShape="1">
                      <a:gsLst>
                        <a:gs pos="0">
                          <a:schemeClr val="tx1"/>
                        </a:gs>
                        <a:gs pos="74000">
                          <a:schemeClr val="tx1"/>
                        </a:gs>
                        <a:gs pos="83000">
                          <a:schemeClr val="tx1"/>
                        </a:gs>
                        <a:gs pos="100000">
                          <a:schemeClr val="tx1"/>
                        </a:gs>
                      </a:gsLst>
                      <a:lin ang="5400000" scaled="1"/>
                      <a:tileRect/>
                    </a:gra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'Top 10 Year of Total Count of A'!$A$5:$A$11</c:f>
              <c:strCache>
                <c:ptCount val="6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1995</c:v>
                </c:pt>
                <c:pt idx="4">
                  <c:v>1996</c:v>
                </c:pt>
                <c:pt idx="5">
                  <c:v>1992</c:v>
                </c:pt>
              </c:strCache>
            </c:strRef>
          </c:cat>
          <c:val>
            <c:numRef>
              <c:f>'Top 10 Year of Total Count of A'!$B$5:$B$11</c:f>
              <c:numCache>
                <c:formatCode>General</c:formatCode>
                <c:ptCount val="6"/>
                <c:pt idx="0">
                  <c:v>911</c:v>
                </c:pt>
                <c:pt idx="1">
                  <c:v>749</c:v>
                </c:pt>
                <c:pt idx="2">
                  <c:v>646</c:v>
                </c:pt>
                <c:pt idx="3">
                  <c:v>596</c:v>
                </c:pt>
                <c:pt idx="4">
                  <c:v>554</c:v>
                </c:pt>
                <c:pt idx="5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AA-4E8D-B7A2-353A727F19DB}"/>
            </c:ext>
          </c:extLst>
        </c:ser>
        <c:ser>
          <c:idx val="1"/>
          <c:order val="1"/>
          <c:tx>
            <c:strRef>
              <c:f>'Top 10 Year of Total Count of A'!$C$3:$C$4</c:f>
              <c:strCache>
                <c:ptCount val="1"/>
                <c:pt idx="0">
                  <c:v>26_to_39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2227430201752579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9AA-4E8D-B7A2-353A727F19DB}"/>
                </c:ext>
              </c:extLst>
            </c:dLbl>
            <c:dLbl>
              <c:idx val="1"/>
              <c:layout>
                <c:manualLayout>
                  <c:x val="8.1516201345017327E-3"/>
                  <c:y val="3.897875657766445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9AA-4E8D-B7A2-353A727F19DB}"/>
                </c:ext>
              </c:extLst>
            </c:dLbl>
            <c:dLbl>
              <c:idx val="2"/>
              <c:layout>
                <c:manualLayout>
                  <c:x val="1.0189525168127165E-2"/>
                  <c:y val="-7.146022821106524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29AA-4E8D-B7A2-353A727F19DB}"/>
                </c:ext>
              </c:extLst>
            </c:dLbl>
            <c:dLbl>
              <c:idx val="3"/>
              <c:layout>
                <c:manualLayout>
                  <c:x val="6.1137151008762991E-3"/>
                  <c:y val="-7.795751315533034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29AA-4E8D-B7A2-353A727F19DB}"/>
                </c:ext>
              </c:extLst>
            </c:dLbl>
            <c:dLbl>
              <c:idx val="5"/>
              <c:layout>
                <c:manualLayout>
                  <c:x val="8.1516201345017327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29AA-4E8D-B7A2-353A727F19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'Top 10 Year of Total Count of A'!$A$5:$A$11</c:f>
              <c:strCache>
                <c:ptCount val="6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1995</c:v>
                </c:pt>
                <c:pt idx="4">
                  <c:v>1996</c:v>
                </c:pt>
                <c:pt idx="5">
                  <c:v>1992</c:v>
                </c:pt>
              </c:strCache>
            </c:strRef>
          </c:cat>
          <c:val>
            <c:numRef>
              <c:f>'Top 10 Year of Total Count of A'!$C$5:$C$11</c:f>
              <c:numCache>
                <c:formatCode>General</c:formatCode>
                <c:ptCount val="6"/>
                <c:pt idx="0">
                  <c:v>667</c:v>
                </c:pt>
                <c:pt idx="1">
                  <c:v>522</c:v>
                </c:pt>
                <c:pt idx="2">
                  <c:v>489</c:v>
                </c:pt>
                <c:pt idx="3">
                  <c:v>486</c:v>
                </c:pt>
                <c:pt idx="4">
                  <c:v>449</c:v>
                </c:pt>
                <c:pt idx="5">
                  <c:v>467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AA-4E8D-B7A2-353A727F19DB}"/>
            </c:ext>
          </c:extLst>
        </c:ser>
        <c:ser>
          <c:idx val="2"/>
          <c:order val="2"/>
          <c:tx>
            <c:strRef>
              <c:f>'Top 10 Year of Total Count of A'!$D$3:$D$4</c:f>
              <c:strCache>
                <c:ptCount val="1"/>
                <c:pt idx="0">
                  <c:v>40_to_64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6.1137151008762991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9AA-4E8D-B7A2-353A727F19DB}"/>
                </c:ext>
              </c:extLst>
            </c:dLbl>
            <c:dLbl>
              <c:idx val="1"/>
              <c:layout>
                <c:manualLayout>
                  <c:x val="1.0189525168127128E-2"/>
                  <c:y val="3.897875657766517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29AA-4E8D-B7A2-353A727F19DB}"/>
                </c:ext>
              </c:extLst>
            </c:dLbl>
            <c:dLbl>
              <c:idx val="2"/>
              <c:layout>
                <c:manualLayout>
                  <c:x val="4.0758100672508664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29AA-4E8D-B7A2-353A727F19DB}"/>
                </c:ext>
              </c:extLst>
            </c:dLbl>
            <c:dLbl>
              <c:idx val="3"/>
              <c:layout>
                <c:manualLayout>
                  <c:x val="4.0758100672508664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29AA-4E8D-B7A2-353A727F19DB}"/>
                </c:ext>
              </c:extLst>
            </c:dLbl>
            <c:dLbl>
              <c:idx val="4"/>
              <c:layout>
                <c:manualLayout>
                  <c:x val="6.1137151008762991E-3"/>
                  <c:y val="-3.118300526213220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29AA-4E8D-B7A2-353A727F19DB}"/>
                </c:ext>
              </c:extLst>
            </c:dLbl>
            <c:dLbl>
              <c:idx val="5"/>
              <c:layout>
                <c:manualLayout>
                  <c:x val="4.0758100672508664E-3"/>
                  <c:y val="1.559150263106599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29AA-4E8D-B7A2-353A727F19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'Top 10 Year of Total Count of A'!$A$5:$A$11</c:f>
              <c:strCache>
                <c:ptCount val="6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1995</c:v>
                </c:pt>
                <c:pt idx="4">
                  <c:v>1996</c:v>
                </c:pt>
                <c:pt idx="5">
                  <c:v>1992</c:v>
                </c:pt>
              </c:strCache>
            </c:strRef>
          </c:cat>
          <c:val>
            <c:numRef>
              <c:f>'Top 10 Year of Total Count of A'!$D$5:$D$11</c:f>
              <c:numCache>
                <c:formatCode>General</c:formatCode>
                <c:ptCount val="6"/>
                <c:pt idx="0">
                  <c:v>541</c:v>
                </c:pt>
                <c:pt idx="1">
                  <c:v>468</c:v>
                </c:pt>
                <c:pt idx="2">
                  <c:v>418</c:v>
                </c:pt>
                <c:pt idx="3">
                  <c:v>420</c:v>
                </c:pt>
                <c:pt idx="4">
                  <c:v>451</c:v>
                </c:pt>
                <c:pt idx="5">
                  <c:v>391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AA-4E8D-B7A2-353A727F19DB}"/>
            </c:ext>
          </c:extLst>
        </c:ser>
        <c:ser>
          <c:idx val="3"/>
          <c:order val="3"/>
          <c:tx>
            <c:strRef>
              <c:f>'Top 10 Year of Total Count of A'!$E$3:$E$4</c:f>
              <c:strCache>
                <c:ptCount val="1"/>
                <c:pt idx="0">
                  <c:v>0_to_16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0189525168127147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29AA-4E8D-B7A2-353A727F19DB}"/>
                </c:ext>
              </c:extLst>
            </c:dLbl>
            <c:dLbl>
              <c:idx val="1"/>
              <c:layout>
                <c:manualLayout>
                  <c:x val="2.0379050336254332E-3"/>
                  <c:y val="-1.948937828883265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9AA-4E8D-B7A2-353A727F19DB}"/>
                </c:ext>
              </c:extLst>
            </c:dLbl>
            <c:dLbl>
              <c:idx val="2"/>
              <c:layout>
                <c:manualLayout>
                  <c:x val="-7.4722321367633137E-17"/>
                  <c:y val="-3.508088091989872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29AA-4E8D-B7A2-353A727F19DB}"/>
                </c:ext>
              </c:extLst>
            </c:dLbl>
            <c:dLbl>
              <c:idx val="3"/>
              <c:layout>
                <c:manualLayout>
                  <c:x val="-7.4722321367633137E-17"/>
                  <c:y val="-1.948937828883251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29AA-4E8D-B7A2-353A727F19DB}"/>
                </c:ext>
              </c:extLst>
            </c:dLbl>
            <c:dLbl>
              <c:idx val="4"/>
              <c:layout>
                <c:manualLayout>
                  <c:x val="6.1137151008762991E-3"/>
                  <c:y val="-2.338725394659917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29AA-4E8D-B7A2-353A727F19DB}"/>
                </c:ext>
              </c:extLst>
            </c:dLbl>
            <c:dLbl>
              <c:idx val="5"/>
              <c:layout>
                <c:manualLayout>
                  <c:x val="0"/>
                  <c:y val="-2.338725394659910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29AA-4E8D-B7A2-353A727F19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'Top 10 Year of Total Count of A'!$A$5:$A$11</c:f>
              <c:strCache>
                <c:ptCount val="6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1995</c:v>
                </c:pt>
                <c:pt idx="4">
                  <c:v>1996</c:v>
                </c:pt>
                <c:pt idx="5">
                  <c:v>1992</c:v>
                </c:pt>
              </c:strCache>
            </c:strRef>
          </c:cat>
          <c:val>
            <c:numRef>
              <c:f>'Top 10 Year of Total Count of A'!$E$5:$E$11</c:f>
              <c:numCache>
                <c:formatCode>General</c:formatCode>
                <c:ptCount val="6"/>
                <c:pt idx="0">
                  <c:v>296</c:v>
                </c:pt>
                <c:pt idx="1">
                  <c:v>238</c:v>
                </c:pt>
                <c:pt idx="2">
                  <c:v>198</c:v>
                </c:pt>
                <c:pt idx="3">
                  <c:v>177</c:v>
                </c:pt>
                <c:pt idx="4">
                  <c:v>190</c:v>
                </c:pt>
                <c:pt idx="5">
                  <c:v>191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AA-4E8D-B7A2-353A727F19DB}"/>
            </c:ext>
          </c:extLst>
        </c:ser>
        <c:ser>
          <c:idx val="4"/>
          <c:order val="4"/>
          <c:tx>
            <c:strRef>
              <c:f>'Top 10 Year of Total Count of A'!$F$3:$F$4</c:f>
              <c:strCache>
                <c:ptCount val="1"/>
                <c:pt idx="0">
                  <c:v>75_or_older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2.338725394659910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9AA-4E8D-B7A2-353A727F19DB}"/>
                </c:ext>
              </c:extLst>
            </c:dLbl>
            <c:dLbl>
              <c:idx val="1"/>
              <c:layout>
                <c:manualLayout>
                  <c:x val="2.0379050336253959E-3"/>
                  <c:y val="-2.338725394659910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29AA-4E8D-B7A2-353A727F19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'Top 10 Year of Total Count of A'!$A$5:$A$11</c:f>
              <c:strCache>
                <c:ptCount val="6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1995</c:v>
                </c:pt>
                <c:pt idx="4">
                  <c:v>1996</c:v>
                </c:pt>
                <c:pt idx="5">
                  <c:v>1992</c:v>
                </c:pt>
              </c:strCache>
            </c:strRef>
          </c:cat>
          <c:val>
            <c:numRef>
              <c:f>'Top 10 Year of Total Count of A'!$F$5:$F$11</c:f>
              <c:numCache>
                <c:formatCode>General</c:formatCode>
                <c:ptCount val="6"/>
                <c:pt idx="0">
                  <c:v>187</c:v>
                </c:pt>
                <c:pt idx="1">
                  <c:v>181</c:v>
                </c:pt>
                <c:pt idx="2">
                  <c:v>176</c:v>
                </c:pt>
                <c:pt idx="3">
                  <c:v>177</c:v>
                </c:pt>
                <c:pt idx="4">
                  <c:v>183</c:v>
                </c:pt>
                <c:pt idx="5">
                  <c:v>155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AA-4E8D-B7A2-353A727F19DB}"/>
            </c:ext>
          </c:extLst>
        </c:ser>
        <c:ser>
          <c:idx val="5"/>
          <c:order val="5"/>
          <c:tx>
            <c:strRef>
              <c:f>'Top 10 Year of Total Count of A'!$G$3:$G$4</c:f>
              <c:strCache>
                <c:ptCount val="1"/>
                <c:pt idx="0">
                  <c:v>65_to_74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2.0379050336254332E-3"/>
                  <c:y val="-2.728512960436569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29AA-4E8D-B7A2-353A727F19DB}"/>
                </c:ext>
              </c:extLst>
            </c:dLbl>
            <c:dLbl>
              <c:idx val="3"/>
              <c:layout>
                <c:manualLayout>
                  <c:x val="0"/>
                  <c:y val="1.169362697329940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29AA-4E8D-B7A2-353A727F19DB}"/>
                </c:ext>
              </c:extLst>
            </c:dLbl>
            <c:dLbl>
              <c:idx val="5"/>
              <c:layout>
                <c:manualLayout>
                  <c:x val="0"/>
                  <c:y val="-1.94893782888327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29AA-4E8D-B7A2-353A727F19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'Top 10 Year of Total Count of A'!$A$5:$A$11</c:f>
              <c:strCache>
                <c:ptCount val="6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1995</c:v>
                </c:pt>
                <c:pt idx="4">
                  <c:v>1996</c:v>
                </c:pt>
                <c:pt idx="5">
                  <c:v>1992</c:v>
                </c:pt>
              </c:strCache>
            </c:strRef>
          </c:cat>
          <c:val>
            <c:numRef>
              <c:f>'Top 10 Year of Total Count of A'!$G$5:$G$11</c:f>
              <c:numCache>
                <c:formatCode>General</c:formatCode>
                <c:ptCount val="6"/>
                <c:pt idx="0">
                  <c:v>189</c:v>
                </c:pt>
                <c:pt idx="1">
                  <c:v>170</c:v>
                </c:pt>
                <c:pt idx="2">
                  <c:v>182</c:v>
                </c:pt>
                <c:pt idx="3">
                  <c:v>157</c:v>
                </c:pt>
                <c:pt idx="4">
                  <c:v>140</c:v>
                </c:pt>
                <c:pt idx="5">
                  <c:v>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9AA-4E8D-B7A2-353A727F19D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91677247"/>
        <c:axId val="1891671967"/>
      </c:barChart>
      <c:catAx>
        <c:axId val="189167724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671967"/>
        <c:crosses val="autoZero"/>
        <c:auto val="1"/>
        <c:lblAlgn val="ctr"/>
        <c:lblOffset val="100"/>
        <c:noMultiLvlLbl val="0"/>
      </c:catAx>
      <c:valAx>
        <c:axId val="1891671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677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CHUN PIN KHOO</cp:lastModifiedBy>
  <cp:revision>22</cp:revision>
  <dcterms:created xsi:type="dcterms:W3CDTF">2024-03-13T01:07:00Z</dcterms:created>
  <dcterms:modified xsi:type="dcterms:W3CDTF">2024-09-16T10:35:00Z</dcterms:modified>
</cp:coreProperties>
</file>