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BUSINESS MODEL CANVAS: SMART PET FEEDER</w:t>
      </w:r>
    </w:p>
    <w:p>
      <w:pPr>
        <w:jc w:val="center"/>
      </w:pPr>
      <w:r>
        <w:t>Entrepreneurship (MGT 403)</w:t>
      </w:r>
    </w:p>
    <w:p>
      <w:pPr>
        <w:jc w:val="center"/>
      </w:pPr>
      <w:r>
        <w:t>Revised academic report | 15 October 2026</w:t>
      </w:r>
    </w:p>
    <w:p>
      <w:r>
        <w:t>Major: Computer Science and Engineering</w:t>
        <w:br/>
        <w:t>Academic Year: 2024–2028</w:t>
        <w:br/>
        <w:t>Room: Prasat Takeo | Group: 3</w:t>
        <w:br/>
        <w:t>Lecturer: Mr. Kong Bunthoeun</w:t>
      </w:r>
    </w:p>
    <w:p>
      <w:r>
        <w:t>Prepared by:</w:t>
      </w:r>
    </w:p>
    <w:p>
      <w:r>
        <w:t>Chea Chenda — 6093</w:t>
      </w:r>
    </w:p>
    <w:p>
      <w:r>
        <w:t>Khorn Molika — 5801</w:t>
      </w:r>
    </w:p>
    <w:p>
      <w:r>
        <w:t>Heng Liza — 5802</w:t>
      </w:r>
    </w:p>
    <w:p>
      <w:r>
        <w:t>Ching Chayhour — 5945</w:t>
      </w:r>
    </w:p>
    <w:p>
      <w:r>
        <w:t>Kim Chantharo — 5947</w:t>
      </w:r>
    </w:p>
    <w:p>
      <w:r>
        <w:t>Nam Ayheng — 5810</w:t>
      </w:r>
    </w:p>
    <w:p>
      <w:r>
        <w:t>Em Panharith — 7010</w:t>
      </w:r>
    </w:p>
    <w:p>
      <w:r>
        <w:t>Academic integrity note: Financial figures and market positioning below are planning assumptions, not survey findings or verified supplier quotations. Proposed features are distinguished from tested product performance.</w:t>
      </w:r>
    </w:p>
    <w:p>
      <w:r>
        <w:br w:type="page"/>
      </w:r>
    </w:p>
    <w:p>
      <w:pPr>
        <w:pStyle w:val="Heading1"/>
      </w:pPr>
      <w:r>
        <w:t>Table of Contents</w:t>
      </w:r>
    </w:p>
    <w:p>
      <w:r>
        <w:t>I. Opportunity Identification</w:t>
      </w:r>
    </w:p>
    <w:p>
      <w:r>
        <w:t>II. Problem Statement and Product Description</w:t>
      </w:r>
    </w:p>
    <w:p>
      <w:r>
        <w:t>III. Business Model Canvas (Nine Building Blocks)</w:t>
      </w:r>
    </w:p>
    <w:p>
      <w:r>
        <w:t>IV. Business Model Canvas Summary</w:t>
      </w:r>
    </w:p>
    <w:p>
      <w:r>
        <w:t>V. Feasibility, Validation, and Implementation</w:t>
      </w:r>
    </w:p>
    <w:p>
      <w:r>
        <w:t>References (APA 7th edition)</w:t>
      </w:r>
    </w:p>
    <w:p>
      <w:r>
        <w:t>This report follows the MGT-403 course guide structure, using the nine building blocks of Osterwalder and Pigneur (2010). The course guide calls for a concise problem statement, detailed product description, and comprehensive BMC analysis (Foundations of Modern Entrepreneurship &amp; BMC Framework, n.d.).</w:t>
      </w:r>
    </w:p>
    <w:p>
      <w:pPr>
        <w:pStyle w:val="Heading1"/>
      </w:pPr>
      <w:r>
        <w:t>I. Opportunity Identification</w:t>
      </w:r>
    </w:p>
    <w:p>
      <w:r>
        <w:t>Pet owners who work long hours, study, travel, or follow irregular schedules may find it difficult to maintain consistent feeding routines. A connected feeder could address this practical need by combining locally executed feeding schedules with remote controls and activity information. Research prototypes have demonstrated the technical feasibility of IoT-based automatic feeding and remote control (Castillo Rangel et al., 2024; Zainuddin et al., 2024). However, technical feasibility does not establish demand or willingness to pay in Cambodia.</w:t>
      </w:r>
    </w:p>
    <w:p>
      <w:r>
        <w:t>The proposed venture is an affordable, locally supported Smart Pet Feeder initially marketed to individual owners of cats and suitable dry-food-fed dogs in urban Cambodia. Its differentiation hypothesis is simple operation through a Telegram Mini App, scheduled feeding that can continue during internet outages, and accessible local support. These advantages must be tested against existing automatic feeders, manual feeding, and assistance from family members or pet sitters.</w:t>
      </w:r>
    </w:p>
    <w:p>
      <w:r>
        <w:t>Following the course guide’s opportunity criteria, the team will validate customer need, execution capability, competitive differentiation, market access, unit economics, and growth potential before a commercial launch (Foundations of Modern Entrepreneurship &amp; BMC Framework, n.d.).</w:t>
      </w:r>
    </w:p>
    <w:p>
      <w:pPr>
        <w:pStyle w:val="Heading1"/>
      </w:pPr>
      <w:r>
        <w:t>II. Problem Statement and Product Description</w:t>
      </w:r>
    </w:p>
    <w:p>
      <w:pPr>
        <w:pStyle w:val="Heading2"/>
      </w:pPr>
      <w:r>
        <w:t>1. Problem Statement</w:t>
      </w:r>
    </w:p>
    <w:p>
      <w:r>
        <w:t>Pet owners with demanding or unpredictable schedules can miss or delay feeding times and may have limited visibility into whether a feeder was activated while they were away. Existing alternatives, including manual feeding, asking another person to feed the pet, or buying an automatic feeder, may not fit every owner’s convenience and budget preferences. The proposed Smart Pet Feeder seeks to offer scheduled, remotely configurable dry-food dispensing with transparent activity records at an accessible target price.</w:t>
      </w:r>
    </w:p>
    <w:p>
      <w:pPr>
        <w:pStyle w:val="Heading2"/>
      </w:pPr>
      <w:r>
        <w:t>2. Business Overview</w:t>
      </w:r>
    </w:p>
    <w:p>
      <w:r>
        <w:t>The proposed business develops and sells an ESP32-based dry-food feeder with a Telegram Mini App. The initial model is business-to-consumer (B2C), generating revenue primarily through one-time hardware sales and optional replacement parts. Sales to pet care centers are a possible later business-to-business (B2B) expansion, contingent on testing multi-device operations and facility requirements.</w:t>
      </w:r>
    </w:p>
    <w:p>
      <w:pPr>
        <w:pStyle w:val="Heading2"/>
      </w:pPr>
      <w:r>
        <w:t>3. Product Description and Scope</w:t>
      </w:r>
    </w:p>
    <w:p>
      <w:r>
        <w:t>The prototype combines an ESP32 controller, SG90 servo-operated food gate, DS1302 real-time clock (RTC), LCD display, physical feed button, buzzer, food hopper, and regulated power supply. The customer-facing Telegram Mini App is a web application developed with Next.js. A NestJS backend and PostgreSQL database support device management, schedules, and logs. MQTT is the proposed device messaging protocol; production broker hosting and deployment arrangements remain undecided.</w:t>
      </w:r>
    </w:p>
    <w:p>
      <w:pPr>
        <w:pStyle w:val="ListBullet"/>
      </w:pPr>
      <w:r>
        <w:t>Scheduled feeding: the ESP32 stores and executes active schedules locally using the DS1302 RTC, even if internet connectivity is interrupted, provided power and valid clock time remain available.</w:t>
      </w:r>
    </w:p>
    <w:p>
      <w:pPr>
        <w:pStyle w:val="ListBullet"/>
      </w:pPr>
      <w:r>
        <w:t>Manual feeding: users may request dispensing through the Telegram Mini App or a physical button; firmware enforces maximum open duration and cooldown rules.</w:t>
      </w:r>
    </w:p>
    <w:p>
      <w:pPr>
        <w:pStyle w:val="ListBullet"/>
      </w:pPr>
      <w:r>
        <w:t>Adjustable duration: presets and a timer control how long the servo opens. This is not a direct measurement of food mass.</w:t>
      </w:r>
    </w:p>
    <w:p>
      <w:pPr>
        <w:pStyle w:val="ListBullet"/>
      </w:pPr>
      <w:r>
        <w:t>Notifications and history: the system records and reports attempted and acknowledged dispensing actions; without sensors, it cannot confirm the food actually fell or was eaten.</w:t>
      </w:r>
    </w:p>
    <w:p>
      <w:pPr>
        <w:pStyle w:val="ListBullet"/>
      </w:pPr>
      <w:r>
        <w:t>Local status and sound: the LCD shows relevant state and the buzzer signals selected events or errors.</w:t>
      </w:r>
    </w:p>
    <w:p>
      <w:r>
        <w:t>Prototype limitations: no load cell, no food-level sensor, no jam detector, no camera, and no verification of food consumption. Food quantity depends on kibble characteristics and mechanism calibration. An SG90 servo and gate assembly must be evaluated for durability and suitability before sale. Safe operation also requires a suitable regulated motor supply, secure enclosure, and food-contact-safe materials.</w:t>
      </w:r>
    </w:p>
    <w:p>
      <w:pPr>
        <w:pStyle w:val="Heading2"/>
      </w:pPr>
      <w:r>
        <w:t>4. Proposed Customer Benefits</w:t>
      </w:r>
    </w:p>
    <w:p>
      <w:r>
        <w:t>The primary functional benefit is reduced need for a person to be present at each feeding time. The emotional benefit is greater confidence from visible schedules and dispensing activity. Neither benefit should be represented as a guarantee of pet nutrition or unattended operation over extended trips; owners must still check food availability, water, power, cleanliness, and the pet’s welfare.</w:t>
      </w:r>
    </w:p>
    <w:p>
      <w:pPr>
        <w:pStyle w:val="Heading1"/>
      </w:pPr>
      <w:r>
        <w:t>III. Business Model Canvas</w:t>
      </w:r>
    </w:p>
    <w:p>
      <w:pPr>
        <w:pStyle w:val="Heading2"/>
      </w:pPr>
      <w:r>
        <w:t>1. Customer Segments</w:t>
      </w:r>
    </w:p>
    <w:p>
      <w:r>
        <w:t>Primary segment — individual pet owners: working adults, students, and shift workers in urban Cambodia who own a cat or dry-food-fed dog, have access to home power and Wi-Fi, and value schedule automation. Segment descriptors are hypotheses, not demographic statistics. Relevant behaviors include frequently being away during feeding times, using Telegram, and seeking low-maintenance devices. The first test group should consist of owners who have recently experienced missed or inconvenient feeding occasions.</w:t>
      </w:r>
    </w:p>
    <w:p>
      <w:r>
        <w:t>Secondary future segment — pet care centers: boarding facilities and day-care providers that may need multiple scheduled feeders and auditable dispensing events. This segment has more complex requirements, including multi-device dashboards, cleaning protocols, pet separation, and staff workflows. It should not be treated as a fully served market in the MVP.</w:t>
      </w:r>
    </w:p>
    <w:p>
      <w:r>
        <w:t>Customer discovery plan: interview 15–20 pet owners and 3–5 facility operators as an exploratory target; observe current feeding routines; ask about past missed meals, alternatives used, current spending, and actual purchase decisions. These are proposed research sample targets, not completed interviews. The course guide emphasizes validating hypotheses through interviews, observation, and iterative testing (Foundations of Modern Entrepreneurship &amp; BMC Framework, n.d.).</w:t>
      </w:r>
    </w:p>
    <w:p>
      <w:pPr>
        <w:pStyle w:val="Heading2"/>
      </w:pPr>
      <w:r>
        <w:t>2. Value Propositions</w:t>
      </w:r>
    </w:p>
    <w:p>
      <w:r>
        <w:t>For individual owners, the proposed value proposition is: “Keep a consistent dry-food feeding routine using local schedules and convenient Telegram controls, without needing to be home for every feeding.” This promise is subject to reliable hardware, food supply, and power.</w:t>
      </w:r>
    </w:p>
    <w:p>
      <w:r>
        <w:t>Pain relievers: scheduled local dispensing reduces reliance on memory and presence; remote requests reduce inconvenience when plans change; activity records show when the device attempted a feed; physical controls allow on-device use. Gain creators: a familiar Telegram interface, adjustable timing presets, simple setup, and accessible support. These follow the course guide’s distinction between pain relievers and gain creators (Foundations of Modern Entrepreneurship &amp; BMC Framework, n.d.).</w:t>
      </w:r>
    </w:p>
    <w:p>
      <w:r>
        <w:t>The product does not promise weight-accurate portions, jam detection, or confirmed pet consumption. The proposed “affordable” positioning is conditional on supplier quotations and willingness-to-pay testing. Competitor benchmarking must compare retail price, local availability, connectivity, power behavior, maintenance, and warranty rather than assuming that all imported alternatives are expensive.</w:t>
      </w:r>
    </w:p>
    <w:p>
      <w:pPr>
        <w:pStyle w:val="Heading2"/>
      </w:pPr>
      <w:r>
        <w:t>3. Channels</w:t>
      </w:r>
    </w:p>
    <w:p>
      <w:r>
        <w:t>Awareness: Facebook and TikTok demonstration videos showing actual feeder operation, setup, and offline scheduling; Telegram communities and pet-owner groups where participation is permitted. Evaluation: clear demonstrations, pilot testimonials with consent, an FAQ, and comparison of tested capabilities with alternatives. Purchase: direct orders through a simple web or social-commerce storefront, with locally available payment methods selected after operational review. Delivery: local courier service or partner pet shops. After-sales: Telegram-based onboarding, troubleshooting, and warranty support.</w:t>
      </w:r>
    </w:p>
    <w:p>
      <w:r>
        <w:t>For later B2B sales, direct demonstrations and written quotations are more appropriate than consumer advertising alone. These channel stages reflect the course guide’s awareness–evaluation–purchase–delivery–post-sales model (Foundations of Modern Entrepreneurship &amp; BMC Framework, n.d.).</w:t>
      </w:r>
    </w:p>
    <w:p>
      <w:pPr>
        <w:pStyle w:val="Heading2"/>
      </w:pPr>
      <w:r>
        <w:t>4. Customer Relationships</w:t>
      </w:r>
    </w:p>
    <w:p>
      <w:r>
        <w:t>Customer acquisition: publish transparent demonstrations and offer supervised trials to interested owners. Customer retention: provide setup instructions, firmware/software fixes, accessible chat support, maintenance guidance, and a defined limited warranty. Customer expansion: offer spare components and, if demand emerges, accessories or additional units. The core app functions are included with the device under the current proposal; no subscription fee is assumed.</w:t>
      </w:r>
    </w:p>
    <w:p>
      <w:r>
        <w:t>For facility pilots, provide direct onboarding and a named support contact when resources allow. Warranty length, exclusions, repair turnaround, and support hours are business decisions that must be finalized and costed before launch.</w:t>
      </w:r>
    </w:p>
    <w:p>
      <w:pPr>
        <w:pStyle w:val="Heading2"/>
      </w:pPr>
      <w:r>
        <w:t>5. Revenue Streams</w:t>
      </w:r>
    </w:p>
    <w:p>
      <w:r>
        <w:t>Primary revenue: one-time sale of each Smart Pet Feeder. The original proposed retail price of US$30 is retained as a testable target, not an established market price. Optional accessories and replacement parts could be sold separately at indicative prices of US$3–8, subject to costs and customer demand. A possible US$27 bulk price for orders of at least ten units should be offered only if contribution margins remain positive.</w:t>
      </w:r>
    </w:p>
    <w:p>
      <w:r>
        <w:t>The initial business model is asset sale, as defined in the course guide (Foundations of Modern Entrepreneurship &amp; BMC Framework, n.d.). Replacement orders are not recurring contractual revenue; no SaaS subscription, guaranteed repeat purchase, or recurring monthly revenue is claimed.</w:t>
      </w:r>
    </w:p>
    <w:tbl>
      <w:tblPr>
        <w:tblStyle w:val="TableGrid"/>
        <w:tblW w:type="auto" w:w="0"/>
        <w:jc w:val="center"/>
        <w:tblLook w:firstColumn="1" w:firstRow="1" w:lastColumn="0" w:lastRow="0" w:noHBand="0" w:noVBand="1" w:val="04A0"/>
      </w:tblPr>
      <w:tblGrid>
        <w:gridCol w:w="3168"/>
        <w:gridCol w:w="3168"/>
        <w:gridCol w:w="3168"/>
      </w:tblGrid>
      <w:tr>
        <w:tc>
          <w:tcPr>
            <w:tcW w:type="dxa" w:w="3168"/>
          </w:tcPr>
          <w:p>
            <w:r>
              <w:t>Illustrative scenario (USD)</w:t>
            </w:r>
          </w:p>
        </w:tc>
        <w:tc>
          <w:tcPr>
            <w:tcW w:type="dxa" w:w="3168"/>
          </w:tcPr>
          <w:p>
            <w:r>
              <w:t>Direct sale</w:t>
            </w:r>
          </w:p>
        </w:tc>
        <w:tc>
          <w:tcPr>
            <w:tcW w:type="dxa" w:w="3168"/>
          </w:tcPr>
          <w:p>
            <w:r>
              <w:t>Bulk sale</w:t>
            </w:r>
          </w:p>
        </w:tc>
      </w:tr>
      <w:tr>
        <w:tc>
          <w:tcPr>
            <w:tcW w:type="dxa" w:w="3168"/>
          </w:tcPr>
          <w:p>
            <w:r>
              <w:t>Price per unit</w:t>
            </w:r>
          </w:p>
        </w:tc>
        <w:tc>
          <w:tcPr>
            <w:tcW w:type="dxa" w:w="3168"/>
          </w:tcPr>
          <w:p>
            <w:r>
              <w:t>30.00</w:t>
            </w:r>
          </w:p>
        </w:tc>
        <w:tc>
          <w:tcPr>
            <w:tcW w:type="dxa" w:w="3168"/>
          </w:tcPr>
          <w:p>
            <w:r>
              <w:t>27.00</w:t>
            </w:r>
          </w:p>
        </w:tc>
      </w:tr>
      <w:tr>
        <w:tc>
          <w:tcPr>
            <w:tcW w:type="dxa" w:w="3168"/>
          </w:tcPr>
          <w:p>
            <w:r>
              <w:t>Manufacturing + packaging assumption</w:t>
            </w:r>
          </w:p>
        </w:tc>
        <w:tc>
          <w:tcPr>
            <w:tcW w:type="dxa" w:w="3168"/>
          </w:tcPr>
          <w:p>
            <w:r>
              <w:t>19.00</w:t>
            </w:r>
          </w:p>
        </w:tc>
        <w:tc>
          <w:tcPr>
            <w:tcW w:type="dxa" w:w="3168"/>
          </w:tcPr>
          <w:p>
            <w:r>
              <w:t>19.00</w:t>
            </w:r>
          </w:p>
        </w:tc>
      </w:tr>
      <w:tr>
        <w:tc>
          <w:tcPr>
            <w:tcW w:type="dxa" w:w="3168"/>
          </w:tcPr>
          <w:p>
            <w:r>
              <w:t>Other variable costs assumption</w:t>
            </w:r>
          </w:p>
        </w:tc>
        <w:tc>
          <w:tcPr>
            <w:tcW w:type="dxa" w:w="3168"/>
          </w:tcPr>
          <w:p>
            <w:r>
              <w:t>3.00</w:t>
            </w:r>
          </w:p>
        </w:tc>
        <w:tc>
          <w:tcPr>
            <w:tcW w:type="dxa" w:w="3168"/>
          </w:tcPr>
          <w:p>
            <w:r>
              <w:t>2.00</w:t>
            </w:r>
          </w:p>
        </w:tc>
      </w:tr>
      <w:tr>
        <w:tc>
          <w:tcPr>
            <w:tcW w:type="dxa" w:w="3168"/>
          </w:tcPr>
          <w:p>
            <w:r>
              <w:t>Contribution per unit</w:t>
            </w:r>
          </w:p>
        </w:tc>
        <w:tc>
          <w:tcPr>
            <w:tcW w:type="dxa" w:w="3168"/>
          </w:tcPr>
          <w:p>
            <w:r>
              <w:t>8.00</w:t>
            </w:r>
          </w:p>
        </w:tc>
        <w:tc>
          <w:tcPr>
            <w:tcW w:type="dxa" w:w="3168"/>
          </w:tcPr>
          <w:p>
            <w:r>
              <w:t>6.00</w:t>
            </w:r>
          </w:p>
        </w:tc>
      </w:tr>
      <w:tr>
        <w:tc>
          <w:tcPr>
            <w:tcW w:type="dxa" w:w="3168"/>
          </w:tcPr>
          <w:p>
            <w:r>
              <w:t>Contribution margin</w:t>
            </w:r>
          </w:p>
        </w:tc>
        <w:tc>
          <w:tcPr>
            <w:tcW w:type="dxa" w:w="3168"/>
          </w:tcPr>
          <w:p>
            <w:r>
              <w:t>26.7%</w:t>
            </w:r>
          </w:p>
        </w:tc>
        <w:tc>
          <w:tcPr>
            <w:tcW w:type="dxa" w:w="3168"/>
          </w:tcPr>
          <w:p>
            <w:r>
              <w:t>22.2%</w:t>
            </w:r>
          </w:p>
        </w:tc>
      </w:tr>
    </w:tbl>
    <w:p>
      <w:r>
        <w:t>All amounts above are scenario inputs for classroom planning, not supplier quotes. The direct-sale contribution is 30 − 19 − 3 = US$8. At hypothetical monthly fixed operating costs of US$100, break-even would require ceiling(100 ÷ 8) = 13 direct-sale units per month, excluding one-time development costs, tax, and any unmodeled expenses. Pricing must be revisited after a complete bill of materials and customer interviews.</w:t>
      </w:r>
    </w:p>
    <w:p>
      <w:pPr>
        <w:pStyle w:val="Heading2"/>
      </w:pPr>
      <w:r>
        <w:t>6. Key Resources</w:t>
      </w:r>
    </w:p>
    <w:p>
      <w:r>
        <w:t>Physical: ESP32 development board, servo, DS1302 RTC with backup battery, LCD, buzzer, button, regulated power supplies, food hopper, gate, enclosure, wiring, tools, and test units. Intellectual: firmware, Next.js Telegram Mini App, NestJS API, PostgreSQL schema, device communication design, assembly instructions, and brand identity. Human: embedded developer, web/backend developer, product designer, assembly/test operator, and customer-support capability; roles may overlap within the student team. Financial: prototype budget, initial component purchases, hosting budget, replacement stock, and warranty reserve.</w:t>
      </w:r>
    </w:p>
    <w:p>
      <w:r>
        <w:t>The MQTT broker is infrastructure to operate, not necessarily a contracted strategic partner. Hosting architecture and authentication design must be finalized and tested before external customer deployment.</w:t>
      </w:r>
    </w:p>
    <w:p>
      <w:pPr>
        <w:pStyle w:val="Heading2"/>
      </w:pPr>
      <w:r>
        <w:t>7. Key Activities</w:t>
      </w:r>
    </w:p>
    <w:p>
      <w:r>
        <w:t>Product development: build a safe dispensing mechanism, write ESP32 firmware, implement local RTC schedules, create Telegram Mini App and backend services, and configure secure device communication. Validation: test repeated dispensing with different dry-food sizes, power loss, clock drift, disconnected Wi-Fi, duplicate commands, and motor stalls. Operations: source and inspect components, assemble units, calibrate dispensing duration, document setup, and provide support. Commercial activities: interview users, compare competitors, publish demonstrations, manage orders, deliver devices, and collect feedback.</w:t>
      </w:r>
    </w:p>
    <w:p>
      <w:r>
        <w:t>Use a build–measure–learn cycle: build a minimal prototype, measure technical reliability and user value, and refine the product or business assumptions before expanding (Ries, 2011).</w:t>
      </w:r>
    </w:p>
    <w:p>
      <w:pPr>
        <w:pStyle w:val="Heading2"/>
      </w:pPr>
      <w:r>
        <w:t>8. Key Partnerships</w:t>
      </w:r>
    </w:p>
    <w:p>
      <w:r>
        <w:t>Potential suppliers: electronics and enclosure suppliers capable of consistent component quality and replacement stock. Potential sales partners: local pet shops and, where appropriate, veterinary clinics willing to demonstrate or refer customers. Potential service partners: delivery companies and payment providers. Technology vendors: cloud hosting and messaging providers, selected based on reliability, cost, and security. These are proposed relationships; the report does not claim that contracts or endorsements already exist.</w:t>
      </w:r>
    </w:p>
    <w:p>
      <w:r>
        <w:t>Partner selection should consider component quality, minimum order quantity, lead time, warranty arrangements, data handling, and operational dependency. Suppliers and distributors are key partnerships under the course guide’s partnership framework (Foundations of Modern Entrepreneurship &amp; BMC Framework, n.d.).</w:t>
      </w:r>
    </w:p>
    <w:p>
      <w:pPr>
        <w:pStyle w:val="Heading2"/>
      </w:pPr>
      <w:r>
        <w:t>9. Cost Structure</w:t>
      </w:r>
    </w:p>
    <w:p>
      <w:r>
        <w:t>The venture is initially cost-conscious, with unit production costs and modest ongoing software operations. Costs should be separated into one-time, fixed/recurring, and variable categories, as required by the course guide (Foundations of Modern Entrepreneurship &amp; BMC Framework, n.d.).</w:t>
      </w:r>
    </w:p>
    <w:tbl>
      <w:tblPr>
        <w:tblStyle w:val="TableGrid"/>
        <w:tblW w:type="auto" w:w="0"/>
        <w:jc w:val="center"/>
        <w:tblLook w:firstColumn="1" w:firstRow="1" w:lastColumn="0" w:lastRow="0" w:noHBand="0" w:noVBand="1" w:val="04A0"/>
      </w:tblPr>
      <w:tblGrid>
        <w:gridCol w:w="3168"/>
        <w:gridCol w:w="3168"/>
        <w:gridCol w:w="3168"/>
      </w:tblGrid>
      <w:tr>
        <w:tc>
          <w:tcPr>
            <w:tcW w:type="dxa" w:w="3168"/>
          </w:tcPr>
          <w:p>
            <w:r>
              <w:t>Cost category</w:t>
            </w:r>
          </w:p>
        </w:tc>
        <w:tc>
          <w:tcPr>
            <w:tcW w:type="dxa" w:w="3168"/>
          </w:tcPr>
          <w:p>
            <w:r>
              <w:t>Examples</w:t>
            </w:r>
          </w:p>
        </w:tc>
        <w:tc>
          <w:tcPr>
            <w:tcW w:type="dxa" w:w="3168"/>
          </w:tcPr>
          <w:p>
            <w:r>
              <w:t>Planning treatment</w:t>
            </w:r>
          </w:p>
        </w:tc>
      </w:tr>
      <w:tr>
        <w:tc>
          <w:tcPr>
            <w:tcW w:type="dxa" w:w="3168"/>
          </w:tcPr>
          <w:p>
            <w:r>
              <w:t>One-time startup</w:t>
            </w:r>
          </w:p>
        </w:tc>
        <w:tc>
          <w:tcPr>
            <w:tcW w:type="dxa" w:w="3168"/>
          </w:tcPr>
          <w:p>
            <w:r>
              <w:t>Prototype iterations, enclosure tooling, branding, initial testing</w:t>
            </w:r>
          </w:p>
        </w:tc>
        <w:tc>
          <w:tcPr>
            <w:tcW w:type="dxa" w:w="3168"/>
          </w:tcPr>
          <w:p>
            <w:r>
              <w:t>Record actual invoices separately</w:t>
            </w:r>
          </w:p>
        </w:tc>
      </w:tr>
      <w:tr>
        <w:tc>
          <w:tcPr>
            <w:tcW w:type="dxa" w:w="3168"/>
          </w:tcPr>
          <w:p>
            <w:r>
              <w:t>Variable per unit</w:t>
            </w:r>
          </w:p>
        </w:tc>
        <w:tc>
          <w:tcPr>
            <w:tcW w:type="dxa" w:w="3168"/>
          </w:tcPr>
          <w:p>
            <w:r>
              <w:t>ESP32, RTC, servo, LCD, buzzer, hopper, casing, adapter, assembly, packaging</w:t>
            </w:r>
          </w:p>
        </w:tc>
        <w:tc>
          <w:tcPr>
            <w:tcW w:type="dxa" w:w="3168"/>
          </w:tcPr>
          <w:p>
            <w:r>
              <w:t>Build supplier-quoted BOM</w:t>
            </w:r>
          </w:p>
        </w:tc>
      </w:tr>
      <w:tr>
        <w:tc>
          <w:tcPr>
            <w:tcW w:type="dxa" w:w="3168"/>
          </w:tcPr>
          <w:p>
            <w:r>
              <w:t>Sales-variable</w:t>
            </w:r>
          </w:p>
        </w:tc>
        <w:tc>
          <w:tcPr>
            <w:tcW w:type="dxa" w:w="3168"/>
          </w:tcPr>
          <w:p>
            <w:r>
              <w:t>Payment fees, delivery subsidies, retailer margin, warranty allowance</w:t>
            </w:r>
          </w:p>
        </w:tc>
        <w:tc>
          <w:tcPr>
            <w:tcW w:type="dxa" w:w="3168"/>
          </w:tcPr>
          <w:p>
            <w:r>
              <w:t>Allocate per sales channel</w:t>
            </w:r>
          </w:p>
        </w:tc>
      </w:tr>
      <w:tr>
        <w:tc>
          <w:tcPr>
            <w:tcW w:type="dxa" w:w="3168"/>
          </w:tcPr>
          <w:p>
            <w:r>
              <w:t>Fixed / recurring</w:t>
            </w:r>
          </w:p>
        </w:tc>
        <w:tc>
          <w:tcPr>
            <w:tcW w:type="dxa" w:w="3168"/>
          </w:tcPr>
          <w:p>
            <w:r>
              <w:t>Hosting, broker, database, domain, support tools, marketing baseline</w:t>
            </w:r>
          </w:p>
        </w:tc>
        <w:tc>
          <w:tcPr>
            <w:tcW w:type="dxa" w:w="3168"/>
          </w:tcPr>
          <w:p>
            <w:r>
              <w:t>Estimate monthly usage and invoices</w:t>
            </w:r>
          </w:p>
        </w:tc>
      </w:tr>
      <w:tr>
        <w:tc>
          <w:tcPr>
            <w:tcW w:type="dxa" w:w="3168"/>
          </w:tcPr>
          <w:p>
            <w:r>
              <w:t>Growth-related</w:t>
            </w:r>
          </w:p>
        </w:tc>
        <w:tc>
          <w:tcPr>
            <w:tcW w:type="dxa" w:w="3168"/>
          </w:tcPr>
          <w:p>
            <w:r>
              <w:t>Extra support staff, tooling, inventory, replacement stock</w:t>
            </w:r>
          </w:p>
        </w:tc>
        <w:tc>
          <w:tcPr>
            <w:tcW w:type="dxa" w:w="3168"/>
          </w:tcPr>
          <w:p>
            <w:r>
              <w:t>Forecast by sales volume</w:t>
            </w:r>
          </w:p>
        </w:tc>
      </w:tr>
    </w:tbl>
    <w:p>
      <w:r>
        <w:t>The hypothetical US$19 production cost and US$3 direct-sale variable overhead used in Section 5 are not a verified bill of materials. Hosting must include the backend, database, secure broker connectivity, monitoring, and backup needs. The original report omitted several of these resources and costs. Unit economics should be recalculated using at least two real supplier quotations and a tested assembly process.</w:t>
      </w:r>
    </w:p>
    <w:p>
      <w:pPr>
        <w:pStyle w:val="Heading1"/>
      </w:pPr>
      <w:r>
        <w:t>IV. Business Model Canvas Summary</w:t>
      </w:r>
    </w:p>
    <w:tbl>
      <w:tblPr>
        <w:tblStyle w:val="TableGrid"/>
        <w:tblW w:type="auto" w:w="0"/>
        <w:jc w:val="center"/>
        <w:tblLook w:firstColumn="1" w:firstRow="1" w:lastColumn="0" w:lastRow="0" w:noHBand="0" w:noVBand="1" w:val="04A0"/>
      </w:tblPr>
      <w:tblGrid>
        <w:gridCol w:w="4752"/>
        <w:gridCol w:w="4752"/>
      </w:tblGrid>
      <w:tr>
        <w:tc>
          <w:tcPr>
            <w:tcW w:type="dxa" w:w="4752"/>
          </w:tcPr>
          <w:p>
            <w:r>
              <w:t>Block</w:t>
            </w:r>
          </w:p>
        </w:tc>
        <w:tc>
          <w:tcPr>
            <w:tcW w:type="dxa" w:w="4752"/>
          </w:tcPr>
          <w:p>
            <w:r>
              <w:t>Concise canvas entry</w:t>
            </w:r>
          </w:p>
        </w:tc>
      </w:tr>
      <w:tr>
        <w:tc>
          <w:tcPr>
            <w:tcW w:type="dxa" w:w="4752"/>
          </w:tcPr>
          <w:p>
            <w:r>
              <w:t>Customer Segments</w:t>
            </w:r>
          </w:p>
        </w:tc>
        <w:tc>
          <w:tcPr>
            <w:tcW w:type="dxa" w:w="4752"/>
          </w:tcPr>
          <w:p>
            <w:r>
              <w:t>Primary: busy individual pet owners with home Wi-Fi; future: pet care facilities</w:t>
            </w:r>
          </w:p>
        </w:tc>
      </w:tr>
      <w:tr>
        <w:tc>
          <w:tcPr>
            <w:tcW w:type="dxa" w:w="4752"/>
          </w:tcPr>
          <w:p>
            <w:r>
              <w:t>Value Propositions</w:t>
            </w:r>
          </w:p>
        </w:tc>
        <w:tc>
          <w:tcPr>
            <w:tcW w:type="dxa" w:w="4752"/>
          </w:tcPr>
          <w:p>
            <w:r>
              <w:t>Local scheduled dispensing, Telegram control, activity visibility, accessible support</w:t>
            </w:r>
          </w:p>
        </w:tc>
      </w:tr>
      <w:tr>
        <w:tc>
          <w:tcPr>
            <w:tcW w:type="dxa" w:w="4752"/>
          </w:tcPr>
          <w:p>
            <w:r>
              <w:t>Channels</w:t>
            </w:r>
          </w:p>
        </w:tc>
        <w:tc>
          <w:tcPr>
            <w:tcW w:type="dxa" w:w="4752"/>
          </w:tcPr>
          <w:p>
            <w:r>
              <w:t>Social demonstrations, direct online sales, pilot trials, local shops, couriers</w:t>
            </w:r>
          </w:p>
        </w:tc>
      </w:tr>
      <w:tr>
        <w:tc>
          <w:tcPr>
            <w:tcW w:type="dxa" w:w="4752"/>
          </w:tcPr>
          <w:p>
            <w:r>
              <w:t>Customer Relationships</w:t>
            </w:r>
          </w:p>
        </w:tc>
        <w:tc>
          <w:tcPr>
            <w:tcW w:type="dxa" w:w="4752"/>
          </w:tcPr>
          <w:p>
            <w:r>
              <w:t>Self-service setup, Telegram support, tutorials, warranty, feedback</w:t>
            </w:r>
          </w:p>
        </w:tc>
      </w:tr>
      <w:tr>
        <w:tc>
          <w:tcPr>
            <w:tcW w:type="dxa" w:w="4752"/>
          </w:tcPr>
          <w:p>
            <w:r>
              <w:t>Revenue Streams</w:t>
            </w:r>
          </w:p>
        </w:tc>
        <w:tc>
          <w:tcPr>
            <w:tcW w:type="dxa" w:w="4752"/>
          </w:tcPr>
          <w:p>
            <w:r>
              <w:t>One-time hardware sales; optional replacement parts; bulk sales after margin validation</w:t>
            </w:r>
          </w:p>
        </w:tc>
      </w:tr>
      <w:tr>
        <w:tc>
          <w:tcPr>
            <w:tcW w:type="dxa" w:w="4752"/>
          </w:tcPr>
          <w:p>
            <w:r>
              <w:t>Key Resources</w:t>
            </w:r>
          </w:p>
        </w:tc>
        <w:tc>
          <w:tcPr>
            <w:tcW w:type="dxa" w:w="4752"/>
          </w:tcPr>
          <w:p>
            <w:r>
              <w:t>ESP32 + DS1302 + servo hardware; firmware; Telegram Mini App; backend; team; working capital</w:t>
            </w:r>
          </w:p>
        </w:tc>
      </w:tr>
      <w:tr>
        <w:tc>
          <w:tcPr>
            <w:tcW w:type="dxa" w:w="4752"/>
          </w:tcPr>
          <w:p>
            <w:r>
              <w:t>Key Activities</w:t>
            </w:r>
          </w:p>
        </w:tc>
        <w:tc>
          <w:tcPr>
            <w:tcW w:type="dxa" w:w="4752"/>
          </w:tcPr>
          <w:p>
            <w:r>
              <w:t>Engineering, calibration, reliability tests, assembly, marketing, support</w:t>
            </w:r>
          </w:p>
        </w:tc>
      </w:tr>
      <w:tr>
        <w:tc>
          <w:tcPr>
            <w:tcW w:type="dxa" w:w="4752"/>
          </w:tcPr>
          <w:p>
            <w:r>
              <w:t>Key Partnerships</w:t>
            </w:r>
          </w:p>
        </w:tc>
        <w:tc>
          <w:tcPr>
            <w:tcW w:type="dxa" w:w="4752"/>
          </w:tcPr>
          <w:p>
            <w:r>
              <w:t>Component suppliers, enclosure makers, delivery firms, possible pet shops, hosting vendors</w:t>
            </w:r>
          </w:p>
        </w:tc>
      </w:tr>
      <w:tr>
        <w:tc>
          <w:tcPr>
            <w:tcW w:type="dxa" w:w="4752"/>
          </w:tcPr>
          <w:p>
            <w:r>
              <w:t>Cost Structure</w:t>
            </w:r>
          </w:p>
        </w:tc>
        <w:tc>
          <w:tcPr>
            <w:tcW w:type="dxa" w:w="4752"/>
          </w:tcPr>
          <w:p>
            <w:r>
              <w:t>Hardware and assembly, sales fees, delivery, warranty, cloud operations, development</w:t>
            </w:r>
          </w:p>
        </w:tc>
      </w:tr>
    </w:tbl>
    <w:p>
      <w:pPr>
        <w:pStyle w:val="Heading1"/>
      </w:pPr>
      <w:r>
        <w:t>V. Feasibility, Validation, and Implementation</w:t>
      </w:r>
    </w:p>
    <w:p>
      <w:pPr>
        <w:pStyle w:val="Heading2"/>
      </w:pPr>
      <w:r>
        <w:t>1. Key Assumptions and Risks</w:t>
      </w:r>
    </w:p>
    <w:tbl>
      <w:tblPr>
        <w:tblStyle w:val="TableGrid"/>
        <w:tblW w:type="auto" w:w="0"/>
        <w:jc w:val="center"/>
        <w:tblLook w:firstColumn="1" w:firstRow="1" w:lastColumn="0" w:lastRow="0" w:noHBand="0" w:noVBand="1" w:val="04A0"/>
      </w:tblPr>
      <w:tblGrid>
        <w:gridCol w:w="4752"/>
        <w:gridCol w:w="4752"/>
      </w:tblGrid>
      <w:tr>
        <w:tc>
          <w:tcPr>
            <w:tcW w:type="dxa" w:w="4752"/>
          </w:tcPr>
          <w:p>
            <w:r>
              <w:t>Assumption / risk</w:t>
            </w:r>
          </w:p>
        </w:tc>
        <w:tc>
          <w:tcPr>
            <w:tcW w:type="dxa" w:w="4752"/>
          </w:tcPr>
          <w:p>
            <w:r>
              <w:t>Evidence needed or mitigation</w:t>
            </w:r>
          </w:p>
        </w:tc>
      </w:tr>
      <w:tr>
        <w:tc>
          <w:tcPr>
            <w:tcW w:type="dxa" w:w="4752"/>
          </w:tcPr>
          <w:p>
            <w:r>
              <w:t>Customer demand</w:t>
            </w:r>
          </w:p>
        </w:tc>
        <w:tc>
          <w:tcPr>
            <w:tcW w:type="dxa" w:w="4752"/>
          </w:tcPr>
          <w:p>
            <w:r>
              <w:t>Owner interviews and real preorders or purchase commitments</w:t>
            </w:r>
          </w:p>
        </w:tc>
      </w:tr>
      <w:tr>
        <w:tc>
          <w:tcPr>
            <w:tcW w:type="dxa" w:w="4752"/>
          </w:tcPr>
          <w:p>
            <w:r>
              <w:t>US$30 target price</w:t>
            </w:r>
          </w:p>
        </w:tc>
        <w:tc>
          <w:tcPr>
            <w:tcW w:type="dxa" w:w="4752"/>
          </w:tcPr>
          <w:p>
            <w:r>
              <w:t>Competitor prices, supplier quotes, willingness-to-pay interviews</w:t>
            </w:r>
          </w:p>
        </w:tc>
      </w:tr>
      <w:tr>
        <w:tc>
          <w:tcPr>
            <w:tcW w:type="dxa" w:w="4752"/>
          </w:tcPr>
          <w:p>
            <w:r>
              <w:t>Servo dispenses consistently</w:t>
            </w:r>
          </w:p>
        </w:tc>
        <w:tc>
          <w:tcPr>
            <w:tcW w:type="dxa" w:w="4752"/>
          </w:tcPr>
          <w:p>
            <w:r>
              <w:t>Repeated calibration tests across kibble types and fill levels</w:t>
            </w:r>
          </w:p>
        </w:tc>
      </w:tr>
      <w:tr>
        <w:tc>
          <w:tcPr>
            <w:tcW w:type="dxa" w:w="4752"/>
          </w:tcPr>
          <w:p>
            <w:r>
              <w:t>Offline schedules work</w:t>
            </w:r>
          </w:p>
        </w:tc>
        <w:tc>
          <w:tcPr>
            <w:tcW w:type="dxa" w:w="4752"/>
          </w:tcPr>
          <w:p>
            <w:r>
              <w:t>Power/network interruption tests with valid DS1302 time</w:t>
            </w:r>
          </w:p>
        </w:tc>
      </w:tr>
      <w:tr>
        <w:tc>
          <w:tcPr>
            <w:tcW w:type="dxa" w:w="4752"/>
          </w:tcPr>
          <w:p>
            <w:r>
              <w:t>Remote commands are reliable</w:t>
            </w:r>
          </w:p>
        </w:tc>
        <w:tc>
          <w:tcPr>
            <w:tcW w:type="dxa" w:w="4752"/>
          </w:tcPr>
          <w:p>
            <w:r>
              <w:t>Authentication, unique command IDs, acknowledgments, reconnect tests</w:t>
            </w:r>
          </w:p>
        </w:tc>
      </w:tr>
      <w:tr>
        <w:tc>
          <w:tcPr>
            <w:tcW w:type="dxa" w:w="4752"/>
          </w:tcPr>
          <w:p>
            <w:r>
              <w:t>Pet welfare and product safety</w:t>
            </w:r>
          </w:p>
        </w:tc>
        <w:tc>
          <w:tcPr>
            <w:tcW w:type="dxa" w:w="4752"/>
          </w:tcPr>
          <w:p>
            <w:r>
              <w:t>Food-safe materials, electrical protection, supervised field testing</w:t>
            </w:r>
          </w:p>
        </w:tc>
      </w:tr>
      <w:tr>
        <w:tc>
          <w:tcPr>
            <w:tcW w:type="dxa" w:w="4752"/>
          </w:tcPr>
          <w:p>
            <w:r>
              <w:t>Profitability</w:t>
            </w:r>
          </w:p>
        </w:tc>
        <w:tc>
          <w:tcPr>
            <w:tcW w:type="dxa" w:w="4752"/>
          </w:tcPr>
          <w:p>
            <w:r>
              <w:t>Complete BOM, warranty allowance, channel fees, break-even scenarios</w:t>
            </w:r>
          </w:p>
        </w:tc>
      </w:tr>
    </w:tbl>
    <w:p>
      <w:pPr>
        <w:pStyle w:val="Heading2"/>
      </w:pPr>
      <w:r>
        <w:t>2. Proposed MVP Validation Sequence</w:t>
      </w:r>
    </w:p>
    <w:p>
      <w:r>
        <w:t>Stage 1 — Customer discovery: conduct exploratory interviews and map existing feeding routines and alternative solutions. Stage 2 — Technical prototype: validate time-based dispensing, RTC schedules, button, LCD, buzzer, and safe motor power. Stage 3 — Connected prototype: test Telegram Mini App, NestJS, PostgreSQL, MQTT publish/subscribe, authentication, and offline recovery. Stage 4 — Controlled field pilot: recruit a small group of consenting owners for supervised trials and record malfunctions, usability feedback, and actual feed-event logs. Stage 5 — Commercial decision: obtain supplier quotations, calculate unit margins, compare competing products, and decide whether to revise the target price or product scope.</w:t>
      </w:r>
    </w:p>
    <w:p>
      <w:pPr>
        <w:pStyle w:val="Heading2"/>
      </w:pPr>
      <w:r>
        <w:t>3. Suggested Evaluation Metrics</w:t>
      </w:r>
    </w:p>
    <w:p>
      <w:r>
        <w:t>Technical: scheduled-command execution rate, failed actuations, time synchronization issues, duplicate command prevention, and reconnect/reconciliation behavior. Customer: successful setup rate, task completion, perceived convenience, and stated versus demonstrated willingness to pay. Business: actual unit cost, contribution margin, customer acquisition cost where measurable, return rate, and warranty expense. Targets should be established before testing rather than invented as results.</w:t>
      </w:r>
    </w:p>
    <w:p>
      <w:pPr>
        <w:pStyle w:val="Heading2"/>
      </w:pPr>
      <w:r>
        <w:t>4. Conclusion</w:t>
      </w:r>
    </w:p>
    <w:p>
      <w:r>
        <w:t>The Smart Pet Feeder is a plausible entrepreneurship concept supported by an achievable IoT prototype architecture and a clear proposed customer problem. Its commercial viability in Cambodia remains unverified. A focused B2C MVP, honest representation of time-based dispensing, local schedule resilience, customer discovery, and validated unit economics offer a practical path from classroom concept to an evidence-based business model.</w:t>
      </w:r>
    </w:p>
    <w:p>
      <w:pPr>
        <w:pStyle w:val="Heading1"/>
      </w:pPr>
      <w:r>
        <w:t>References</w:t>
      </w:r>
    </w:p>
    <w:p>
      <w:pPr>
        <w:ind w:left="432" w:hanging="432"/>
      </w:pPr>
      <w:r>
        <w:t>Castillo Rangel, A. V., Ponce, I. U., &amp; Soto, I. (2024). Automatic pet feed system applying IoT. Modelling, Measurement and Control D, 45(1–4), 87–93. https://doi.org/10.18280/mmc_d.451-413</w:t>
      </w:r>
    </w:p>
    <w:p>
      <w:pPr>
        <w:ind w:left="432" w:hanging="432"/>
      </w:pPr>
      <w:r>
        <w:t>Foundations of modern entrepreneurship &amp; business model canvas (BMC) framework: Comprehensive master study guide &amp; syllabus reference (MGT-403). (n.d.). [Unpublished course handout].</w:t>
      </w:r>
    </w:p>
    <w:p>
      <w:pPr>
        <w:ind w:left="432" w:hanging="432"/>
      </w:pPr>
      <w:r>
        <w:t>Osterwalder, A., &amp; Pigneur, Y. (2010). Business model generation: A handbook for visionaries, game changers, and challengers. John Wiley &amp; Sons.</w:t>
      </w:r>
    </w:p>
    <w:p>
      <w:pPr>
        <w:ind w:left="432" w:hanging="432"/>
      </w:pPr>
      <w:r>
        <w:t>Ries, E. (2011). The lean startup: How today’s entrepreneurs use continuous innovation to create radically successful businesses. Crown Business.</w:t>
      </w:r>
    </w:p>
    <w:p>
      <w:pPr>
        <w:ind w:left="432" w:hanging="432"/>
      </w:pPr>
      <w:r>
        <w:t>Zainuddin, A. A., Mahazir, M. N. B., Adanan, M. A. A., Mohd. Tamrin, M. I., Zulkfli, M. A. H., &amp; Samsudin, M. H. A. (2024). Design and implementation of a mobile-controlled IoT smart pet feeder for busy pet owners. Malaysian Journal of Science and Advanced Technology, 4(4), 498–505. https://doi.org/10.56532/mjsat.v4i4.383</w:t>
      </w:r>
    </w:p>
    <w:sectPr w:rsidR="00FC693F" w:rsidRPr="0006063C" w:rsidSect="00034616">
      <w:footerReference w:type="default" r:id="rId9"/>
      <w:pgSz w:w="12240" w:h="15840"/>
      <w:pgMar w:top="1152" w:right="1368" w:bottom="1080" w:left="136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Smart Pet Feeder | MGT 403 | Revised BMC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Times New Roman" w:hAnsi="Times New Roman"/>
      <w:b/>
      <w:bCs/>
      <w:color w:val="16342D"/>
      <w:sz w:val="2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Times New Roman" w:hAnsi="Times New Roman"/>
      <w:b/>
      <w:bCs/>
      <w:color w:val="1634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Times New Roman" w:hAnsi="Times New Roman"/>
      <w:b/>
      <w:color w:val="16342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