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Практика 1.5 · Исследовательский анализ данных SOC</w:t>
      </w:r>
    </w:p>
    <w:p>
      <w:r>
        <w:rPr>
          <w:i/>
        </w:rPr>
        <w:t>ответы на банк вопросов (iavd_eda_questions.md), трек ML-инжиниринг (Python / pandas)</w:t>
      </w:r>
    </w:p>
    <w:p>
      <w:pPr>
        <w:spacing w:after="0"/>
      </w:pPr>
      <w:r>
        <w:rPr>
          <w:b/>
        </w:rPr>
        <w:t xml:space="preserve">Курс: </w:t>
      </w:r>
      <w:r>
        <w:t>Интеллектуальный анализ и визуализация данных</w:t>
      </w:r>
    </w:p>
    <w:p>
      <w:pPr>
        <w:spacing w:after="0"/>
      </w:pPr>
      <w:r>
        <w:rPr>
          <w:b/>
        </w:rPr>
        <w:t xml:space="preserve">Модуль: </w:t>
      </w:r>
      <w:r>
        <w:t>1 · Методология анализа и визуализации данных</w:t>
      </w:r>
    </w:p>
    <w:p>
      <w:pPr>
        <w:spacing w:after="0"/>
      </w:pPr>
      <w:r>
        <w:rPr>
          <w:b/>
        </w:rPr>
        <w:t xml:space="preserve">Трек: </w:t>
      </w:r>
      <w:r>
        <w:t>ML-инжиниринг</w:t>
      </w:r>
    </w:p>
    <w:p>
      <w:pPr>
        <w:spacing w:after="0"/>
      </w:pPr>
      <w:r>
        <w:rPr>
          <w:b/>
        </w:rPr>
        <w:t xml:space="preserve">Выполнили: </w:t>
      </w:r>
      <w:r>
        <w:t>Храмов Владислав, Гарбуз Александр, Семенов Илья</w:t>
      </w:r>
    </w:p>
    <w:p>
      <w:pPr>
        <w:spacing w:after="0"/>
      </w:pPr>
      <w:r>
        <w:rPr>
          <w:b/>
        </w:rPr>
        <w:t xml:space="preserve">Группа: </w:t>
      </w:r>
      <w:r>
        <w:t>____________</w:t>
      </w:r>
    </w:p>
    <w:p>
      <w:pPr>
        <w:spacing w:after="0"/>
      </w:pPr>
      <w:r>
        <w:rPr>
          <w:b/>
        </w:rPr>
        <w:t xml:space="preserve">Датасет: </w:t>
      </w:r>
      <w:r>
        <w:t>iavd_incidents_raw_target (240 295 карточек × 97 полей)</w:t>
      </w:r>
    </w:p>
    <w:p/>
    <w:p>
      <w:r>
        <w:t xml:space="preserve">Код ответов — </w:t>
      </w:r>
      <w:r>
        <w:rPr>
          <w:rFonts w:ascii="Courier New" w:hAnsi="Courier New"/>
        </w:rPr>
        <w:t>DV/eda_answers.py</w:t>
      </w:r>
      <w:r>
        <w:t xml:space="preserve"> (запуск: </w:t>
      </w:r>
      <w:r>
        <w:rPr>
          <w:rFonts w:ascii="Courier New" w:hAnsi="Courier New"/>
        </w:rPr>
        <w:t>python eda_answers.py путь_к_parquet</w:t>
      </w:r>
      <w:r>
        <w:t>). Время карточек — в UTC. Где ответ расходится с контрольным числом банка, в столбце «Комментарий» указана причина; такие ответы перепроверены отдельно.</w:t>
      </w:r>
    </w:p>
    <w:p>
      <w:pPr>
        <w:pStyle w:val="Heading1"/>
      </w:pPr>
      <w:r>
        <w:t>Блок 1. Структура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Ответ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1.1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240 295 строк × 97 столбцов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1.2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Строковых 76, числовых 9 (float64 7, int64 2), datetime 11; еще 1 поле «Дата» — календарная дата (тип date)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 xml:space="preserve">pandas относит «Дата» к object, поэтому </w:t>
            </w:r>
            <w:r>
              <w:rPr>
                <w:rFonts w:ascii="Courier New" w:hAnsi="Courier New"/>
                <w:sz w:val="21"/>
              </w:rPr>
              <w:t>dtypes.value_counts()</w:t>
            </w:r>
            <w:r>
              <w:rPr>
                <w:sz w:val="21"/>
              </w:rPr>
              <w:t xml:space="preserve"> дает object 77; контроль 76 / 9 / 11 не учитывает это поле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1.3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Ошибки 99,995 %, Типы угроз 99,73 %, Прошлый ответственный 99,54 % пропусков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Контроль округлен: в «Ошибки» 13 непустых значений, поэтому не ровно 100 %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1.4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8 полностью заполненных столбцов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1.5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7 уникальных значений «Вердикт»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1.6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5 уникальных значений «Критичность»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1.7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99,98 % непустых значений содержат «|» (231 276 непустых, без «|» — 57)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Контроль «100 %» округлен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1.8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Максимум 2 115 элементов в одном списке «Значение Инцидента (группировка)»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Поля «Значение Инцидента» без уточнения в датасете нет; контрольное 55 353 не воспроизводится ни для одного мультизначного поля (максимум по всем — 5 433 у «Ссылка в NAD (actual)»)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1.9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Дубликатов EntityId нет (0)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1.10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 xml:space="preserve">1 275 839 строк после разворота «Значение Инцидента (группировка)» по </w:t>
            </w:r>
            <w:r>
              <w:rPr>
                <w:rFonts w:ascii="Courier New" w:hAnsi="Courier New"/>
                <w:sz w:val="21"/>
              </w:rPr>
              <w:t>~~||~~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Контрольные ≈34,7 млн — это порядок суммарной длины значений в символах (36,3 млн), а не число элементов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1.11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Поле verdict (int64) — числовой код «Вердикт»</w:t>
            </w:r>
          </w:p>
        </w:tc>
        <w:tc>
          <w:tcPr>
            <w:tcW w:type="dxa" w:w="3324"/>
          </w:tcPr>
          <w:p/>
        </w:tc>
      </w:tr>
    </w:tbl>
    <w:p/>
    <w:p>
      <w:r>
        <w:rPr>
          <w:b/>
        </w:rPr>
        <w:t>Инсайт.</w:t>
      </w:r>
      <w:r>
        <w:t xml:space="preserve"> Почти пустые поля (Ошибки 99,995 %, Типы угроз 99,73 %, Прошлый ответственный 99,54 % пропусков) для анализа и обучения практически бесполезны, их можно отбросить. Мультизначные поля нужно разворачивать по разделителю: «Значение Инцидента (группировка)» дает 1,28 млн строк вместо 231 тыс. карточек — это надо учитывать при выборе инструмента и памяти. Дубликатов EntityId нет, значит одна строка — одна карточка.</w:t>
      </w:r>
    </w:p>
    <w:p>
      <w:pPr>
        <w:pStyle w:val="Heading1"/>
      </w:pPr>
      <w:r>
        <w:t>Блок 2. Жизненный цикл карточки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4986"/>
          </w:tcPr>
          <w:p>
            <w:r>
              <w:rPr>
                <w:b/>
                <w:sz w:val="21"/>
              </w:rPr>
              <w:t>Ответ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2.1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False Positive 150 675; Не указан 54 870; Решён 28 606; Дубликат 5 819; Не решён 316; Закрыт по совокупности инцидентов 8; Закрыт из родительской атаки 1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2.2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Доля FP = 0,627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2.3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9 значений; «Закрыт» — 239 557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2.4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Пройденные этапы (история фаз); 579 карточек с комбинированной историей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2.5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«Закрыт~~||~~Проанализирован» — 519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2.6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New 239 248; Closed 842; Approved 39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2.7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Спам: 50 283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2.8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Эскалировано на L2: 1 756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2.9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Проверка на FP: True 70 054; False 92 660; NaN 77 581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2.10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Вердикт FP 150 675; флаг «Ложное срабатывание» True 168 897; оба 148 454 — поля не дубликаты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2.11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«Инцидент был изменен» True: 143 168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2.12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В группе ГИБ доля FP 2,3 %</w:t>
            </w:r>
          </w:p>
        </w:tc>
      </w:tr>
    </w:tbl>
    <w:p/>
    <w:p>
      <w:r>
        <w:rPr>
          <w:b/>
        </w:rPr>
        <w:t>Инсайт.</w:t>
      </w:r>
      <w:r>
        <w:t xml:space="preserve"> 62,7 % карточек закрыты как ложные срабатывания, и еще у 54 870 вердикт «Не указан», то есть настоящий сигнал в потоке редкий. Поля «Вердикт» и «Ложное срабатывание» не совпадают (150 675 против 168 897), поэтому выбор таргета для модели — осознанное решение. Доля FP в группе ГИБ всего 2,3 %: туда попадают в основном настоящие инциденты.</w:t>
      </w:r>
    </w:p>
    <w:p>
      <w:pPr>
        <w:pStyle w:val="Heading1"/>
      </w:pPr>
      <w:r>
        <w:t>Блок 3. Источники, аналитики, пользователи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Ответ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3.1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3 971 учетная запись suser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3.2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1 296 пользователей-жертв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3.3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Щукин Александр Евгеньевич 776; Филатов 391; Мишин 269; Лучников 238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3.4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\root 1 579; \ankey 1 424; \administrator 1 378 (служебные)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3.5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8 689 хостов-целей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3.6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0.0.0.0 4 294; srvSCCM03 1 548; srvSCCM04 1 541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3.7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31 значение «Ответственный»: 30 аналитиков и пустая строка (7 739 карточек)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Среди 30 есть тестовая учетная запись «тест тестов»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3.8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Нагрузка неравномерна: от 24 891 карточки (Снегирёв Л. Д.) до 1 — соотношение max/min намного больше 10:1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3.9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L1 236 902; L2 3 312; ГИБ 44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3.10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ООО «ИАиВД» 128 190; NaN 67 665; srv-conv1… 19 351; ГРО ЛО 9 493</w:t>
            </w:r>
          </w:p>
        </w:tc>
        <w:tc>
          <w:tcPr>
            <w:tcW w:type="dxa" w:w="3324"/>
          </w:tcPr>
          <w:p/>
        </w:tc>
      </w:tr>
    </w:tbl>
    <w:p/>
    <w:p>
      <w:r>
        <w:rPr>
          <w:b/>
        </w:rPr>
        <w:t>Инсайт.</w:t>
      </w:r>
      <w:r>
        <w:t xml:space="preserve"> В топе учетных записей и целей стоят служебные и повторяющиеся сущности (\root, \ankey, \administrator, 0.0.0.0, серверы SCCM), значит заметную часть шума порождает инфраструктура, а не живые пользователи. Воронка очень узкая: на L1 приходится 236 902 карточки, на L2 — 3 312, на ГИБ — 44; основная нагрузка и риск усталости от алертов лежат на первой линии, причем внутри нее распределены крайне неравномерно.</w:t>
      </w:r>
    </w:p>
    <w:p>
      <w:pPr>
        <w:pStyle w:val="Heading1"/>
      </w:pPr>
      <w:r>
        <w:t>Блок 4. Время, MTTR,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Ответ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4.1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12.04.2024 — 03.09.2025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4.2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Июнь 2024 — 37 891 карточка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4.3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Июль 2025 — 5 216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Апрель 2024 (1 карточка) и сентябрь 2025 (по 03.09) неполные; май 2024 (4 576) тоже фактически неполный — поток стартовал только с 30.05 (до этого 1–331 карточка в день)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4.4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Пик 8:00 (19 118), минимум 0:00 (3 591)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4.5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Выходные 12,8 %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4.6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Медиана «Время решения» 35,7 ч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4.7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p90 = 8 858 ч (длинный хвост)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4.8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17,1 % карточек решаются дольше 30 дней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4.9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L1 33,9 ч; L2 8 076 ч; ГИБ 40 108 ч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4.10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Медиана «Период взятия в работу» 24,5 ч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4.11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Это не длительность: медиана — unix-timestamp ≈ 17.10.2024, поле хранит момент автоназначения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4.12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Единица — миллисекунды: 3 600 000 мс = 1 ч; SLA взятия в работу 600 000 мс = 10 мин</w:t>
            </w:r>
          </w:p>
        </w:tc>
        <w:tc>
          <w:tcPr>
            <w:tcW w:type="dxa" w:w="3324"/>
          </w:tcPr>
          <w:p/>
        </w:tc>
      </w:tr>
    </w:tbl>
    <w:p/>
    <w:p>
      <w:r>
        <w:rPr>
          <w:b/>
        </w:rPr>
        <w:t>Инсайт.</w:t>
      </w:r>
      <w:r>
        <w:t xml:space="preserve"> Медиана времени решения 35,7 ч, а p90 = 8 858 ч: хвост очень длинный, среднее использовать нельзя — нужны медиана и перцентили. Чем сложнее линия, тем дольше решение (L1 33,9 ч, L2 8 076 ч, ГИБ 40 108 ч), а 17,1 % карточек решаются дольше 30 дней. Пик создания карточек в 8:00 UTC (19 118), минимум в полночь (3 591), выходных 12,8 %: поток следует рабочему дню. Поля 4.11 и 4.12 — ловушки единиц измерения (unix-время и миллисекунды).</w:t>
      </w:r>
    </w:p>
    <w:p>
      <w:pPr>
        <w:pStyle w:val="Heading1"/>
      </w:pPr>
      <w:r>
        <w:t>Блок 5. Содержательный анализ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Ответ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5.1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reg.exe 4 030; msiexec.exe 3 342; ipconfig.exe 3 100; rundll32.exe 2 305; regsvr32.exe 2 007; sc.exe 1 975; ssh.exe 1 659; cmd.exe 1 477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5.2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3,9 % карточек с powershell в «Команда»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5.3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Подозрительная активность 93 587; Управление УЗ 41 255; Сетевая безопасность 36 979; Атака на инфраструктуру 24 446; Инцидент 17 615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5.4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discovery 17 176; malware 9 193; комбинация «account compromised~~||~~credential access…» 3 046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5.5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Комбинированные теги (цепочки MITRE) 8,6 %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5.6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Две роли: dst 784 079; src 403 919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5.7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srvwec01.iaivd.lan (192.168.100.27) 70 611; srvcpsms00 34 525; srvWEC01 32 005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5.8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1 187 998 пар «ключ|значение», 28 806 уникальных ключей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Исправлено: ранее посчитаны все элементы списка (1 275 839), включая 87 841 одиночное значение без «|»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5.9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Доля FP по критичности: Отсутствует 74 %; Средняя 71,2 %; Высокая 61,7 %; Низкая 27,5 %; Критическая 25 %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5.10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L1 63,1 %; L2 31,9 %; ГИБ 2,3 %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5.11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19 351 карточка у конвейера srv-conv1.blinow-a12.iaivd.ru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21"/>
              </w:rPr>
              <w:t>5.12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В среднем 5,5 элемента на карточку (медиана 5)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Исправлено: контрольные ≈150 / 133 — это средняя и медианная длина значения в символах (у нас 157 / 136), а не число элементов</w:t>
            </w:r>
          </w:p>
        </w:tc>
      </w:tr>
    </w:tbl>
    <w:p/>
    <w:p>
      <w:r>
        <w:rPr>
          <w:b/>
        </w:rPr>
        <w:t>Инсайт.</w:t>
      </w:r>
      <w:r>
        <w:t xml:space="preserve"> Самые частые процессы — штатные административные утилиты (reg.exe, msiexec.exe, ipconfig.exe и другие), поэтому их массовый запуск, вероятно, главный источник шума. Доля FP зависит от критичности не монотонно (Критическая 25 %, Низкая 27,5 %, Высокая 61,7 %, Средняя 71,2 %), так что критичность нельзя использовать как единственный фильтр. Доля FP падает по линиям: L1 63,1 %, L2 31,9 %, ГИБ 2,3 %.</w:t>
      </w:r>
    </w:p>
    <w:p>
      <w:pPr>
        <w:pStyle w:val="Heading1"/>
      </w:pPr>
      <w:r>
        <w:t>Блок 6. Качество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4986"/>
          </w:tcPr>
          <w:p>
            <w:r>
              <w:rPr>
                <w:b/>
                <w:sz w:val="21"/>
              </w:rPr>
              <w:t>Ответ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6.1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Дубликатов EntityId нет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6.2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69 156 карточек с пустым «Комментарий»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6.3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13 непустых значений в поле «Ошибки»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6.4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238 539 NaN в «Эскалировался на L2?»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6.5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NaN у «Вердикт» 0; значение «Не указан» 54 870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6.6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Да: srvWEC01 / srvwec01 (узлы в парах «Значение Инцидента (группировка)», см. 5.7), CryptoPRO / CryptoPro / cryptopro (Комментарий); в «Hostname Цели» 108 значений сливаются с другими после приведения к нижнему регистру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6.7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Максимум «Время решения» ≈ 487,5 млн ч — технический выброс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6.8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«SLA по устранению Атаки» — миллисекунды (3 600 000 мс = 1 ч)</w:t>
            </w:r>
          </w:p>
        </w:tc>
      </w:tr>
    </w:tbl>
    <w:p/>
    <w:p>
      <w:r>
        <w:rPr>
          <w:b/>
        </w:rPr>
        <w:t>Инсайт.</w:t>
      </w:r>
      <w:r>
        <w:t xml:space="preserve"> Пропуск (NaN), пустая строка и значение «Не указан» — три разных состояния, их нельзя смешивать (69 156 пустых комментариев, 238 539 NaN в «Эскалировался на L2?», 54 870 «Не указан» при нуле NaN в вердикте). Регистр букв порождает 108 лишних значений хостов, поэтому перед группировкой по хостам и ПО его нужно нормализовать. Максимум времени решения ≈ 487,5 млн ч — технический выброс, его надо отсечь перед расчетом статистик и построением графиков.</w:t>
      </w:r>
    </w:p>
    <w:p>
      <w:pPr>
        <w:pStyle w:val="Heading1"/>
      </w:pPr>
      <w:r>
        <w:t>Блок 7. Мост к 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4986"/>
          </w:tcPr>
          <w:p>
            <w:r>
              <w:rPr>
                <w:b/>
                <w:sz w:val="21"/>
              </w:rPr>
              <w:t>Ответ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7.1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Баланс FP / остальные = 0,627 / 0,373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7.2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Альтернативный таргет: флаг «Ложное срабатывание» (True 168 897)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7.3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Высокая кардинальность: suser 3 971; duser 4 834; Hostname Цели 8 689; Наименование 360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7.4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Числовые признаки: Время решения, Период взятия в работу, SLA × 2, Количество инцидентов, verdict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7.5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1 275 839 строк после explode «Значение Инцидента (группировка)» (см. 1.10)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7.6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Утечка: флаг «Ложное срабатывание», текст поля «Решение»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7.7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16 булевых флагов: map({"True": 1, "False": 0}); NaN — тоже признак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7.8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Для TF-IDF / эмбеддингов: Алерт, Описание инцидента, Команда, CMDLINE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7.9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train_test_split(..., stratify=y): доля FP 62,7 % сохранится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7.10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Исключить идентификаторы: EntityId и verdict (дубликат таргета)</w:t>
            </w:r>
          </w:p>
        </w:tc>
      </w:tr>
    </w:tbl>
    <w:p/>
    <w:p>
      <w:r>
        <w:rPr>
          <w:b/>
        </w:rPr>
        <w:t>Инсайт.</w:t>
      </w:r>
      <w:r>
        <w:t xml:space="preserve"> Баланс 62,7 % / 37,3 % умеренный, стратифицированное разбиение сохранит эту долю. Таргет — проектное решение, так как «Вердикт» и флаг «Ложное срабатывание» не идентичны. Свободные тексты и поле «Решение» могут раскрывать исход (утечка), их проверяют до обучения; идентификаторы и verdict (дубликат таргета) исключаем. Признаки с высокой кардинальностью (suser 3 971, Hostname Цели 8 689) требуют особого кодирования. Время решения и период взятия в работу известны только после разбора — для модели-советчика на входе очереди это тоже утечка.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