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Самостоятельная работа к занятию 2.2</w:t>
      </w:r>
    </w:p>
    <w:p>
      <w:r>
        <w:rPr>
          <w:i/>
        </w:rPr>
        <w:t>по лекции 2.1 «Когнитивные основы восприятия информации»</w:t>
      </w:r>
    </w:p>
    <w:p>
      <w:pPr>
        <w:spacing w:after="0"/>
      </w:pPr>
      <w:r>
        <w:rPr>
          <w:b/>
        </w:rPr>
        <w:t xml:space="preserve">Курс: </w:t>
      </w:r>
      <w:r>
        <w:t>Интеллектуальный анализ и визуализация данных</w:t>
      </w:r>
    </w:p>
    <w:p>
      <w:pPr>
        <w:spacing w:after="0"/>
      </w:pPr>
      <w:r>
        <w:rPr>
          <w:b/>
        </w:rPr>
        <w:t xml:space="preserve">Модуль: </w:t>
      </w:r>
      <w:r>
        <w:t>2 · Информационный дизайн и дескриптивная аналитика</w:t>
      </w:r>
    </w:p>
    <w:p>
      <w:pPr>
        <w:spacing w:after="0"/>
      </w:pPr>
      <w:r>
        <w:rPr>
          <w:b/>
        </w:rPr>
        <w:t xml:space="preserve">Трек: </w:t>
      </w:r>
      <w:r>
        <w:t>ML-инжиниринг</w:t>
      </w:r>
    </w:p>
    <w:p>
      <w:pPr>
        <w:spacing w:after="0"/>
      </w:pPr>
      <w:r>
        <w:rPr>
          <w:b/>
        </w:rPr>
        <w:t xml:space="preserve">Выполнили: </w:t>
      </w:r>
      <w:r>
        <w:t>Храмов Владислав, Гарбуз Александр, Семенов Илья</w:t>
      </w:r>
    </w:p>
    <w:p>
      <w:pPr>
        <w:spacing w:after="0"/>
      </w:pPr>
      <w:r>
        <w:rPr>
          <w:b/>
        </w:rPr>
        <w:t xml:space="preserve">Группа: </w:t>
      </w:r>
      <w:r>
        <w:t>____________</w:t>
      </w:r>
    </w:p>
    <w:p>
      <w:pPr>
        <w:spacing w:after="0"/>
      </w:pPr>
      <w:r>
        <w:rPr>
          <w:b/>
        </w:rPr>
        <w:t xml:space="preserve">Датасет: </w:t>
      </w:r>
      <w:r>
        <w:t>iavd_1000_incidents_raw_target (1000 карточек × 97 полей — первые 1000 записей основного датасета курса)</w:t>
      </w:r>
    </w:p>
    <w:p/>
    <w:p>
      <w:pPr>
        <w:pStyle w:val="Heading1"/>
      </w:pPr>
      <w:r>
        <w:t>Задание</w:t>
      </w:r>
    </w:p>
    <w:p>
      <w:pPr>
        <w:pStyle w:val="ListBullet"/>
      </w:pPr>
      <w:r>
        <w:t>На основе DIKW-проекции кейса выбрать 3–5 ключевых полей из iavd_incidents_raw; определить кодировки для Критичности, Вердикта и количества алертов (карточек) с обоснованием по учебной схеме (5–7 предложений).</w:t>
      </w:r>
    </w:p>
    <w:p>
      <w:pPr>
        <w:pStyle w:val="ListBullet"/>
      </w:pPr>
      <w:r>
        <w:t>Сделать эскиз обзора алертов (карточек): что выделяется преаттентивно, как группируются связанные элементы и чем кодируется Вердикт.</w:t>
      </w:r>
    </w:p>
    <w:p>
      <w:pPr>
        <w:pStyle w:val="Heading1"/>
      </w:pPr>
      <w:r>
        <w:t>1. Ключевые поля (из DIKW-проекции СРС 1.3)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1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Уровень DIKW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Зачем аналитику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Критичность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Information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порядковое (в выборке 4 уровня, в полном датасете 5)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Первый грубый фильтр очереди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Вердикт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Decision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номинальное (7 значений)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Решение аналитика; целевая переменная модели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Группа устранения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Decision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номинальное (L1 / L2 / ГИБ)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Нагрузка линий, эскалация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Создан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Data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время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Профиль активности, пики потока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Наименование (правило)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Data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номинальное, высокая кардинальность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Источник шума: какие правила дают больше всего карточек</w:t>
            </w:r>
          </w:p>
        </w:tc>
      </w:tr>
    </w:tbl>
    <w:p/>
    <w:p>
      <w:pPr>
        <w:pStyle w:val="Heading1"/>
      </w:pPr>
      <w:r>
        <w:t>2. Кодировки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1"/>
              </w:rPr>
              <w:t>Что кодируем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Основной канал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Дополнительно</w:t>
            </w:r>
          </w:p>
        </w:tc>
        <w:tc>
          <w:tcPr>
            <w:tcW w:type="dxa" w:w="2493"/>
          </w:tcPr>
          <w:p>
            <w:r>
              <w:rPr>
                <w:b/>
                <w:sz w:val="21"/>
              </w:rPr>
              <w:t>Почему так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Критичность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Длина столбца, столбцы в порядке шкалы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Цвет: красный только у «Критической», остальные серые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Порядковая шкала читается по положению; у радужного тона нет порядка. Пропуск критической карточки (FN) дороже всего, поэтому сигнальный цвет — только ей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Вердикт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Длина столбца от общей нулевой линии, сортировка по убыванию, подпись значения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Цвет не используется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Номинальная категория: доли точнее сравниваются длиной, чем углом круговой; цвет занят Критичностью</w:t>
            </w:r>
          </w:p>
        </w:tc>
      </w:tr>
      <w:tr>
        <w:tc>
          <w:tcPr>
            <w:tcW w:type="dxa" w:w="2493"/>
          </w:tcPr>
          <w:p>
            <w:r>
              <w:rPr>
                <w:sz w:val="21"/>
              </w:rPr>
              <w:t>Количество алертов (карточек)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Длина подписанных столбцов; динамика — положение точек и линии на общей временной шкале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Красная точка — только пик</w:t>
            </w:r>
          </w:p>
        </w:tc>
        <w:tc>
          <w:tcPr>
            <w:tcW w:type="dxa" w:w="2493"/>
          </w:tcPr>
          <w:p>
            <w:r>
              <w:rPr>
                <w:sz w:val="21"/>
              </w:rPr>
              <w:t>Длина и положение на общей шкале — верхние уровни иерархии точности</w:t>
            </w:r>
          </w:p>
        </w:tc>
      </w:tr>
    </w:tbl>
    <w:p/>
    <w:p>
      <w:r>
        <w:rPr>
          <w:b/>
        </w:rPr>
        <w:t>Обоснование.</w:t>
      </w:r>
      <w:r>
        <w:t xml:space="preserve"> Критичность — упорядоченная категория из нескольких уровней, поэтому читаем ее по длине столбцов в порядке шкалы, а не по радужному тону, у которого порядка нет. Сигнальный красный отдан только уровню «Критическая»: пропуск такой карточки (FN) стоит дороже всего, остальные уровни остаются нейтрально-серыми, чтобы фокус не «выгорел». Вердикт — номинальная категория, и его доли сравниваем длиной столбцов от общей нулевой линии с сортировкой по убыванию; круговая использовала бы угол, менее точный канал. Количество карточек кодируем длиной подписанных столбцов, а динамику — положением точек и линии на общей временной шкале; это два верхних уровня иерархии. Площадь пузырьков и интенсивность цвета для точного сравнения не берем, они в нижней части иерархии. Цвет Критичности держим одинаковым на всех панелях, чтобы у аналитика формировались устойчивые шаблоны. Так редкая критическая карточка видна преаттентивно (меньше FN), а серые столбцы не отнимают внимание (дешевле FP).</w:t>
      </w:r>
    </w:p>
    <w:p>
      <w:pPr>
        <w:pStyle w:val="Heading1"/>
      </w:pPr>
      <w:r>
        <w:t>3. Эскиз обзора карточек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22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21_ske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2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Эскиз обзора карточек: KPI, Критичность, Вердикт, доля FP по критичности, поступление по неделям</w:t>
      </w:r>
    </w:p>
    <w:p>
      <w:pPr>
        <w:pStyle w:val="ListBullet"/>
      </w:pPr>
      <w:r>
        <w:rPr>
          <w:b/>
        </w:rPr>
        <w:t>Преаттентивно выделяется:</w:t>
      </w:r>
      <w:r>
        <w:t xml:space="preserve"> красный столбец «Критическая» (на панелях критичности и доли FP) и красная точка пика на таймлайне. Остальное серое.</w:t>
      </w:r>
    </w:p>
    <w:p>
      <w:pPr>
        <w:pStyle w:val="ListBullet"/>
      </w:pPr>
      <w:r>
        <w:rPr>
          <w:b/>
        </w:rPr>
        <w:t>Группировка:</w:t>
      </w:r>
      <w:r>
        <w:t xml:space="preserve"> три KPI на общей светлой плашке (общая область); три столбчатых блока в одном ряду (близость); таймлайн — один непрерывный процесс (продолжение).</w:t>
      </w:r>
    </w:p>
    <w:p>
      <w:pPr>
        <w:pStyle w:val="ListBullet"/>
      </w:pPr>
      <w:r>
        <w:rPr>
          <w:b/>
        </w:rPr>
        <w:t>Вердикт</w:t>
      </w:r>
      <w:r>
        <w:t xml:space="preserve"> кодируется длиной серых столбцов по убыванию с подписью значения; собственного цвета у вердикта нет, чтобы не конкурировать с критичностью.</w:t>
      </w:r>
    </w:p>
    <w:p>
      <w:r>
        <w:t>Эскиз построен по реальным карточкам выборки iavd_1000 (не условные данные): 68 критических карточек, доля вердикта False Positive 18 %, пик поступления — 393 карточки за неделю 27.05–02.06.2024. На эскизе показан вердикт аналитика, а не модельная оценка.</w:t>
      </w:r>
    </w:p>
    <w:p>
      <w:pPr>
        <w:pStyle w:val="Heading1"/>
      </w:pPr>
      <w:r>
        <w:t>Соответствие чек-листу СРС (опорный конспект 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1"/>
              </w:rPr>
              <w:t>Пункт чек-листа</w:t>
            </w:r>
          </w:p>
        </w:tc>
        <w:tc>
          <w:tcPr>
            <w:tcW w:type="dxa" w:w="4986"/>
          </w:tcPr>
          <w:p>
            <w:r>
              <w:rPr>
                <w:b/>
                <w:sz w:val="21"/>
              </w:rPr>
              <w:t>Где в работе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Есть DIKW-проекция как основание выбора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1, столбец «Уровень DIKW»; проекция — СРС 1.3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Указаны 3–5 полей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1: 5 полей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Отдельно названы кодировки для трех пунктов и причина каждого выбора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2, таблица и обоснование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В эскизе различимы сигнальный акцент, группировка и вердикт аналитика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3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Вердикт не подменен модельным скором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3: показан вердикт аналитика</w:t>
            </w:r>
          </w:p>
        </w:tc>
      </w:tr>
      <w:tr>
        <w:tc>
          <w:tcPr>
            <w:tcW w:type="dxa" w:w="4986"/>
          </w:tcPr>
          <w:p>
            <w:r>
              <w:rPr>
                <w:sz w:val="21"/>
              </w:rPr>
              <w:t>Условные карточки не выдаются за реальные строки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Раздел 3: эскиз на реальной выборке, источник указан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