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Самостоятельная работа к занятию 2.3</w:t>
      </w:r>
    </w:p>
    <w:p>
      <w:r>
        <w:rPr>
          <w:i/>
        </w:rPr>
        <w:t>по лекции 2.2 «Принципы информационного дизайна»</w:t>
      </w:r>
    </w:p>
    <w:p>
      <w:pPr>
        <w:spacing w:after="0"/>
      </w:pPr>
      <w:r>
        <w:rPr>
          <w:b/>
        </w:rPr>
        <w:t xml:space="preserve">Курс: </w:t>
      </w:r>
      <w:r>
        <w:t>Интеллектуальный анализ и визуализация данных</w:t>
      </w:r>
    </w:p>
    <w:p>
      <w:pPr>
        <w:spacing w:after="0"/>
      </w:pPr>
      <w:r>
        <w:rPr>
          <w:b/>
        </w:rPr>
        <w:t xml:space="preserve">Модуль: </w:t>
      </w:r>
      <w:r>
        <w:t>2 · Информационный дизайн и дескриптивная аналитика</w:t>
      </w:r>
    </w:p>
    <w:p>
      <w:pPr>
        <w:spacing w:after="0"/>
      </w:pPr>
      <w:r>
        <w:rPr>
          <w:b/>
        </w:rPr>
        <w:t xml:space="preserve">Трек: </w:t>
      </w:r>
      <w:r>
        <w:t>ML-инжиниринг</w:t>
      </w:r>
    </w:p>
    <w:p>
      <w:pPr>
        <w:spacing w:after="0"/>
      </w:pPr>
      <w:r>
        <w:rPr>
          <w:b/>
        </w:rPr>
        <w:t xml:space="preserve">Выполнили: </w:t>
      </w:r>
      <w:r>
        <w:t>Храмов Владислав, Гарбуз Александр, Семенов Илья</w:t>
      </w:r>
    </w:p>
    <w:p>
      <w:pPr>
        <w:spacing w:after="0"/>
      </w:pPr>
      <w:r>
        <w:rPr>
          <w:b/>
        </w:rPr>
        <w:t xml:space="preserve">Группа: </w:t>
      </w:r>
      <w:r>
        <w:t>____________</w:t>
      </w:r>
    </w:p>
    <w:p>
      <w:pPr>
        <w:spacing w:after="0"/>
      </w:pPr>
      <w:r>
        <w:rPr>
          <w:b/>
        </w:rPr>
        <w:t xml:space="preserve">Датасет: </w:t>
      </w:r>
      <w:r>
        <w:t>iavd_1000_incidents_raw_target (1000 карточек × 97 полей); квартет Энскомба (опубликованные данные)</w:t>
      </w:r>
    </w:p>
    <w:p/>
    <w:p>
      <w:pPr>
        <w:pStyle w:val="Heading1"/>
      </w:pPr>
      <w:r>
        <w:t>Задание 1. Тезисы по квартету Энскомба</w:t>
      </w:r>
    </w:p>
    <w:p>
      <w:pPr>
        <w:pStyle w:val="ListNumber"/>
      </w:pPr>
      <w:r>
        <w:t>У всех четырех наборов совпадают n = 11, средние (x̄ = 9,0; ȳ ≈ 7,50), дисперсии (11,0 и ≈ 4,12), r ≈ 0,816, прямая y = 3,0 + 0,5x и R² ≈ 0,67 (пересчитано, таблица ниже), но формы разные: линейное облако, кривая, прямая с выбросом, вертикаль с одной далекой точкой.</w:t>
      </w:r>
    </w:p>
    <w:p>
      <w:pPr>
        <w:pStyle w:val="ListNumber"/>
      </w:pPr>
      <w:r>
        <w:t>Сводные числа сжимают данные и теряют форму связи, выбросы, нелинейность и кластеры. Линейная модель адекватна только набору I; в наборе II связь криволинейная, а в III и IV прямую определяет одна точка.</w:t>
      </w:r>
    </w:p>
    <w:p>
      <w:pPr>
        <w:pStyle w:val="ListNumber"/>
      </w:pPr>
      <w:r>
        <w:t>Сводки необходимы, но недостаточны: сначала смотрим на график (подход Тьюки), затем проверяем числа. В SOC одинаковое среднее число алертов или доля критических может скрывать разную динамику. Квартет показывает различие структуры данных, но не его причины.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>
              <w:rPr>
                <w:b/>
                <w:sz w:val="21"/>
              </w:rPr>
              <w:t>Набор</w:t>
            </w:r>
          </w:p>
        </w:tc>
        <w:tc>
          <w:tcPr>
            <w:tcW w:type="dxa" w:w="1108"/>
          </w:tcPr>
          <w:p>
            <w:r>
              <w:rPr>
                <w:b/>
                <w:sz w:val="21"/>
              </w:rPr>
              <w:t>n</w:t>
            </w:r>
          </w:p>
        </w:tc>
        <w:tc>
          <w:tcPr>
            <w:tcW w:type="dxa" w:w="1108"/>
          </w:tcPr>
          <w:p>
            <w:r>
              <w:rPr>
                <w:b/>
                <w:sz w:val="21"/>
              </w:rPr>
              <w:t>x̄</w:t>
            </w:r>
          </w:p>
        </w:tc>
        <w:tc>
          <w:tcPr>
            <w:tcW w:type="dxa" w:w="1108"/>
          </w:tcPr>
          <w:p>
            <w:r>
              <w:rPr>
                <w:b/>
                <w:sz w:val="21"/>
              </w:rPr>
              <w:t>ȳ</w:t>
            </w:r>
          </w:p>
        </w:tc>
        <w:tc>
          <w:tcPr>
            <w:tcW w:type="dxa" w:w="1108"/>
          </w:tcPr>
          <w:p>
            <w:r>
              <w:rPr>
                <w:b/>
                <w:sz w:val="21"/>
              </w:rPr>
              <w:t>s²x</w:t>
            </w:r>
          </w:p>
        </w:tc>
        <w:tc>
          <w:tcPr>
            <w:tcW w:type="dxa" w:w="1108"/>
          </w:tcPr>
          <w:p>
            <w:r>
              <w:rPr>
                <w:b/>
                <w:sz w:val="21"/>
              </w:rPr>
              <w:t>s²y</w:t>
            </w:r>
          </w:p>
        </w:tc>
        <w:tc>
          <w:tcPr>
            <w:tcW w:type="dxa" w:w="1108"/>
          </w:tcPr>
          <w:p>
            <w:r>
              <w:rPr>
                <w:b/>
                <w:sz w:val="21"/>
              </w:rPr>
              <w:t>r</w:t>
            </w:r>
          </w:p>
        </w:tc>
        <w:tc>
          <w:tcPr>
            <w:tcW w:type="dxa" w:w="1108"/>
          </w:tcPr>
          <w:p>
            <w:r>
              <w:rPr>
                <w:b/>
                <w:sz w:val="21"/>
              </w:rPr>
              <w:t>Прямая</w:t>
            </w:r>
          </w:p>
        </w:tc>
        <w:tc>
          <w:tcPr>
            <w:tcW w:type="dxa" w:w="1108"/>
          </w:tcPr>
          <w:p>
            <w:r>
              <w:rPr>
                <w:b/>
                <w:sz w:val="21"/>
              </w:rPr>
              <w:t>R²</w:t>
            </w:r>
          </w:p>
        </w:tc>
      </w:tr>
      <w:tr>
        <w:tc>
          <w:tcPr>
            <w:tcW w:type="dxa" w:w="1108"/>
          </w:tcPr>
          <w:p>
            <w:r>
              <w:rPr>
                <w:sz w:val="21"/>
              </w:rPr>
              <w:t>I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11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9,0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7,50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11,0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4,13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0,816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3,00 + 0,50x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0,67</w:t>
            </w:r>
          </w:p>
        </w:tc>
      </w:tr>
      <w:tr>
        <w:tc>
          <w:tcPr>
            <w:tcW w:type="dxa" w:w="1108"/>
          </w:tcPr>
          <w:p>
            <w:r>
              <w:rPr>
                <w:sz w:val="21"/>
              </w:rPr>
              <w:t>II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11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9,0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7,50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11,0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4,13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0,816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3,00 + 0,50x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0,67</w:t>
            </w:r>
          </w:p>
        </w:tc>
      </w:tr>
      <w:tr>
        <w:tc>
          <w:tcPr>
            <w:tcW w:type="dxa" w:w="1108"/>
          </w:tcPr>
          <w:p>
            <w:r>
              <w:rPr>
                <w:sz w:val="21"/>
              </w:rPr>
              <w:t>III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11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9,0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7,50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11,0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4,12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0,816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3,00 + 0,50x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0,67</w:t>
            </w:r>
          </w:p>
        </w:tc>
      </w:tr>
      <w:tr>
        <w:tc>
          <w:tcPr>
            <w:tcW w:type="dxa" w:w="1108"/>
          </w:tcPr>
          <w:p>
            <w:r>
              <w:rPr>
                <w:sz w:val="21"/>
              </w:rPr>
              <w:t>IV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11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9,0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7,50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11,0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4,12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0,817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3,00 + 0,50x</w:t>
            </w:r>
          </w:p>
        </w:tc>
        <w:tc>
          <w:tcPr>
            <w:tcW w:type="dxa" w:w="1108"/>
          </w:tcPr>
          <w:p>
            <w:r>
              <w:rPr>
                <w:sz w:val="21"/>
              </w:rPr>
              <w:t>0,67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5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22_anscom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Квартет Энскомба: одинаковая прямая регрессии при разной структуре данных</w:t>
      </w:r>
    </w:p>
    <w:p>
      <w:pPr>
        <w:pStyle w:val="Heading1"/>
      </w:pPr>
      <w:r>
        <w:t>Задание 2. Артефакт «до → после»</w:t>
      </w:r>
    </w:p>
    <w:p>
      <w:r>
        <w:rPr>
          <w:b/>
        </w:rPr>
        <w:t>Объект:</w:t>
      </w:r>
      <w:r>
        <w:t xml:space="preserve"> «Алерты по правилам SIEM» — топ-8 правил (поле «Наименование») по числу карточек в выборке из 1000 карточек. Пройдены шесть шагов чек-листа: инвентаризация, классификация, удаление безусловного мусора, работа с сеткой, легенда и подписи, цвет; затем контроль чтения.</w:t>
      </w:r>
    </w:p>
    <w:p>
      <w:r>
        <w:rPr>
          <w:b/>
        </w:rPr>
        <w:t>До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22_bef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До: 3D-столбцы, радужная заливка, легенда, частая сетка, тени и рамка</w:t>
      </w:r>
    </w:p>
    <w:p>
      <w:r>
        <w:rPr>
          <w:b/>
        </w:rPr>
        <w:t>После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48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22_af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После: плоские горизонтальные столбцы по убыванию, прямые подписи, один фокусный цвет</w:t>
      </w:r>
    </w:p>
    <w:p>
      <w:pPr>
        <w:pStyle w:val="Heading2"/>
      </w:pPr>
      <w:r>
        <w:t>Удаленные и замененные элементы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1"/>
              </w:rPr>
              <w:t>Элемент</w:t>
            </w:r>
          </w:p>
        </w:tc>
        <w:tc>
          <w:tcPr>
            <w:tcW w:type="dxa" w:w="3324"/>
          </w:tcPr>
          <w:p>
            <w:r>
              <w:rPr>
                <w:b/>
                <w:sz w:val="21"/>
              </w:rPr>
              <w:t>Почему не-данные</w:t>
            </w:r>
          </w:p>
        </w:tc>
        <w:tc>
          <w:tcPr>
            <w:tcW w:type="dxa" w:w="3324"/>
          </w:tcPr>
          <w:p>
            <w:r>
              <w:rPr>
                <w:b/>
                <w:sz w:val="21"/>
              </w:rPr>
              <w:t>Решение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3D-эффект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Не меняется при изменении данных, искажает пропорции высот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Плоские горизонтальные столбцы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Тени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Не несут данных, снижают контраст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Удалены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Внешняя толстая рамка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Не разделяет функциональные области; границу достраивает восприятие (завершенность)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Воздух вокруг графика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Темная частая сетка и ось значений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Значения подписаны напрямую, сетка дублирует канал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Удалены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Легенда в углу (метки R1–R8)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Заставляет переводить взгляд «столбец → угол → столбец»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Полные названия правил подписаны у столбцов (близость)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Радужная заливка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У тона нет порядка, он создает ложные различия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Серая база и один красный фокус на самом частом правиле</w:t>
            </w:r>
          </w:p>
        </w:tc>
      </w:tr>
    </w:tbl>
    <w:p/>
    <w:p>
      <w:r>
        <w:t>Сохранены как функциональные: столбцы, подписи значений, названия правил, заголовок (единица «число карточек» и объем выборки вынесены в него вместо отдельной подписи оси).</w:t>
      </w:r>
    </w:p>
    <w:p>
      <w:pPr>
        <w:pStyle w:val="Heading2"/>
      </w:pPr>
      <w:r>
        <w:t>Спорные элементы и условия решения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1"/>
              </w:rPr>
              <w:t>Элемент</w:t>
            </w:r>
          </w:p>
        </w:tc>
        <w:tc>
          <w:tcPr>
            <w:tcW w:type="dxa" w:w="3324"/>
          </w:tcPr>
          <w:p>
            <w:r>
              <w:rPr>
                <w:b/>
                <w:sz w:val="21"/>
              </w:rPr>
              <w:t>Решение в «после»</w:t>
            </w:r>
          </w:p>
        </w:tc>
        <w:tc>
          <w:tcPr>
            <w:tcW w:type="dxa" w:w="3324"/>
          </w:tcPr>
          <w:p>
            <w:r>
              <w:rPr>
                <w:b/>
                <w:sz w:val="21"/>
              </w:rPr>
              <w:t>Условие, при котором решение меняется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Сетка и ось значений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Убраны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Вернуть редкую бледную сетку за данными, если подписи значений убраны (например, при 20+ столбцах) или нужно сравнение с порогом / нормой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Легенда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Заменена прямыми подписями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Вернуть легенду рядом с графиком, если появится разбивка по сериям (например, по критичности) и прямые подписи начнут накладываться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Красный фокус на GL_FW_S04_Host_Port_Scan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Оставлен: правило дает 11 % потока и в 2,75 раза опережает следующее — главный кандидат на настройку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Если задача графика — нейтральное сравнение правил без вывода, все столбцы серые; красный в обзоре зарезервирован за сигналом «требует реакции»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Длинные технические названия правил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Оставлены полностью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Сокращать до кода правила (GL_FW_S04 и т. п.) только при узком месте на дашборде и с полным названием во всплывающей подсказке</w:t>
            </w:r>
          </w:p>
        </w:tc>
      </w:tr>
    </w:tbl>
    <w:p/>
    <w:p>
      <w:pPr>
        <w:pStyle w:val="Heading2"/>
      </w:pPr>
      <w:r>
        <w:t>Качественная оценка доли не-данных элементов</w:t>
      </w:r>
    </w:p>
    <w:p>
      <w:r>
        <w:t>До: из 10 элементов (столбцы, подписи значений, подписи осей, заголовок, рамка, сетка, легенда, тени, 3D, заливки) 6 были чистым украшением, сетка — спорной. После: остались 4 функциональных элемента (столбцы, подписи значений, названия правил, заголовок), декоративных нет. Доля не-данных элементов заметно снизилась; численный Data-ink ratio не рассчитывался — оценка качественная.</w:t>
      </w:r>
    </w:p>
    <w:p>
      <w:pPr>
        <w:pStyle w:val="Heading2"/>
      </w:pPr>
      <w:r>
        <w:t>Контроль чтения</w:t>
      </w:r>
    </w:p>
    <w:p>
      <w:r>
        <w:t>Главный сигнал читается за 3–5 секунд: правило GL_FW_S04_Host_Port_Scan (110 карточек) примерно в 2,75 раза чаще следующего (40). Необходимый контекст не потерян: единица и объем выборки указаны в заголовке, значения подписаны, названия правил полные. Проверка выполнена самостоятельно, без внешних испытуемых.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