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8" w:space="0" w:color="D8DFF0"/>
          <w:left w:val="single" w:sz="8" w:space="0" w:color="D8DFF0"/>
          <w:bottom w:val="single" w:sz="8" w:space="0" w:color="D8DFF0"/>
          <w:right w:val="single" w:sz="8" w:space="0" w:color="D8DFF0"/>
          <w:insideH w:val="single" w:sz="8" w:space="0" w:color="D8DFF0"/>
          <w:insideV w:val="single" w:sz="8" w:space="0" w:color="D8DFF0"/>
        </w:tblBorders>
      </w:tblPr>
      <w:tblGrid>
        <w:gridCol w:w="3200"/>
        <w:gridCol w:w="6400"/>
        <w:gridCol w:w="2400"/>
        <w:gridCol w:w="2600"/>
      </w:tblGrid>
      <w:tr>
        <w:tc>
          <w:tcPr>
            <w:tcW w:w="3200" w:type="dxa"/>
            <w:shd w:fill="F5F3FF"/>
          </w:tcPr>
          <w:p>
            <w:r>
              <w:rPr>
                <w:b/>
              </w:rPr>
              <w:t xml:space="preserve">Название</w:t>
            </w:r>
          </w:p>
        </w:tc>
        <w:tc>
          <w:tcPr>
            <w:tcW w:w="6400" w:type="dxa"/>
            <w:shd w:fill="F5F3FF"/>
          </w:tcPr>
          <w:p>
            <w:r>
              <w:rPr>
                <w:b/>
              </w:rPr>
              <w:t xml:space="preserve">Краткое описание</w:t>
            </w:r>
          </w:p>
        </w:tc>
        <w:tc>
          <w:tcPr>
            <w:tcW w:w="2400" w:type="dxa"/>
            <w:shd w:fill="F5F3FF"/>
          </w:tcPr>
          <w:p>
            <w:r>
              <w:rPr>
                <w:b/>
              </w:rPr>
              <w:t xml:space="preserve">Статус</w:t>
            </w:r>
          </w:p>
        </w:tc>
        <w:tc>
          <w:tcPr>
            <w:tcW w:w="2600" w:type="dxa"/>
            <w:shd w:fill="F5F3FF"/>
          </w:tcPr>
          <w:p>
            <w:r>
              <w:rPr>
                <w:b/>
              </w:rPr>
              <w:t xml:space="preserve">Примерный срок</w:t>
            </w:r>
          </w:p>
        </w:tc>
      </w:tr>
      <w:tr>
        <w:tc>
          <w:tcPr>
            <w:tcW w:w="3200" w:type="dxa"/>
          </w:tcPr>
          <w:p>
            <w:r>
              <w:t xml:space="preserve">Шагомер 2.0 + ВСР + Пульс покоя</w:t>
            </w:r>
          </w:p>
        </w:tc>
        <w:tc>
          <w:tcPr>
            <w:tcW w:w="6400" w:type="dxa"/>
          </w:tcPr>
          <w:p>
            <w:r>
              <w:t xml:space="preserve">1: повышает точность подсчета шагов и снижает расхождения с рыночными лидерами по метрике MAPE.</w:t>
              <w:br/>
              <w:t xml:space="preserve">2: обновляет расчет базовых метрик ВСР для оценки вегетативной регуляции; рефакторинг должен повысить устойчивость FW-реализации.</w:t>
              <w:br/>
              <w:t xml:space="preserve">3: формирует более корректный истинный пульс покоя как базу для кардио-аналитики и последующих пользовательских выводов.</w:t>
            </w:r>
          </w:p>
        </w:tc>
        <w:tc>
          <w:tcPr>
            <w:tcW w:w="2400" w:type="dxa"/>
          </w:tcPr>
          <w:p>
            <w:r>
              <w:t xml:space="preserve">Запланировано</w:t>
            </w:r>
          </w:p>
        </w:tc>
        <w:tc>
          <w:tcPr>
            <w:tcW w:w="2600" w:type="dxa"/>
          </w:tcPr>
          <w:p>
            <w:r>
              <w:t xml:space="preserve">05.08.2026</w:t>
            </w:r>
          </w:p>
        </w:tc>
      </w:tr>
      <w:tr>
        <w:tc>
          <w:tcPr>
            <w:tcW w:w="3200" w:type="dxa"/>
          </w:tcPr>
          <w:p>
            <w:r>
              <w:t xml:space="preserve">БЭН 2.0 + Улучшение гидратации + Гемоглобин PoC</w:t>
            </w:r>
          </w:p>
        </w:tc>
        <w:tc>
          <w:tcPr>
            <w:tcW w:w="6400" w:type="dxa"/>
          </w:tcPr>
          <w:p>
            <w:r>
              <w:t xml:space="preserve">1: обновляет стресс/EDA-контур и готовит основу для дальнейшего развития нейроактивности.</w:t>
              <w:br/>
              <w:t xml:space="preserve">2: повышает точность трекинга потерь жидкости и делает показатель гидратации ближе к реальной динамике веса/потерь воды.</w:t>
              <w:br/>
              <w:t xml:space="preserve">3: готовит среднесуточный показатель гемоглобина в браслете как часть направления лаборатории на руке; цель - приблизить оценку к данным анализа крови.</w:t>
            </w:r>
          </w:p>
        </w:tc>
        <w:tc>
          <w:tcPr>
            <w:tcW w:w="2400" w:type="dxa"/>
          </w:tcPr>
          <w:p>
            <w:r>
              <w:t xml:space="preserve">Запланировано</w:t>
            </w:r>
          </w:p>
        </w:tc>
        <w:tc>
          <w:tcPr>
            <w:tcW w:w="2600" w:type="dxa"/>
          </w:tcPr>
          <w:p>
            <w:r>
              <w:t xml:space="preserve">05.08.2026</w:t>
            </w:r>
          </w:p>
        </w:tc>
      </w:tr>
      <w:tr>
        <w:tc>
          <w:tcPr>
            <w:tcW w:w="3200" w:type="dxa"/>
          </w:tcPr>
          <w:p>
            <w:r>
              <w:t xml:space="preserve">Расход 2.0 + Объединение расходов + Улучшение Aritmo + Часовые пояса</w:t>
            </w:r>
          </w:p>
        </w:tc>
        <w:tc>
          <w:tcPr>
            <w:tcW w:w="6400" w:type="dxa"/>
          </w:tcPr>
          <w:p>
            <w:r>
              <w:t xml:space="preserve">1: уточняет расчет расхода калорий и повышает доверие к данным активности/энергозатрат.</w:t>
              <w:br/>
              <w:t xml:space="preserve">2: переводит модули на единый метод расчета расхода, уменьшая расхождения между разными частями продукта.</w:t>
              <w:br/>
              <w:t xml:space="preserve">3: оптимизирует длительность скрининга аритмий и добавляет класс иных аритмий, расширяя полезность кардио-мониторинга.</w:t>
              <w:br/>
              <w:t xml:space="preserve">4: снижает риск потери или полного обнуления данных при перелетах и смене timezone; конфликтные данные должны ограничиваться только периодом сдвига времени.</w:t>
            </w:r>
          </w:p>
        </w:tc>
        <w:tc>
          <w:tcPr>
            <w:tcW w:w="2400" w:type="dxa"/>
          </w:tcPr>
          <w:p>
            <w:r>
              <w:t xml:space="preserve">Запланировано</w:t>
            </w:r>
          </w:p>
        </w:tc>
        <w:tc>
          <w:tcPr>
            <w:tcW w:w="2600" w:type="dxa"/>
          </w:tcPr>
          <w:p>
            <w:r>
              <w:t xml:space="preserve">05.10.2026</w:t>
            </w:r>
          </w:p>
        </w:tc>
      </w:tr>
      <w:tr>
        <w:tc>
          <w:tcPr>
            <w:tcW w:w="3200" w:type="dxa"/>
          </w:tcPr>
          <w:p>
            <w:r>
              <w:t xml:space="preserve">ЧСС 2.0</w:t>
            </w:r>
          </w:p>
        </w:tc>
        <w:tc>
          <w:tcPr>
            <w:tcW w:w="6400" w:type="dxa"/>
          </w:tcPr>
          <w:p>
            <w:r>
              <w:t xml:space="preserve">Влияние релиза: улучшает точность трекинга ЧСС и сравнение с конкурентами, чтобы приблизить качество измерений к лидерам рынка.</w:t>
            </w:r>
          </w:p>
        </w:tc>
        <w:tc>
          <w:tcPr>
            <w:tcW w:w="2400" w:type="dxa"/>
          </w:tcPr>
          <w:p>
            <w:r>
              <w:t xml:space="preserve">Запланировано</w:t>
            </w:r>
          </w:p>
        </w:tc>
        <w:tc>
          <w:tcPr>
            <w:tcW w:w="2600" w:type="dxa"/>
          </w:tcPr>
          <w:p>
            <w:r>
              <w:t xml:space="preserve">05.12.2026</w:t>
            </w:r>
          </w:p>
        </w:tc>
      </w:tr>
      <w:tr>
        <w:tc>
          <w:tcPr>
            <w:tcW w:w="3200" w:type="dxa"/>
          </w:tcPr>
          <w:p>
            <w:r>
              <w:t xml:space="preserve">Сон 2.0 + Тремор Паркинсон + Тремор психологический</w:t>
            </w:r>
          </w:p>
        </w:tc>
        <w:tc>
          <w:tcPr>
            <w:tcW w:w="6400" w:type="dxa"/>
          </w:tcPr>
          <w:p>
            <w:r>
              <w:t xml:space="preserve">1: уточняет определение начала/конца сна и фаз сна, повышая практическую ценность sleep-аналитики для пользователя.</w:t>
              <w:br/>
              <w:t xml:space="preserve">2: добавляет оценку тремора, сопоставимую с клиническими шкалами UPDRS, в контуре GoBeU.</w:t>
              <w:br/>
              <w:t xml:space="preserve">3: добавляет детекцию стрессового/психогенного тремора и связывает его с пиками КГР, усиливая контур стресс-аналитики.</w:t>
            </w:r>
          </w:p>
        </w:tc>
        <w:tc>
          <w:tcPr>
            <w:tcW w:w="2400" w:type="dxa"/>
          </w:tcPr>
          <w:p>
            <w:r>
              <w:t xml:space="preserve">Запланировано</w:t>
            </w:r>
          </w:p>
        </w:tc>
        <w:tc>
          <w:tcPr>
            <w:tcW w:w="2600" w:type="dxa"/>
          </w:tcPr>
          <w:p>
            <w:r>
              <w:t xml:space="preserve">05.02.2027</w:t>
            </w:r>
          </w:p>
        </w:tc>
      </w:tr>
    </w:tbl>
    <w:sectPr>
      <w:pgSz w:w="11906" w:h="16838"/>
      <w:pgMar w:top="1134" w:right="850" w:bottom="1134" w:left="850" w:header="708" w:footer="708" w:gutter="0"/>
    </w:sectPr>
  </w:body>
</w:document>
</file>