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21.png" ContentType="image/png"/>
  <Override PartName="/word/media/image19.png" ContentType="image/png"/>
  <Override PartName="/word/media/image5.png" ContentType="image/png"/>
  <Override PartName="/word/media/image14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8.png" ContentType="image/png"/>
  <Override PartName="/word/media/image1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Default"/>
        <w:numPr>
          <w:ilvl w:val="0"/>
          <w:numId w:val="1"/>
        </w:numPr>
        <w:ind w:hanging="360" w:left="360"/>
        <w:rPr>
          <w:sz w:val="28"/>
          <w:szCs w:val="28"/>
        </w:rPr>
      </w:pPr>
      <w:r>
        <w:rPr>
          <w:sz w:val="28"/>
          <w:szCs w:val="28"/>
        </w:rPr>
        <w:t xml:space="preserve">Предп осылки создания программируемой логики. Общая структура кристалла FPGA. Основные блоки, входящие в структуру кристалла, их расположение, организация соединений. Л.1, 4-5 (от17слайда)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2.Структура наборного логического блока (LAB) и организация блока MLAB. Л.2-3</w:t>
      </w:r>
    </w:p>
    <w:p>
      <w:pPr>
        <w:pStyle w:val="Normal"/>
        <w:rPr>
          <w:lang w:val="en-US"/>
        </w:rPr>
      </w:pPr>
      <w:r>
        <w:rPr/>
        <w:t xml:space="preserve">Это </w:t>
      </w:r>
      <w:r>
        <w:rPr>
          <w:lang w:val="en-US"/>
        </w:rPr>
        <w:t>alm</w:t>
      </w:r>
    </w:p>
    <w:p>
      <w:pPr>
        <w:pStyle w:val="Normal"/>
        <w:rPr/>
      </w:pPr>
      <w:r>
        <w:rPr/>
        <w:drawing>
          <wp:inline distT="0" distB="0" distL="0" distR="0">
            <wp:extent cx="6365240" cy="406971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rPr/>
      </w:pPr>
      <w:r>
        <w:rPr/>
        <w:t xml:space="preserve">3.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Как определяется максимальное время задержки в схемах, реализуемых на FPGA? Л.4-5(слайд 7) </w:t>
      </w:r>
    </w:p>
    <w:p>
      <w:pPr>
        <w:pStyle w:val="Normal"/>
        <w:rPr/>
      </w:pPr>
      <w:r>
        <w:rPr/>
        <w:drawing>
          <wp:inline distT="0" distB="0" distL="0" distR="0">
            <wp:extent cx="6353175" cy="2733675"/>
            <wp:effectExtent l="0" t="0" r="0" b="0"/>
            <wp:docPr id="2" name="Рисунок 2" descr="C:\Users\Elemnt45\YandexDisk\Скриншоты\2025-01-04_14-16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C:\Users\Elemnt45\YandexDisk\Скриншоты\2025-01-04_14-16-53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365240" cy="3987800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365240" cy="3149600"/>
            <wp:effectExtent l="0" t="0" r="0" b="0"/>
            <wp:docPr id="4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Default"/>
        <w:rPr/>
      </w:pPr>
      <w:r>
        <w:rPr/>
        <w:t xml:space="preserve">4.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Необходимость присвоения различных типов данных при программировании устройства в FPGA. Л.1 </w:t>
      </w:r>
    </w:p>
    <w:p>
      <w:pPr>
        <w:pStyle w:val="Normal"/>
        <w:rPr/>
      </w:pPr>
      <w:r>
        <w:rPr/>
        <w:drawing>
          <wp:inline distT="0" distB="0" distL="0" distR="0">
            <wp:extent cx="6365240" cy="3559810"/>
            <wp:effectExtent l="0" t="0" r="0" b="0"/>
            <wp:docPr id="5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365240" cy="2911475"/>
            <wp:effectExtent l="0" t="0" r="0" b="0"/>
            <wp:docPr id="6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блокирующее и неблокирующее присвоение</w:t>
      </w:r>
    </w:p>
    <w:p>
      <w:pPr>
        <w:pStyle w:val="Normal"/>
        <w:rPr/>
      </w:pPr>
      <w:r>
        <w:rPr/>
        <w:drawing>
          <wp:inline distT="0" distB="0" distL="0" distR="0">
            <wp:extent cx="6365240" cy="4398010"/>
            <wp:effectExtent l="0" t="0" r="0" b="0"/>
            <wp:docPr id="7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5. Основные управляющие сигналы, поступающие на адаптивный логический модуль. Работу каких устройств регулируют эти сигналы? Л.2-3; 4-5.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/>
        <w:drawing>
          <wp:inline distT="0" distB="0" distL="0" distR="0">
            <wp:extent cx="6365240" cy="2589530"/>
            <wp:effectExtent l="0" t="0" r="0" b="0"/>
            <wp:docPr id="8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/>
        <w:drawing>
          <wp:inline distT="0" distB="0" distL="0" distR="0">
            <wp:extent cx="6365240" cy="3265805"/>
            <wp:effectExtent l="0" t="0" r="0" b="0"/>
            <wp:docPr id="9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365240" cy="1125855"/>
            <wp:effectExtent l="0" t="0" r="0" b="0"/>
            <wp:docPr id="10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365240" cy="5616575"/>
            <wp:effectExtent l="0" t="0" r="0" b="0"/>
            <wp:docPr id="11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5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6. Структура и принцип функционирования конечного автомата. Синтез конечных автоматов в FPGA. Л.4-5. </w:t>
      </w:r>
    </w:p>
    <w:p>
      <w:pPr>
        <w:pStyle w:val="Normal"/>
        <w:rPr/>
      </w:pPr>
      <w:r>
        <w:rPr/>
        <w:drawing>
          <wp:inline distT="0" distB="0" distL="0" distR="0">
            <wp:extent cx="6365240" cy="3593465"/>
            <wp:effectExtent l="0" t="0" r="0" b="0"/>
            <wp:docPr id="12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365240" cy="2628900"/>
            <wp:effectExtent l="0" t="0" r="0" b="0"/>
            <wp:docPr id="13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 xml:space="preserve">7. Способы организации выделенной памяти в 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FPGA. Структура такой памяти. Л. 2-3.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Normal"/>
        <w:rPr/>
      </w:pPr>
      <w:r>
        <w:rPr/>
        <w:drawing>
          <wp:inline distT="0" distB="0" distL="0" distR="0">
            <wp:extent cx="6365240" cy="3131185"/>
            <wp:effectExtent l="0" t="0" r="0" b="0"/>
            <wp:docPr id="14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365240" cy="2772410"/>
            <wp:effectExtent l="0" t="0" r="0" b="0"/>
            <wp:docPr id="15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4"/>
          <w:szCs w:val="24"/>
        </w:rPr>
      </w:pPr>
      <w:r>
        <w:rPr/>
        <w:drawing>
          <wp:inline distT="0" distB="0" distL="0" distR="0">
            <wp:extent cx="4991100" cy="1143000"/>
            <wp:effectExtent l="0" t="0" r="0" b="0"/>
            <wp:docPr id="16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 xml:space="preserve"> 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Одно-портовая и двух-портовая память. Л. 2-3. </w:t>
      </w:r>
    </w:p>
    <w:p>
      <w:pPr>
        <w:pStyle w:val="Normal"/>
        <w:rPr/>
      </w:pPr>
      <w:r>
        <w:rPr/>
        <w:t xml:space="preserve">В одно-портовой памяти регистр адреса единый для записи и для считывания. </w:t>
      </w:r>
    </w:p>
    <w:p>
      <w:pPr>
        <w:pStyle w:val="Normal"/>
        <w:rPr/>
      </w:pPr>
      <w:r>
        <w:rPr/>
        <w:t>В двух-портовой памяти регистры адреса для записи и для считывания раздельные, что позволяет производить эти процессы одновременно, но обращаясь к разным ячейкам.</w:t>
      </w:r>
    </w:p>
    <w:p>
      <w:pPr>
        <w:pStyle w:val="Normal"/>
        <w:rPr/>
      </w:pPr>
      <w:r>
        <w:rPr/>
        <w:drawing>
          <wp:inline distT="0" distB="0" distL="0" distR="0">
            <wp:extent cx="6365240" cy="3898265"/>
            <wp:effectExtent l="0" t="0" r="0" b="0"/>
            <wp:docPr id="17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365240" cy="2734310"/>
            <wp:effectExtent l="0" t="0" r="0" b="0"/>
            <wp:docPr id="18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6365240" cy="3160395"/>
            <wp:effectExtent l="0" t="0" r="0" b="0"/>
            <wp:docPr id="19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6365240" cy="2997835"/>
            <wp:effectExtent l="0" t="0" r="0" b="0"/>
            <wp:docPr id="20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2"/>
        </w:numPr>
        <w:rPr>
          <w:color w:val="FF0000"/>
        </w:rPr>
      </w:pPr>
      <w:r>
        <w:rPr>
          <w:color w:val="FF0000"/>
        </w:rPr>
        <w:t>Каким образом обеспечивается синхронизация всех узлов устройства, функционирующего в FPGA? Л. 4-5(слайд 29).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Частота, поступающая на </w:t>
      </w:r>
      <w:r>
        <w:rPr>
          <w:lang w:val="en-US"/>
        </w:rPr>
        <w:t>FPGA</w:t>
      </w:r>
      <w:r>
        <w:rPr/>
        <w:t>, образует сетевую иерархию.</w:t>
      </w:r>
    </w:p>
    <w:p>
      <w:pPr>
        <w:pStyle w:val="ListParagraph"/>
        <w:numPr>
          <w:ilvl w:val="0"/>
          <w:numId w:val="4"/>
        </w:numPr>
        <w:rPr/>
      </w:pPr>
      <w:r>
        <w:rPr/>
        <w:t>Глобальные частотные сети (</w:t>
      </w:r>
      <w:r>
        <w:rPr>
          <w:lang w:val="en-US"/>
        </w:rPr>
        <w:t>GCLK).</w:t>
      </w:r>
    </w:p>
    <w:p>
      <w:pPr>
        <w:pStyle w:val="ListParagraph"/>
        <w:numPr>
          <w:ilvl w:val="0"/>
          <w:numId w:val="4"/>
        </w:numPr>
        <w:rPr/>
      </w:pPr>
      <w:r>
        <w:rPr/>
        <w:t>Региональные частотные сети (</w:t>
      </w:r>
      <w:r>
        <w:rPr>
          <w:lang w:val="en-US"/>
        </w:rPr>
        <w:t>RCLK).</w:t>
      </w:r>
    </w:p>
    <w:p>
      <w:pPr>
        <w:pStyle w:val="ListParagraph"/>
        <w:numPr>
          <w:ilvl w:val="0"/>
          <w:numId w:val="4"/>
        </w:numPr>
        <w:rPr/>
      </w:pPr>
      <w:r>
        <w:rPr/>
        <w:t>Периферийные частотные сети (</w:t>
      </w:r>
      <w:r>
        <w:rPr>
          <w:lang w:val="en-US"/>
        </w:rPr>
        <w:t>PCLK).</w:t>
      </w:r>
    </w:p>
    <w:p>
      <w:pPr>
        <w:pStyle w:val="ListParagraph"/>
        <w:rPr/>
      </w:pPr>
      <w:r>
        <w:rPr/>
        <w:t xml:space="preserve">Частота, подаваемая в кристалл, поступает на блок </w:t>
      </w:r>
      <w:r>
        <w:rPr>
          <w:lang w:val="en-US"/>
        </w:rPr>
        <w:t>External</w:t>
      </w:r>
      <w:r>
        <w:rPr/>
        <w:t xml:space="preserve"> </w:t>
      </w:r>
      <w:r>
        <w:rPr>
          <w:lang w:val="en-US"/>
        </w:rPr>
        <w:t>PLL</w:t>
      </w:r>
      <w:r>
        <w:rPr/>
        <w:t xml:space="preserve"> (внешний блок фазовой подстройки). Кроме внесения задержек, этот блок позволяет увеличить или уменьшить частоту. Для сохранения параметров сигнала частоты в кристалле существует сеть фракциональных </w:t>
      </w:r>
      <w:r>
        <w:rPr>
          <w:lang w:val="en-US"/>
        </w:rPr>
        <w:t>PLL</w:t>
      </w:r>
      <w:r>
        <w:rPr/>
        <w:t>.</w:t>
      </w:r>
    </w:p>
    <w:p>
      <w:pPr>
        <w:pStyle w:val="Default"/>
        <w:rPr/>
      </w:pPr>
      <w:r>
        <w:rPr/>
      </w:r>
    </w:p>
    <w:p>
      <w:pPr>
        <w:pStyle w:val="Default"/>
        <w:rPr/>
      </w:pPr>
      <w:r>
        <w:rPr/>
        <w:t xml:space="preserve"> </w:t>
      </w:r>
    </w:p>
    <w:p>
      <w:pPr>
        <w:pStyle w:val="Default"/>
        <w:numPr>
          <w:ilvl w:val="0"/>
          <w:numId w:val="2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Типы частотных сетей. Особенности формирования и распространения сигнала для каждого типа. </w:t>
      </w:r>
    </w:p>
    <w:p>
      <w:pPr>
        <w:pStyle w:val="ListParagraph"/>
        <w:numPr>
          <w:ilvl w:val="0"/>
          <w:numId w:val="2"/>
        </w:numPr>
        <w:rPr>
          <w:color w:val="FF0000"/>
        </w:rPr>
      </w:pPr>
      <w:r>
        <w:rPr>
          <w:color w:val="FF0000"/>
        </w:rPr>
        <w:t>Понятие стволовой частоты. Основные блоки преобразования частоты в FPGA.</w:t>
      </w:r>
    </w:p>
    <w:p>
      <w:pPr>
        <w:pStyle w:val="ListParagraph"/>
        <w:numPr>
          <w:ilvl w:val="0"/>
          <w:numId w:val="2"/>
        </w:numPr>
        <w:rPr/>
      </w:pPr>
      <w:r>
        <w:rPr>
          <w:color w:val="FF0000"/>
        </w:rPr>
        <w:t>Аппаратные возможности для последовательной передачи данных в среде FPGA.</w:t>
      </w:r>
    </w:p>
    <w:p>
      <w:pPr>
        <w:pStyle w:val="ListParagraph"/>
        <w:numPr>
          <w:ilvl w:val="0"/>
          <w:numId w:val="2"/>
        </w:numPr>
        <w:rPr/>
      </w:pPr>
      <w:r>
        <w:rPr/>
        <w:t>Шина PCIe. Принцип построения, структура передачи информации, назначение.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t xml:space="preserve">18. </w:t>
      </w:r>
      <w:r>
        <w:rPr/>
        <w:drawing>
          <wp:inline distT="0" distB="0" distL="0" distR="0">
            <wp:extent cx="6365240" cy="3162935"/>
            <wp:effectExtent l="0" t="0" r="0" b="0"/>
            <wp:docPr id="21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type w:val="nextPage"/>
      <w:pgSz w:w="11906" w:h="17338"/>
      <w:pgMar w:left="1715" w:right="167" w:gutter="0" w:header="0" w:top="1545" w:footer="0" w:bottom="1209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swiss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8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Noto Sans Devanagari"/>
    </w:rPr>
  </w:style>
  <w:style w:type="paragraph" w:styleId="Default" w:customStyle="1">
    <w:name w:val="Default"/>
    <w:qFormat/>
    <w:rsid w:val="00015ae3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en-US" w:bidi="ar-SA"/>
    </w:rPr>
  </w:style>
  <w:style w:type="paragraph" w:styleId="ListParagraph">
    <w:name w:val="List Paragraph"/>
    <w:basedOn w:val="Normal"/>
    <w:uiPriority w:val="34"/>
    <w:qFormat/>
    <w:rsid w:val="00b87d74"/>
    <w:pPr>
      <w:spacing w:before="0" w:after="160"/>
      <w:ind w:left="720"/>
      <w:contextualSpacing/>
    </w:pPr>
    <w:rPr/>
  </w:style>
  <w:style w:type="numbering" w:styleId="Style16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Application>LibreOffice/24.2.6.2$Linux_X86_64 LibreOffice_project/420$Build-2</Application>
  <AppVersion>15.0000</AppVersion>
  <Pages>3</Pages>
  <Words>259</Words>
  <Characters>1736</Characters>
  <CharactersWithSpaces>1978</CharactersWithSpaces>
  <Paragraphs>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2025-01-03T14:04:00Z</dcterms:created>
  <dc:creator>иван мудрак</dc:creator>
  <dc:description/>
  <dc:language>ru-RU</dc:language>
  <cp:lastModifiedBy/>
  <dcterms:modified xsi:type="dcterms:W3CDTF">2025-01-05T14:28:36Z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