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№5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hint="default"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lang w:val="ru-RU"/>
            </w:rPr>
            <w:t>Параллельное вычисление логарифмов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55B59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E3A2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4DCA16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47222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настоящей лабораторной работе следует разработать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программу, которая будет вычислять логарифмы для нескольких чисел параллельно. Каждый поток должен обрабатывать одно число.</w:t>
      </w:r>
    </w:p>
    <w:p w14:paraId="2E3747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38AB153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точки входа в программу. Разработка класса 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функцией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создающего экземпляры класса логарифмов и вызывающего методы для работы с введенными данными.</w:t>
      </w:r>
    </w:p>
    <w:p w14:paraId="3AFE2AB6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Написание функций ввода и вывода данных. </w:t>
      </w:r>
    </w:p>
    <w:p w14:paraId="1F2B71F9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Определение цикла, в котором создается и запускается поток для каждого введенного значения.</w:t>
      </w:r>
    </w:p>
    <w:p w14:paraId="14856AD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"LogClc"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наследуемого от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"Thread"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содержащего поток для вычисления логарифма числа.</w:t>
      </w:r>
    </w:p>
    <w:p w14:paraId="6609511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6CD1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2948305" cy="4542155"/>
            <wp:effectExtent l="0" t="0" r="4445" b="1270"/>
            <wp:docPr id="4" name="Изображение 4" descr="Untitled Diagram.drawio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ntitled Diagram.drawio (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3883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Алгоритм программы</w:t>
      </w:r>
    </w:p>
    <w:p w14:paraId="47B15B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10A6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873625" cy="3147695"/>
            <wp:effectExtent l="0" t="0" r="3175" b="50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64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2 -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работы программы</w:t>
      </w:r>
    </w:p>
    <w:p w14:paraId="68D2CA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58294D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«lab_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23384348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lab_3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java.util.Scanner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lab_3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static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args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throws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InterruptedException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"----------------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[1;31mLOG THREADS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----------------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"Enter values: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\n\t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считывание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inp_data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= 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.nextLine()).split(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EDFCED"/>
        </w:rPr>
        <w:t>\\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EDFCED"/>
        </w:rPr>
        <w:t>s*,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EDFCED"/>
        </w:rPr>
        <w:t>\\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EDFCED"/>
        </w:rPr>
        <w:t>s*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введенных чисел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double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result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new double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length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LogClc new_thread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do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создание потока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new_thread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LogClc(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"LogClc 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Integer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parseInt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запуск потока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new_thread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.start();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обавление потока в очередь исполнения (по порядку)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new_thread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.join();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запись вычисленного значения в результирующий массив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result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 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new_thread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++;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while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length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Calculations finished...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вывод результата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--------------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[1;31mCALCULATED LOGS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--------------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"{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++)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"%s: %f,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result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"%s: %f"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result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}"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3E343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99F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LogClc.java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229DC6E3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lab_3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класс-обработчик потока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LogClc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extends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Thread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value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double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конструктор класса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// задание имени потока и значения для вычисления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LogClc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 name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value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super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name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value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value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получение вычисленного значения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double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функция вычисления логарифма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// исполняется при запуске потока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run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[1;31m[%s]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[0m: started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currentThread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().getName());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блок для обработки прерываний потока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try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log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Math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value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sleep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catch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InterruptedException 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%s has been interrupted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currentThread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().getName());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[1;31m[%s]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[0m: finished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currentThread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().getName());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1CC08"/>
    <w:multiLevelType w:val="multilevel"/>
    <w:tmpl w:val="EB81CC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17C07C5"/>
    <w:multiLevelType w:val="multilevel"/>
    <w:tmpl w:val="F17C07C5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8621D64"/>
    <w:rsid w:val="0AA427AF"/>
    <w:rsid w:val="0B0A2FA9"/>
    <w:rsid w:val="0B96089F"/>
    <w:rsid w:val="0D092341"/>
    <w:rsid w:val="0D6C443A"/>
    <w:rsid w:val="0DC34763"/>
    <w:rsid w:val="109B2811"/>
    <w:rsid w:val="12065558"/>
    <w:rsid w:val="12FB4A33"/>
    <w:rsid w:val="137F064B"/>
    <w:rsid w:val="13D7532F"/>
    <w:rsid w:val="16163175"/>
    <w:rsid w:val="1741697B"/>
    <w:rsid w:val="19F01EED"/>
    <w:rsid w:val="1A6D59E1"/>
    <w:rsid w:val="1A980C31"/>
    <w:rsid w:val="1AC241E4"/>
    <w:rsid w:val="1AD31D10"/>
    <w:rsid w:val="1DEA22A2"/>
    <w:rsid w:val="1EBF4D22"/>
    <w:rsid w:val="1FB65A15"/>
    <w:rsid w:val="20901C1B"/>
    <w:rsid w:val="245D5BE0"/>
    <w:rsid w:val="24BE79A8"/>
    <w:rsid w:val="27E87CA0"/>
    <w:rsid w:val="28691DDD"/>
    <w:rsid w:val="2E91572E"/>
    <w:rsid w:val="2EBC3A3B"/>
    <w:rsid w:val="2FF851B5"/>
    <w:rsid w:val="2FFD79D3"/>
    <w:rsid w:val="32162C04"/>
    <w:rsid w:val="32777ADD"/>
    <w:rsid w:val="33297106"/>
    <w:rsid w:val="36B17579"/>
    <w:rsid w:val="37A83712"/>
    <w:rsid w:val="38242C07"/>
    <w:rsid w:val="38D73850"/>
    <w:rsid w:val="3AF215C1"/>
    <w:rsid w:val="3F433C09"/>
    <w:rsid w:val="3FDB52D2"/>
    <w:rsid w:val="40046F67"/>
    <w:rsid w:val="43442C70"/>
    <w:rsid w:val="43807B92"/>
    <w:rsid w:val="46534D53"/>
    <w:rsid w:val="46544EA3"/>
    <w:rsid w:val="47002199"/>
    <w:rsid w:val="47A567E2"/>
    <w:rsid w:val="4892387F"/>
    <w:rsid w:val="48CA009A"/>
    <w:rsid w:val="48F61CC2"/>
    <w:rsid w:val="4BB308C1"/>
    <w:rsid w:val="4E500750"/>
    <w:rsid w:val="4F7F7D34"/>
    <w:rsid w:val="50383E5C"/>
    <w:rsid w:val="5041684C"/>
    <w:rsid w:val="518178B5"/>
    <w:rsid w:val="51F95C83"/>
    <w:rsid w:val="52E379B3"/>
    <w:rsid w:val="53886ED3"/>
    <w:rsid w:val="53F95C12"/>
    <w:rsid w:val="595562D5"/>
    <w:rsid w:val="597F77E2"/>
    <w:rsid w:val="5B6570A5"/>
    <w:rsid w:val="5C3B496D"/>
    <w:rsid w:val="5E5879D5"/>
    <w:rsid w:val="5E71264A"/>
    <w:rsid w:val="6240105D"/>
    <w:rsid w:val="65C315E9"/>
    <w:rsid w:val="68345EBC"/>
    <w:rsid w:val="68D2774B"/>
    <w:rsid w:val="6962656F"/>
    <w:rsid w:val="69823777"/>
    <w:rsid w:val="699F5234"/>
    <w:rsid w:val="6A076B39"/>
    <w:rsid w:val="6B6F6DBB"/>
    <w:rsid w:val="6D560C38"/>
    <w:rsid w:val="6DB53A2C"/>
    <w:rsid w:val="6DE42033"/>
    <w:rsid w:val="6DF10F75"/>
    <w:rsid w:val="6F5C6481"/>
    <w:rsid w:val="6FD82C94"/>
    <w:rsid w:val="711B7891"/>
    <w:rsid w:val="72E70642"/>
    <w:rsid w:val="747538CC"/>
    <w:rsid w:val="76B07C4B"/>
    <w:rsid w:val="77F07E6C"/>
    <w:rsid w:val="7A2405F1"/>
    <w:rsid w:val="7A86498E"/>
    <w:rsid w:val="7B0A4C1C"/>
    <w:rsid w:val="7DE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3"/>
    <w:semiHidden/>
    <w:qFormat/>
    <w:uiPriority w:val="99"/>
    <w:rPr>
      <w:color w:val="80808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2024-12-09T16:03:33Z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