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40"/>
      </w:pPr>
      <w:r>
        <w:rPr>
          <w:rFonts w:ascii="Segoe UI" w:hAnsi="Segoe UI"/>
          <w:b/>
          <w:color w:val="1E3A8A"/>
          <w:sz w:val="44"/>
        </w:rPr>
        <w:t>Model Evaluation Metrics and Cross-Validation</w:t>
      </w:r>
    </w:p>
    <w:p>
      <w:pPr>
        <w:keepNext/>
        <w:spacing w:before="320" w:after="120"/>
        <w:pBdr>
          <w:bottom w:val="single" w:sz="6" w:space="4" w:color="E2E8F0"/>
        </w:pBdr>
      </w:pPr>
      <w:r>
        <w:rPr>
          <w:rFonts w:ascii="Segoe UI" w:hAnsi="Segoe UI"/>
          <w:b/>
          <w:color w:val="1E3A8A"/>
          <w:sz w:val="30"/>
        </w:rPr>
        <w:t>Model Evaluation Metrics for Regression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Mean Squared Error (MSE): </w:t>
      </w:r>
      <w:r>
        <w:rPr>
          <w:rFonts w:ascii="Segoe UI" w:hAnsi="Segoe UI"/>
          <w:color w:val="1F2937"/>
          <w:sz w:val="21"/>
        </w:rPr>
        <w:t>Measures the average squared difference between predicted and actual values. It is highly sensitive to outliers due to the squaring of errors.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Mean Absolute Error (MAE): </w:t>
      </w:r>
      <w:r>
        <w:rPr>
          <w:rFonts w:ascii="Segoe UI" w:hAnsi="Segoe UI"/>
          <w:color w:val="1F2937"/>
          <w:sz w:val="21"/>
        </w:rPr>
        <w:t>Measures the average absolute difference between predicted and actual values. It provides a more robust and easily interpretable measure of error.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Root Mean Squared Error (RMSE): </w:t>
      </w:r>
      <w:r>
        <w:rPr>
          <w:rFonts w:ascii="Segoe UI" w:hAnsi="Segoe UI"/>
          <w:color w:val="1F2937"/>
          <w:sz w:val="21"/>
        </w:rPr>
        <w:t>The square root of MSE. It provides error metrics in the same units as the target variable, making interpretation intuitive.</w:t>
      </w:r>
    </w:p>
    <w:p>
      <w:pPr>
        <w:keepNext/>
        <w:spacing w:before="320" w:after="120"/>
        <w:pBdr>
          <w:bottom w:val="single" w:sz="6" w:space="4" w:color="E2E8F0"/>
        </w:pBdr>
      </w:pPr>
      <w:r>
        <w:rPr>
          <w:rFonts w:ascii="Segoe UI" w:hAnsi="Segoe UI"/>
          <w:b/>
          <w:color w:val="1E3A8A"/>
          <w:sz w:val="30"/>
        </w:rPr>
        <w:t>Model Evaluation Metrics for Classification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Accuracy: </w:t>
      </w:r>
      <w:r>
        <w:rPr>
          <w:rFonts w:ascii="Segoe UI" w:hAnsi="Segoe UI"/>
          <w:color w:val="1F2937"/>
          <w:sz w:val="21"/>
        </w:rPr>
        <w:t>The proportion of correctly predicted instances out of total instances. It is useful when classes are balanced but misleading for imbalanced datasets.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Precision: </w:t>
      </w:r>
      <w:r>
        <w:rPr>
          <w:rFonts w:ascii="Segoe UI" w:hAnsi="Segoe UI"/>
          <w:color w:val="1F2937"/>
          <w:sz w:val="21"/>
        </w:rPr>
        <w:t>The fraction of positive predictions that are correct. Crucial when false positives are costly (e.g., spam filters or fraud detection).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Recall (Sensitivity): </w:t>
      </w:r>
      <w:r>
        <w:rPr>
          <w:rFonts w:ascii="Segoe UI" w:hAnsi="Segoe UI"/>
          <w:color w:val="1F2937"/>
          <w:sz w:val="21"/>
        </w:rPr>
        <w:t>The fraction of actual positive instances that are correctly identified. Important when false negatives are critical (e.g., medical diagnoses).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F1 Score: </w:t>
      </w:r>
      <w:r>
        <w:rPr>
          <w:rFonts w:ascii="Segoe UI" w:hAnsi="Segoe UI"/>
          <w:color w:val="1F2937"/>
          <w:sz w:val="21"/>
        </w:rPr>
        <w:t>The harmonic mean of precision and recall. It balances both metrics and is especially useful for evaluating models on imbalanced datasets.</w:t>
      </w:r>
    </w:p>
    <w:p>
      <w:pPr>
        <w:keepNext/>
        <w:spacing w:before="320" w:after="120"/>
        <w:pBdr>
          <w:bottom w:val="single" w:sz="6" w:space="4" w:color="E2E8F0"/>
        </w:pBdr>
      </w:pPr>
      <w:r>
        <w:rPr>
          <w:rFonts w:ascii="Segoe UI" w:hAnsi="Segoe UI"/>
          <w:b/>
          <w:color w:val="1E3A8A"/>
          <w:sz w:val="30"/>
        </w:rPr>
        <w:t>Introduction to Cross-Validation</w:t>
      </w:r>
    </w:p>
    <w:p>
      <w:pPr>
        <w:spacing w:before="0" w:after="100" w:line="276" w:lineRule="auto"/>
      </w:pPr>
      <w:r>
        <w:rPr>
          <w:rFonts w:ascii="Segoe UI" w:hAnsi="Segoe UI"/>
          <w:i w:val="0"/>
          <w:color w:val="1F2937"/>
          <w:sz w:val="21"/>
        </w:rPr>
        <w:t>Cross-validation is a resampling procedure used to evaluate machine learning models on a limited data sample, ensuring the model generalizes well to unseen data.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Key Cross-Validation Techniques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K-Fold Cross-Validation: </w:t>
      </w:r>
      <w:r>
        <w:rPr>
          <w:rFonts w:ascii="Segoe UI" w:hAnsi="Segoe UI"/>
          <w:color w:val="1F2937"/>
          <w:sz w:val="21"/>
        </w:rPr>
        <w:t>Splits the dataset into K equal parts. The model is trained on K-1 parts and tested on the remaining part, repeating K times. The average of all K test scores is the final metric.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Stratified K-Fold: </w:t>
      </w:r>
      <w:r>
        <w:rPr>
          <w:rFonts w:ascii="Segoe UI" w:hAnsi="Segoe UI"/>
          <w:color w:val="1F2937"/>
          <w:sz w:val="21"/>
        </w:rPr>
        <w:t>Ensures each fold contains roughly the same percentage of class labels as the complete dataset, which is critical for imbalanced classification.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Leave-One-Out (LOOCV): </w:t>
      </w:r>
      <w:r>
        <w:rPr>
          <w:rFonts w:ascii="Segoe UI" w:hAnsi="Segoe UI"/>
          <w:color w:val="1F2937"/>
          <w:sz w:val="21"/>
        </w:rPr>
        <w:t>A special case where K is equal to the number of samples (n). The model is trained on n-1 samples and tested on the single remaining sample, repeated n times. It is computationally expensive.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Advantages of Cross-Validation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1"/>
        </w:rPr>
        <w:t>Reduces the risk of overfitting by testing on multiple different splits of the dataset.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color w:val="1F2937"/>
          <w:sz w:val="21"/>
        </w:rPr>
        <w:t>Provides a more generalized, robust evaluation of model performance.</w:t>
      </w:r>
    </w:p>
    <w:p>
      <w:pPr>
        <w:keepNext/>
        <w:spacing w:before="320" w:after="120"/>
        <w:pBdr>
          <w:bottom w:val="single" w:sz="6" w:space="4" w:color="E2E8F0"/>
        </w:pBdr>
      </w:pPr>
      <w:r>
        <w:rPr>
          <w:rFonts w:ascii="Segoe UI" w:hAnsi="Segoe UI"/>
          <w:b/>
          <w:color w:val="1E3A8A"/>
          <w:sz w:val="30"/>
        </w:rPr>
        <w:t>Understanding the Confusion Matrix</w:t>
      </w:r>
    </w:p>
    <w:p>
      <w:pPr>
        <w:spacing w:before="0" w:after="100" w:line="276" w:lineRule="auto"/>
      </w:pPr>
      <w:r>
        <w:rPr>
          <w:rFonts w:ascii="Segoe UI" w:hAnsi="Segoe UI"/>
          <w:i w:val="0"/>
          <w:color w:val="1F2937"/>
          <w:sz w:val="21"/>
        </w:rPr>
        <w:t>A Confusion Matrix is a tabular summary of classification model performance, comparing predicted classes against actual classes.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Structure of a Confusion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sz w:val="19"/>
              </w:rPr>
            </w:r>
          </w:p>
        </w:tc>
        <w:tc>
          <w:tcPr>
            <w:tcW w:type="dxa" w:w="3120"/>
            <w:shd w:fill="E2E8F0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sz w:val="19"/>
              </w:rPr>
              <w:t>Predicted Positive</w:t>
            </w:r>
          </w:p>
        </w:tc>
        <w:tc>
          <w:tcPr>
            <w:tcW w:type="dxa" w:w="3120"/>
            <w:shd w:fill="E2E8F0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sz w:val="19"/>
              </w:rPr>
              <w:t>Predicted Negative</w:t>
            </w:r>
          </w:p>
        </w:tc>
      </w:tr>
      <w:tr>
        <w:tc>
          <w:tcPr>
            <w:tcW w:type="dxa" w:w="3120"/>
            <w:shd w:fill="E2E8F0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sz w:val="19"/>
              </w:rPr>
              <w:t>Actual Positive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sz w:val="19"/>
              </w:rPr>
              <w:t>True Positive (TP)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sz w:val="19"/>
              </w:rPr>
              <w:t>False Negative (FN)</w:t>
            </w:r>
          </w:p>
        </w:tc>
      </w:tr>
      <w:tr>
        <w:tc>
          <w:tcPr>
            <w:tcW w:type="dxa" w:w="3120"/>
            <w:shd w:fill="E2E8F0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sz w:val="19"/>
              </w:rPr>
              <w:t>Actual Negative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sz w:val="19"/>
              </w:rPr>
              <w:t>False Positive (FP)</w:t>
            </w:r>
          </w:p>
        </w:tc>
        <w:tc>
          <w:tcPr>
            <w:tcW w:type="dxa" w:w="3120"/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sz w:val="19"/>
              </w:rPr>
              <w:t>True Negative (TN)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Key Metrics Derived from Confusion Matrix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True Positive Rate (TPR): </w:t>
      </w:r>
      <w:r>
        <w:rPr>
          <w:rFonts w:ascii="Segoe UI" w:hAnsi="Segoe UI"/>
          <w:color w:val="1F2937"/>
          <w:sz w:val="21"/>
        </w:rPr>
        <w:t>Proportion of actual positives correctly identified (Same as Recall).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False Positive Rate (FPR): </w:t>
      </w:r>
      <w:r>
        <w:rPr>
          <w:rFonts w:ascii="Segoe UI" w:hAnsi="Segoe UI"/>
          <w:color w:val="1F2937"/>
          <w:sz w:val="21"/>
        </w:rPr>
        <w:t>Proportion of actual negatives incorrectly classified as positives.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Specificity (TNR): </w:t>
      </w:r>
      <w:r>
        <w:rPr>
          <w:rFonts w:ascii="Segoe UI" w:hAnsi="Segoe UI"/>
          <w:color w:val="1F2937"/>
          <w:sz w:val="21"/>
        </w:rPr>
        <w:t>Proportion of actual negatives correctly classified.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