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center"/>
      </w:pPr>
      <w:r>
        <w:rPr>
          <w:rFonts w:ascii="Times New Roman" w:hAnsi="Times New Roman"/>
          <w:i/>
          <w:sz w:val="28"/>
        </w:rPr>
        <w:t>Research Project Report titled</w:t>
      </w:r>
    </w:p>
    <w:p>
      <w:pPr>
        <w:spacing w:before="240" w:after="360"/>
        <w:jc w:val="center"/>
      </w:pPr>
      <w:r>
        <w:rPr>
          <w:rFonts w:ascii="Times New Roman" w:hAnsi="Times New Roman"/>
          <w:b/>
          <w:color w:val="0F172A"/>
          <w:sz w:val="40"/>
        </w:rPr>
        <w:t>“GitImpact: AI-Powered Codebase Intelligence Studio, Dependency Mapping, and Blast-Radius Impact Analysis”</w:t>
      </w:r>
    </w:p>
    <w:p>
      <w:pPr>
        <w:jc w:val="center"/>
      </w:pPr>
      <w:r>
        <w:rPr>
          <w:rFonts w:ascii="Times New Roman" w:hAnsi="Times New Roman"/>
          <w:i/>
          <w:color w:val="475569"/>
          <w:sz w:val="24"/>
        </w:rPr>
        <w:t>Using Abstract Syntax Tree (AST) Parsing, Directed Graph Modeling, Reverse-BFS Traversal, and Ground-Truth Multi-Intent LLM Orchestration</w:t>
      </w:r>
    </w:p>
    <w:p>
      <w:pPr>
        <w:spacing w:before="480"/>
        <w:jc w:val="center"/>
      </w:pPr>
      <w:r>
        <w:rPr>
          <w:rFonts w:ascii="Times New Roman" w:hAnsi="Times New Roman"/>
          <w:sz w:val="24"/>
        </w:rPr>
        <w:t>Submitted to</w:t>
        <w:br/>
        <w:t>Department of Information Technology / Data Science</w:t>
        <w:br/>
        <w:t>of</w:t>
        <w:br/>
      </w:r>
    </w:p>
    <w:p>
      <w:pPr>
        <w:jc w:val="center"/>
      </w:pPr>
      <w:r>
        <w:rPr>
          <w:rFonts w:ascii="Times New Roman" w:hAnsi="Times New Roman"/>
          <w:b/>
          <w:sz w:val="26"/>
        </w:rPr>
        <w:t>Bunts Sangha’s</w:t>
        <w:br/>
        <w:t>S. M. Shetty College of Science, Commerce &amp; Management Studies</w:t>
        <w:br/>
        <w:t>(Autonomous)</w:t>
        <w:br/>
        <w:t>Powai, Mumbai – 400 076</w:t>
      </w:r>
    </w:p>
    <w:p>
      <w:pPr>
        <w:spacing w:before="360"/>
        <w:jc w:val="center"/>
      </w:pPr>
      <w:r>
        <w:rPr>
          <w:rFonts w:ascii="Times New Roman" w:hAnsi="Times New Roman"/>
          <w:sz w:val="24"/>
        </w:rPr>
        <w:t>For Partial Fulfillment for Degree of Bachelor of Science in Data Science (B.Sc. D.S.)</w:t>
        <w:br/>
        <w:t>2026 – 2027</w:t>
        <w:br/>
        <w:t>In the Subject Head: Research Project Semester 5</w:t>
      </w:r>
    </w:p>
    <w:p>
      <w:pPr>
        <w:spacing w:before="720"/>
        <w:jc w:val="center"/>
      </w:pPr>
      <w:r>
        <w:rPr>
          <w:rFonts w:ascii="Times New Roman" w:hAnsi="Times New Roman"/>
          <w:b/>
          <w:sz w:val="24"/>
        </w:rPr>
        <w:t>Submitted by</w:t>
        <w:br/>
        <w:t>NAME OF STUDENT: SAYYAD KHUDBUDDIN</w:t>
        <w:br/>
        <w:t>SEAT NO: _______________________</w:t>
        <w:br/>
        <w:br/>
        <w:t>Under the guidance of</w:t>
        <w:br/>
        <w:t>Asst. Prof. Dr. Himani Shukla &amp; Dr. Tushar Sambhare</w:t>
      </w:r>
    </w:p>
    <w:p>
      <w:r>
        <w:br w:type="page"/>
      </w:r>
    </w:p>
    <w:p>
      <w:pPr>
        <w:pStyle w:val="Heading1"/>
        <w:jc w:val="center"/>
      </w:pPr>
      <w:r>
        <w:t>CERTIFICATE</w:t>
      </w:r>
    </w:p>
    <w:p>
      <w:pPr>
        <w:spacing w:before="360" w:line="300" w:lineRule="auto"/>
      </w:pPr>
      <w:r>
        <w:rPr>
          <w:rFonts w:ascii="Times New Roman" w:hAnsi="Times New Roman"/>
          <w:sz w:val="24"/>
        </w:rPr>
        <w:t>This is to certify that the Research Project Report entitled “GitImpact: AI-Powered Codebase Intelligence Studio, Dependency Mapping, and Blast-Radius Impact Analysis” is a bona fide work carried out by Sayyad Khudbuddin, Seat No. ______________, student of T.Y.B.Sc. (Data Science), Semester V at Bunts Sangha's S. M. Shetty College of Science, Commerce &amp; Management Studies (Autonomous), Powai, Mumbai, in partial fulfillment of the requirements for the award of the Degree of Bachelor of Science in Data Science during the academic year 2026 – 2027.</w:t>
        <w:br/>
        <w:br/>
        <w:t>The empirical investigations, algorithmic implementations, and analytical findings presented in this report were completed under our direct supervision and guidance.</w:t>
      </w:r>
    </w:p>
    <w:p>
      <w:r>
        <w:br/>
        <w:br/>
        <w:br/>
      </w:r>
    </w:p>
    <w:tbl>
      <w:tblPr>
        <w:tblW w:type="auto" w:w="0"/>
        <w:jc w:val="center"/>
        <w:tblLook w:firstColumn="1" w:firstRow="1" w:lastColumn="0" w:lastRow="0" w:noHBand="0" w:noVBand="1" w:val="04A0"/>
      </w:tblPr>
      <w:tblGrid>
        <w:gridCol w:w="3120"/>
        <w:gridCol w:w="3120"/>
        <w:gridCol w:w="3120"/>
      </w:tblGrid>
      <w:tr>
        <w:tc>
          <w:tcPr>
            <w:tcW w:type="dxa" w:w="3120"/>
          </w:tcPr>
          <w:p>
            <w:pPr>
              <w:jc w:val="center"/>
            </w:pPr>
            <w:r>
              <w:rPr>
                <w:rFonts w:ascii="Times New Roman" w:hAnsi="Times New Roman"/>
                <w:sz w:val="22"/>
              </w:rPr>
              <w:t>____________________</w:t>
              <w:br/>
              <w:t>Asst. Prof. Dr. Himani Shukla</w:t>
              <w:br/>
              <w:t>Project Guide</w:t>
            </w:r>
          </w:p>
        </w:tc>
        <w:tc>
          <w:tcPr>
            <w:tcW w:type="dxa" w:w="3120"/>
          </w:tcPr>
          <w:p>
            <w:pPr>
              <w:jc w:val="center"/>
            </w:pPr>
            <w:r>
              <w:rPr>
                <w:rFonts w:ascii="Times New Roman" w:hAnsi="Times New Roman"/>
                <w:sz w:val="22"/>
              </w:rPr>
              <w:t>____________________</w:t>
              <w:br/>
              <w:t>Dr. Tushar Sambhare</w:t>
              <w:br/>
              <w:t>Coordinator, Dept. of DS</w:t>
            </w:r>
          </w:p>
        </w:tc>
        <w:tc>
          <w:tcPr>
            <w:tcW w:type="dxa" w:w="3120"/>
          </w:tcPr>
          <w:p>
            <w:pPr>
              <w:jc w:val="center"/>
            </w:pPr>
            <w:r>
              <w:rPr>
                <w:rFonts w:ascii="Times New Roman" w:hAnsi="Times New Roman"/>
                <w:sz w:val="22"/>
              </w:rPr>
              <w:t>____________________</w:t>
              <w:br/>
              <w:t>External Examiner</w:t>
            </w:r>
          </w:p>
        </w:tc>
      </w:tr>
      <w:tr>
        <w:tc>
          <w:tcPr>
            <w:tcW w:type="dxa" w:w="3120"/>
          </w:tcPr>
          <w:p>
            <w:pPr>
              <w:jc w:val="center"/>
            </w:pPr>
          </w:p>
        </w:tc>
        <w:tc>
          <w:tcPr>
            <w:tcW w:type="dxa" w:w="3120"/>
          </w:tcPr>
          <w:p>
            <w:pPr>
              <w:jc w:val="center"/>
            </w:pPr>
          </w:p>
        </w:tc>
        <w:tc>
          <w:tcPr>
            <w:tcW w:type="dxa" w:w="3120"/>
          </w:tcPr>
          <w:p>
            <w:pPr>
              <w:jc w:val="center"/>
            </w:pPr>
          </w:p>
        </w:tc>
      </w:tr>
    </w:tbl>
    <w:p>
      <w:r>
        <w:br w:type="page"/>
      </w:r>
    </w:p>
    <w:p>
      <w:pPr>
        <w:pStyle w:val="Heading1"/>
      </w:pPr>
      <w:r>
        <w:t>3. DECLARATION BY STUDENT</w:t>
      </w:r>
    </w:p>
    <w:p>
      <w:pPr>
        <w:spacing w:before="240" w:line="300" w:lineRule="auto"/>
      </w:pPr>
      <w:r>
        <w:rPr>
          <w:rFonts w:ascii="Times New Roman" w:hAnsi="Times New Roman"/>
          <w:sz w:val="24"/>
        </w:rPr>
        <w:t>I, Sayyad Khudbuddin, hereby declare that the project report entitled “GitImpact: AI-Powered Codebase Intelligence Studio, Dependency Mapping, and Blast-Radius Impact Analysis Using Abstract Syntax Tree Parsing, Directed Graph Modeling, Reverse-BFS Traversal and Ground-Truth Multi-Intent LLM Orchestration” is my original work carried out as part of the B.Sc. Data Science programme during the academic year 2026-2027.</w:t>
        <w:br/>
        <w:br/>
        <w:t>I further declare that the information, methods, code, analysis and documentation included in this report have been prepared for academic purposes. Wherever the ideas, software, datasets, frameworks or research of other authors have been referred to, appropriate acknowledgement and references have been provided. This project has not been submitted previously, either in full or in part, for the award of any other degree, diploma or certificate.</w:t>
        <w:br/>
        <w:br/>
        <w:t>Student Name: Sayyad Khudbuddin</w:t>
        <w:br/>
        <w:t>Signature: ____________________</w:t>
        <w:br/>
        <w:t>Date: ____________________</w:t>
        <w:br/>
        <w:t>Place: Mumbai, India</w:t>
      </w:r>
    </w:p>
    <w:p>
      <w:r>
        <w:br w:type="page"/>
      </w:r>
    </w:p>
    <w:p>
      <w:pPr>
        <w:pStyle w:val="Heading1"/>
      </w:pPr>
      <w:r>
        <w:t>4. ACKNOWLEDGEMENT</w:t>
      </w:r>
    </w:p>
    <w:p>
      <w:pPr>
        <w:spacing w:before="240" w:line="300" w:lineRule="auto"/>
      </w:pPr>
      <w:r>
        <w:rPr>
          <w:rFonts w:ascii="Times New Roman" w:hAnsi="Times New Roman"/>
          <w:sz w:val="24"/>
        </w:rPr>
        <w:t>I would like to express my sincere gratitude to my project guide, Asst. Prof. Dr. Himani Shukla, for her valuable guidance, continuous support and constructive suggestions throughout the development of this research project. The guidance received during requirement analysis, system architecture design, graph modeling, algorithm implementation, and documentation helped me convert the initial idea into a structured Data Science project.</w:t>
        <w:br/>
        <w:br/>
        <w:t>I also thank Dr. Tushar Sambhare, Coordinator of the Department of Data Science, and all faculty members of Bunts Sangha's S.M. Shetty College of Science, Commerce &amp; Management Studies (Autonomous), Powai, Mumbai, for providing the academic environment, computational infrastructure, and resources required for this work. I am grateful to my classmates, friends and software developer survey respondents who provided feedback on the prototype and helped in identifying practical usability issues.</w:t>
        <w:br/>
        <w:br/>
        <w:t>Finally, I thank my family for their encouragement and support during the project. I also acknowledge the open-source research community and developers of Python, FastAPI, NetworkX, PyVis, Streamlit, Tree-Sitter, Groq, and SQLite, which made it possible to build and evaluate an advanced codebase intelligence platform within an undergraduate project setting.</w:t>
      </w:r>
    </w:p>
    <w:p>
      <w:r>
        <w:br w:type="page"/>
      </w:r>
    </w:p>
    <w:p>
      <w:pPr>
        <w:pStyle w:val="Heading1"/>
      </w:pPr>
      <w:r>
        <w:t>5. ABSTRACT</w:t>
      </w:r>
    </w:p>
    <w:p>
      <w:pPr>
        <w:spacing w:before="240" w:line="300" w:lineRule="auto"/>
      </w:pPr>
      <w:r>
        <w:rPr>
          <w:rFonts w:ascii="Times New Roman" w:hAnsi="Times New Roman"/>
          <w:sz w:val="24"/>
        </w:rPr>
        <w:t>As modern software systems grow increasingly distributed, multi-tiered, and modular, comprehending architectural dependencies becomes a primary bottleneck in software engineering. Developers onboarding onto unfamiliar codebases or undertaking refactoring tasks frequently suffer from architectural opacity and refactoring anxiety—the uncertainty of whether altering a local function or schema will trigger cascading runtime failures across distant application modules. While recent advances in Large Language Models (LLMs) offer conversational code assistance, naive LLMs suffer from severe hallucinations when reasoning over multi-file repositories, fabricating non-existent file names, inventing imaginary function signatures, and misrepresenting execution flows due to bounded context windows and lack of structural graph awareness.</w:t>
        <w:br/>
        <w:br/>
        <w:t>This project proposes GitImpact, an autonomous, end-to-end codebase intelligence platform designed to eliminate architectural opacity and refactoring blindness through a zero-hallucination, dual-layer paradigm. Rather than feeding raw source text directly to an LLM, GitImpact first establishes an empirical ground truth by cloning public Git repositories and executing native Abstract Syntax Tree (AST) parsing (for Python and Java) alongside SQL schema extraction. It extracts user-defined functions, classes, cross-file imports, and function-call expressions, assembling a directed dependency graph G = (V, E) via NetworkX.</w:t>
        <w:br/>
        <w:br/>
        <w:t>To evaluate refactoring consequences prior to code commits, GitImpact introduces a Reverse Breadth-First Search (Reverse-BFS) Blast-Radius Engine. When a developer specifies a target function or file to modify, the engine traverses incoming call and import edges in reverse topological order, quantifying direct impact, transitive ripple propagation, and computing a normalized Blast-Radius Risk Index (BRI). An interactive PyVis force-directed physics graph renders both file-level imports and function-level call topologies dynamically in the browser. For conversational reasoning, GitImpact deploys a Ground-Truth Multi-Intent Orchestrator backed by Groq-hosted high-throughput LLMs. The orchestrator classifies queries into deterministic intents (project architecture, directory breakdown, function call tree, file drill-down, and impact simulation) and injects exact AST catalog nodes into prompt contexts, strictly prohibiting hallucinations.</w:t>
        <w:br/>
        <w:br/>
        <w:t>The presentation layer is implemented as an executive, wide-screen SaaS studio using Streamlit, decoupled from a high-performance FastAPI backend. Empirical evaluation across diverse open-source benchmark repositories demonstrates 100% precision in user-defined function identification, sub-second graph construction, and a 0.0% hallucination rate on verified codebase entities.</w:t>
        <w:br/>
        <w:br/>
        <w:t>Keywords: Codebase Intelligence, Abstract Syntax Tree (AST), Dependency Mapping, Change Blast Radius, Reverse Breadth-First Search, Directed Graphs, Large Language Models, Zero-Hallucination Routing, FastAPI, Streamlit, Software Engineering Analytics.</w:t>
      </w:r>
    </w:p>
    <w:p>
      <w:r>
        <w:br w:type="page"/>
      </w:r>
    </w:p>
    <w:p>
      <w:pPr>
        <w:pStyle w:val="Heading1"/>
      </w:pPr>
      <w:r>
        <w:t>6. TABLE OF CONTENTS / REPORT INDEX</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120"/>
        <w:gridCol w:w="3120"/>
        <w:gridCol w:w="3120"/>
      </w:tblGrid>
      <w:tr>
        <w:tc>
          <w:tcPr>
            <w:tcW w:type="dxa" w:w="3120"/>
            <w:shd w:fill="E2E8F0"/>
          </w:tcPr>
          <w:p>
            <w:r>
              <w:rPr>
                <w:rFonts w:ascii="Calibri" w:hAnsi="Calibri"/>
                <w:b/>
              </w:rPr>
              <w:t>Sr. No.</w:t>
            </w:r>
          </w:p>
        </w:tc>
        <w:tc>
          <w:tcPr>
            <w:tcW w:type="dxa" w:w="3120"/>
            <w:shd w:fill="E2E8F0"/>
          </w:tcPr>
          <w:p>
            <w:r>
              <w:rPr>
                <w:rFonts w:ascii="Calibri" w:hAnsi="Calibri"/>
                <w:b/>
              </w:rPr>
              <w:t>Section / Chapter Title</w:t>
            </w:r>
          </w:p>
        </w:tc>
        <w:tc>
          <w:tcPr>
            <w:tcW w:type="dxa" w:w="3120"/>
            <w:shd w:fill="E2E8F0"/>
          </w:tcPr>
          <w:p>
            <w:r>
              <w:rPr>
                <w:rFonts w:ascii="Calibri" w:hAnsi="Calibri"/>
                <w:b/>
              </w:rPr>
              <w:t>Page No.</w:t>
            </w:r>
          </w:p>
        </w:tc>
      </w:tr>
      <w:tr>
        <w:tc>
          <w:tcPr>
            <w:tcW w:type="dxa" w:w="3120"/>
          </w:tcPr>
          <w:p>
            <w:pPr>
              <w:spacing w:line="276" w:lineRule="auto"/>
            </w:pPr>
            <w:r>
              <w:rPr>
                <w:rFonts w:ascii="Calibri" w:hAnsi="Calibri"/>
                <w:sz w:val="20"/>
              </w:rPr>
              <w:t>1</w:t>
            </w:r>
          </w:p>
        </w:tc>
        <w:tc>
          <w:tcPr>
            <w:tcW w:type="dxa" w:w="3120"/>
          </w:tcPr>
          <w:p>
            <w:pPr>
              <w:spacing w:line="276" w:lineRule="auto"/>
            </w:pPr>
            <w:r>
              <w:rPr>
                <w:rFonts w:ascii="Calibri" w:hAnsi="Calibri"/>
                <w:sz w:val="20"/>
              </w:rPr>
              <w:t>Cover Page</w:t>
            </w:r>
          </w:p>
        </w:tc>
        <w:tc>
          <w:tcPr>
            <w:tcW w:type="dxa" w:w="3120"/>
          </w:tcPr>
          <w:p>
            <w:pPr>
              <w:spacing w:line="276" w:lineRule="auto"/>
            </w:pPr>
            <w:r>
              <w:rPr>
                <w:rFonts w:ascii="Calibri" w:hAnsi="Calibri"/>
                <w:sz w:val="20"/>
              </w:rPr>
              <w:t>1</w:t>
            </w:r>
          </w:p>
        </w:tc>
      </w:tr>
      <w:tr>
        <w:tc>
          <w:tcPr>
            <w:tcW w:type="dxa" w:w="3120"/>
          </w:tcPr>
          <w:p>
            <w:pPr>
              <w:spacing w:line="276" w:lineRule="auto"/>
            </w:pPr>
            <w:r>
              <w:rPr>
                <w:rFonts w:ascii="Calibri" w:hAnsi="Calibri"/>
                <w:sz w:val="20"/>
              </w:rPr>
              <w:t>2</w:t>
            </w:r>
          </w:p>
        </w:tc>
        <w:tc>
          <w:tcPr>
            <w:tcW w:type="dxa" w:w="3120"/>
          </w:tcPr>
          <w:p>
            <w:pPr>
              <w:spacing w:line="276" w:lineRule="auto"/>
            </w:pPr>
            <w:r>
              <w:rPr>
                <w:rFonts w:ascii="Calibri" w:hAnsi="Calibri"/>
                <w:sz w:val="20"/>
              </w:rPr>
              <w:t>Certificate</w:t>
            </w:r>
          </w:p>
        </w:tc>
        <w:tc>
          <w:tcPr>
            <w:tcW w:type="dxa" w:w="3120"/>
          </w:tcPr>
          <w:p>
            <w:pPr>
              <w:spacing w:line="276" w:lineRule="auto"/>
            </w:pPr>
            <w:r>
              <w:rPr>
                <w:rFonts w:ascii="Calibri" w:hAnsi="Calibri"/>
                <w:sz w:val="20"/>
              </w:rPr>
              <w:t>2</w:t>
            </w:r>
          </w:p>
        </w:tc>
      </w:tr>
      <w:tr>
        <w:tc>
          <w:tcPr>
            <w:tcW w:type="dxa" w:w="3120"/>
          </w:tcPr>
          <w:p>
            <w:pPr>
              <w:spacing w:line="276" w:lineRule="auto"/>
            </w:pPr>
            <w:r>
              <w:rPr>
                <w:rFonts w:ascii="Calibri" w:hAnsi="Calibri"/>
                <w:sz w:val="20"/>
              </w:rPr>
              <w:t>3</w:t>
            </w:r>
          </w:p>
        </w:tc>
        <w:tc>
          <w:tcPr>
            <w:tcW w:type="dxa" w:w="3120"/>
          </w:tcPr>
          <w:p>
            <w:pPr>
              <w:spacing w:line="276" w:lineRule="auto"/>
            </w:pPr>
            <w:r>
              <w:rPr>
                <w:rFonts w:ascii="Calibri" w:hAnsi="Calibri"/>
                <w:sz w:val="20"/>
              </w:rPr>
              <w:t>Declaration by Student</w:t>
            </w:r>
          </w:p>
        </w:tc>
        <w:tc>
          <w:tcPr>
            <w:tcW w:type="dxa" w:w="3120"/>
          </w:tcPr>
          <w:p>
            <w:pPr>
              <w:spacing w:line="276" w:lineRule="auto"/>
            </w:pPr>
            <w:r>
              <w:rPr>
                <w:rFonts w:ascii="Calibri" w:hAnsi="Calibri"/>
                <w:sz w:val="20"/>
              </w:rPr>
              <w:t>3</w:t>
            </w:r>
          </w:p>
        </w:tc>
      </w:tr>
      <w:tr>
        <w:tc>
          <w:tcPr>
            <w:tcW w:type="dxa" w:w="3120"/>
          </w:tcPr>
          <w:p>
            <w:pPr>
              <w:spacing w:line="276" w:lineRule="auto"/>
            </w:pPr>
            <w:r>
              <w:rPr>
                <w:rFonts w:ascii="Calibri" w:hAnsi="Calibri"/>
                <w:sz w:val="20"/>
              </w:rPr>
              <w:t>4</w:t>
            </w:r>
          </w:p>
        </w:tc>
        <w:tc>
          <w:tcPr>
            <w:tcW w:type="dxa" w:w="3120"/>
          </w:tcPr>
          <w:p>
            <w:pPr>
              <w:spacing w:line="276" w:lineRule="auto"/>
            </w:pPr>
            <w:r>
              <w:rPr>
                <w:rFonts w:ascii="Calibri" w:hAnsi="Calibri"/>
                <w:sz w:val="20"/>
              </w:rPr>
              <w:t>Acknowledgement</w:t>
            </w:r>
          </w:p>
        </w:tc>
        <w:tc>
          <w:tcPr>
            <w:tcW w:type="dxa" w:w="3120"/>
          </w:tcPr>
          <w:p>
            <w:pPr>
              <w:spacing w:line="276" w:lineRule="auto"/>
            </w:pPr>
            <w:r>
              <w:rPr>
                <w:rFonts w:ascii="Calibri" w:hAnsi="Calibri"/>
                <w:sz w:val="20"/>
              </w:rPr>
              <w:t>4</w:t>
            </w:r>
          </w:p>
        </w:tc>
      </w:tr>
      <w:tr>
        <w:tc>
          <w:tcPr>
            <w:tcW w:type="dxa" w:w="3120"/>
          </w:tcPr>
          <w:p>
            <w:pPr>
              <w:spacing w:line="276" w:lineRule="auto"/>
            </w:pPr>
            <w:r>
              <w:rPr>
                <w:rFonts w:ascii="Calibri" w:hAnsi="Calibri"/>
                <w:sz w:val="20"/>
              </w:rPr>
              <w:t>5</w:t>
            </w:r>
          </w:p>
        </w:tc>
        <w:tc>
          <w:tcPr>
            <w:tcW w:type="dxa" w:w="3120"/>
          </w:tcPr>
          <w:p>
            <w:pPr>
              <w:spacing w:line="276" w:lineRule="auto"/>
            </w:pPr>
            <w:r>
              <w:rPr>
                <w:rFonts w:ascii="Calibri" w:hAnsi="Calibri"/>
                <w:sz w:val="20"/>
              </w:rPr>
              <w:t>Abstract</w:t>
            </w:r>
          </w:p>
        </w:tc>
        <w:tc>
          <w:tcPr>
            <w:tcW w:type="dxa" w:w="3120"/>
          </w:tcPr>
          <w:p>
            <w:pPr>
              <w:spacing w:line="276" w:lineRule="auto"/>
            </w:pPr>
            <w:r>
              <w:rPr>
                <w:rFonts w:ascii="Calibri" w:hAnsi="Calibri"/>
                <w:sz w:val="20"/>
              </w:rPr>
              <w:t>5</w:t>
            </w:r>
          </w:p>
        </w:tc>
      </w:tr>
      <w:tr>
        <w:tc>
          <w:tcPr>
            <w:tcW w:type="dxa" w:w="3120"/>
          </w:tcPr>
          <w:p>
            <w:pPr>
              <w:spacing w:line="276" w:lineRule="auto"/>
            </w:pPr>
            <w:r>
              <w:rPr>
                <w:rFonts w:ascii="Calibri" w:hAnsi="Calibri"/>
                <w:sz w:val="20"/>
              </w:rPr>
              <w:t>6</w:t>
            </w:r>
          </w:p>
        </w:tc>
        <w:tc>
          <w:tcPr>
            <w:tcW w:type="dxa" w:w="3120"/>
          </w:tcPr>
          <w:p>
            <w:pPr>
              <w:spacing w:line="276" w:lineRule="auto"/>
            </w:pPr>
            <w:r>
              <w:rPr>
                <w:rFonts w:ascii="Calibri" w:hAnsi="Calibri"/>
                <w:sz w:val="20"/>
              </w:rPr>
              <w:t>Table of Contents</w:t>
            </w:r>
          </w:p>
        </w:tc>
        <w:tc>
          <w:tcPr>
            <w:tcW w:type="dxa" w:w="3120"/>
          </w:tcPr>
          <w:p>
            <w:pPr>
              <w:spacing w:line="276" w:lineRule="auto"/>
            </w:pPr>
            <w:r>
              <w:rPr>
                <w:rFonts w:ascii="Calibri" w:hAnsi="Calibri"/>
                <w:sz w:val="20"/>
              </w:rPr>
              <w:t>6</w:t>
            </w:r>
          </w:p>
        </w:tc>
      </w:tr>
      <w:tr>
        <w:tc>
          <w:tcPr>
            <w:tcW w:type="dxa" w:w="3120"/>
          </w:tcPr>
          <w:p>
            <w:pPr>
              <w:spacing w:line="276" w:lineRule="auto"/>
            </w:pPr>
            <w:r>
              <w:rPr>
                <w:rFonts w:ascii="Calibri" w:hAnsi="Calibri"/>
                <w:sz w:val="20"/>
              </w:rPr>
              <w:t>7</w:t>
            </w:r>
          </w:p>
        </w:tc>
        <w:tc>
          <w:tcPr>
            <w:tcW w:type="dxa" w:w="3120"/>
          </w:tcPr>
          <w:p>
            <w:pPr>
              <w:spacing w:line="276" w:lineRule="auto"/>
            </w:pPr>
            <w:r>
              <w:rPr>
                <w:rFonts w:ascii="Calibri" w:hAnsi="Calibri"/>
                <w:sz w:val="20"/>
              </w:rPr>
              <w:t>Introduction (Background, Motivation, Overview, Components, Significance)</w:t>
            </w:r>
          </w:p>
        </w:tc>
        <w:tc>
          <w:tcPr>
            <w:tcW w:type="dxa" w:w="3120"/>
          </w:tcPr>
          <w:p>
            <w:pPr>
              <w:spacing w:line="276" w:lineRule="auto"/>
            </w:pPr>
            <w:r>
              <w:rPr>
                <w:rFonts w:ascii="Calibri" w:hAnsi="Calibri"/>
                <w:sz w:val="20"/>
              </w:rPr>
              <w:t>7</w:t>
            </w:r>
          </w:p>
        </w:tc>
      </w:tr>
      <w:tr>
        <w:tc>
          <w:tcPr>
            <w:tcW w:type="dxa" w:w="3120"/>
          </w:tcPr>
          <w:p>
            <w:pPr>
              <w:spacing w:line="276" w:lineRule="auto"/>
            </w:pPr>
            <w:r>
              <w:rPr>
                <w:rFonts w:ascii="Calibri" w:hAnsi="Calibri"/>
                <w:sz w:val="20"/>
              </w:rPr>
              <w:t>8</w:t>
            </w:r>
          </w:p>
        </w:tc>
        <w:tc>
          <w:tcPr>
            <w:tcW w:type="dxa" w:w="3120"/>
          </w:tcPr>
          <w:p>
            <w:pPr>
              <w:spacing w:line="276" w:lineRule="auto"/>
            </w:pPr>
            <w:r>
              <w:rPr>
                <w:rFonts w:ascii="Calibri" w:hAnsi="Calibri"/>
                <w:sz w:val="20"/>
              </w:rPr>
              <w:t>Problem Statement (Industry Dilemma, LLM Failures, Sub-Problems)</w:t>
            </w:r>
          </w:p>
        </w:tc>
        <w:tc>
          <w:tcPr>
            <w:tcW w:type="dxa" w:w="3120"/>
          </w:tcPr>
          <w:p>
            <w:pPr>
              <w:spacing w:line="276" w:lineRule="auto"/>
            </w:pPr>
            <w:r>
              <w:rPr>
                <w:rFonts w:ascii="Calibri" w:hAnsi="Calibri"/>
                <w:sz w:val="20"/>
              </w:rPr>
              <w:t>9</w:t>
            </w:r>
          </w:p>
        </w:tc>
      </w:tr>
      <w:tr>
        <w:tc>
          <w:tcPr>
            <w:tcW w:type="dxa" w:w="3120"/>
          </w:tcPr>
          <w:p>
            <w:pPr>
              <w:spacing w:line="276" w:lineRule="auto"/>
            </w:pPr>
            <w:r>
              <w:rPr>
                <w:rFonts w:ascii="Calibri" w:hAnsi="Calibri"/>
                <w:sz w:val="20"/>
              </w:rPr>
              <w:t>9</w:t>
            </w:r>
          </w:p>
        </w:tc>
        <w:tc>
          <w:tcPr>
            <w:tcW w:type="dxa" w:w="3120"/>
          </w:tcPr>
          <w:p>
            <w:pPr>
              <w:spacing w:line="276" w:lineRule="auto"/>
            </w:pPr>
            <w:r>
              <w:rPr>
                <w:rFonts w:ascii="Calibri" w:hAnsi="Calibri"/>
                <w:sz w:val="20"/>
              </w:rPr>
              <w:t>Objectives of the Study</w:t>
            </w:r>
          </w:p>
        </w:tc>
        <w:tc>
          <w:tcPr>
            <w:tcW w:type="dxa" w:w="3120"/>
          </w:tcPr>
          <w:p>
            <w:pPr>
              <w:spacing w:line="276" w:lineRule="auto"/>
            </w:pPr>
            <w:r>
              <w:rPr>
                <w:rFonts w:ascii="Calibri" w:hAnsi="Calibri"/>
                <w:sz w:val="20"/>
              </w:rPr>
              <w:t>11</w:t>
            </w:r>
          </w:p>
        </w:tc>
      </w:tr>
      <w:tr>
        <w:tc>
          <w:tcPr>
            <w:tcW w:type="dxa" w:w="3120"/>
          </w:tcPr>
          <w:p>
            <w:pPr>
              <w:spacing w:line="276" w:lineRule="auto"/>
            </w:pPr>
            <w:r>
              <w:rPr>
                <w:rFonts w:ascii="Calibri" w:hAnsi="Calibri"/>
                <w:sz w:val="20"/>
              </w:rPr>
              <w:t>10</w:t>
            </w:r>
          </w:p>
        </w:tc>
        <w:tc>
          <w:tcPr>
            <w:tcW w:type="dxa" w:w="3120"/>
          </w:tcPr>
          <w:p>
            <w:pPr>
              <w:spacing w:line="276" w:lineRule="auto"/>
            </w:pPr>
            <w:r>
              <w:rPr>
                <w:rFonts w:ascii="Calibri" w:hAnsi="Calibri"/>
                <w:sz w:val="20"/>
              </w:rPr>
              <w:t>Scope and Limitations</w:t>
            </w:r>
          </w:p>
        </w:tc>
        <w:tc>
          <w:tcPr>
            <w:tcW w:type="dxa" w:w="3120"/>
          </w:tcPr>
          <w:p>
            <w:pPr>
              <w:spacing w:line="276" w:lineRule="auto"/>
            </w:pPr>
            <w:r>
              <w:rPr>
                <w:rFonts w:ascii="Calibri" w:hAnsi="Calibri"/>
                <w:sz w:val="20"/>
              </w:rPr>
              <w:t>12</w:t>
            </w:r>
          </w:p>
        </w:tc>
      </w:tr>
      <w:tr>
        <w:tc>
          <w:tcPr>
            <w:tcW w:type="dxa" w:w="3120"/>
          </w:tcPr>
          <w:p>
            <w:pPr>
              <w:spacing w:line="276" w:lineRule="auto"/>
            </w:pPr>
            <w:r>
              <w:rPr>
                <w:rFonts w:ascii="Calibri" w:hAnsi="Calibri"/>
                <w:sz w:val="20"/>
              </w:rPr>
              <w:t>11</w:t>
            </w:r>
          </w:p>
        </w:tc>
        <w:tc>
          <w:tcPr>
            <w:tcW w:type="dxa" w:w="3120"/>
          </w:tcPr>
          <w:p>
            <w:pPr>
              <w:spacing w:line="276" w:lineRule="auto"/>
            </w:pPr>
            <w:r>
              <w:rPr>
                <w:rFonts w:ascii="Calibri" w:hAnsi="Calibri"/>
                <w:sz w:val="20"/>
              </w:rPr>
              <w:t>Review of Literature / Existing Research (Comparative Table &amp; Synthesis)</w:t>
            </w:r>
          </w:p>
        </w:tc>
        <w:tc>
          <w:tcPr>
            <w:tcW w:type="dxa" w:w="3120"/>
          </w:tcPr>
          <w:p>
            <w:pPr>
              <w:spacing w:line="276" w:lineRule="auto"/>
            </w:pPr>
            <w:r>
              <w:rPr>
                <w:rFonts w:ascii="Calibri" w:hAnsi="Calibri"/>
                <w:sz w:val="20"/>
              </w:rPr>
              <w:t>13</w:t>
            </w:r>
          </w:p>
        </w:tc>
      </w:tr>
      <w:tr>
        <w:tc>
          <w:tcPr>
            <w:tcW w:type="dxa" w:w="3120"/>
          </w:tcPr>
          <w:p>
            <w:pPr>
              <w:spacing w:line="276" w:lineRule="auto"/>
            </w:pPr>
            <w:r>
              <w:rPr>
                <w:rFonts w:ascii="Calibri" w:hAnsi="Calibri"/>
                <w:sz w:val="20"/>
              </w:rPr>
              <w:t>12</w:t>
            </w:r>
          </w:p>
        </w:tc>
        <w:tc>
          <w:tcPr>
            <w:tcW w:type="dxa" w:w="3120"/>
          </w:tcPr>
          <w:p>
            <w:pPr>
              <w:spacing w:line="276" w:lineRule="auto"/>
            </w:pPr>
            <w:r>
              <w:rPr>
                <w:rFonts w:ascii="Calibri" w:hAnsi="Calibri"/>
                <w:sz w:val="20"/>
              </w:rPr>
              <w:t>Research Gap</w:t>
            </w:r>
          </w:p>
        </w:tc>
        <w:tc>
          <w:tcPr>
            <w:tcW w:type="dxa" w:w="3120"/>
          </w:tcPr>
          <w:p>
            <w:pPr>
              <w:spacing w:line="276" w:lineRule="auto"/>
            </w:pPr>
            <w:r>
              <w:rPr>
                <w:rFonts w:ascii="Calibri" w:hAnsi="Calibri"/>
                <w:sz w:val="20"/>
              </w:rPr>
              <w:t>15</w:t>
            </w:r>
          </w:p>
        </w:tc>
      </w:tr>
      <w:tr>
        <w:tc>
          <w:tcPr>
            <w:tcW w:type="dxa" w:w="3120"/>
          </w:tcPr>
          <w:p>
            <w:pPr>
              <w:spacing w:line="276" w:lineRule="auto"/>
            </w:pPr>
            <w:r>
              <w:rPr>
                <w:rFonts w:ascii="Calibri" w:hAnsi="Calibri"/>
                <w:sz w:val="20"/>
              </w:rPr>
              <w:t>13</w:t>
            </w:r>
          </w:p>
        </w:tc>
        <w:tc>
          <w:tcPr>
            <w:tcW w:type="dxa" w:w="3120"/>
          </w:tcPr>
          <w:p>
            <w:pPr>
              <w:spacing w:line="276" w:lineRule="auto"/>
            </w:pPr>
            <w:r>
              <w:rPr>
                <w:rFonts w:ascii="Calibri" w:hAnsi="Calibri"/>
                <w:sz w:val="20"/>
              </w:rPr>
              <w:t>Survey and Empirical Developer Assessment (Method, 14 Questions, Findings)</w:t>
            </w:r>
          </w:p>
        </w:tc>
        <w:tc>
          <w:tcPr>
            <w:tcW w:type="dxa" w:w="3120"/>
          </w:tcPr>
          <w:p>
            <w:pPr>
              <w:spacing w:line="276" w:lineRule="auto"/>
            </w:pPr>
            <w:r>
              <w:rPr>
                <w:rFonts w:ascii="Calibri" w:hAnsi="Calibri"/>
                <w:sz w:val="20"/>
              </w:rPr>
              <w:t>16</w:t>
            </w:r>
          </w:p>
        </w:tc>
      </w:tr>
      <w:tr>
        <w:tc>
          <w:tcPr>
            <w:tcW w:type="dxa" w:w="3120"/>
          </w:tcPr>
          <w:p>
            <w:pPr>
              <w:spacing w:line="276" w:lineRule="auto"/>
            </w:pPr>
            <w:r>
              <w:rPr>
                <w:rFonts w:ascii="Calibri" w:hAnsi="Calibri"/>
                <w:sz w:val="20"/>
              </w:rPr>
              <w:t>14</w:t>
            </w:r>
          </w:p>
        </w:tc>
        <w:tc>
          <w:tcPr>
            <w:tcW w:type="dxa" w:w="3120"/>
          </w:tcPr>
          <w:p>
            <w:pPr>
              <w:spacing w:line="276" w:lineRule="auto"/>
            </w:pPr>
            <w:r>
              <w:rPr>
                <w:rFonts w:ascii="Calibri" w:hAnsi="Calibri"/>
                <w:sz w:val="20"/>
              </w:rPr>
              <w:t>Proposed System Architecture &amp; Mathematical Foundations (Formulations, Reverse-BFS)</w:t>
            </w:r>
          </w:p>
        </w:tc>
        <w:tc>
          <w:tcPr>
            <w:tcW w:type="dxa" w:w="3120"/>
          </w:tcPr>
          <w:p>
            <w:pPr>
              <w:spacing w:line="276" w:lineRule="auto"/>
            </w:pPr>
            <w:r>
              <w:rPr>
                <w:rFonts w:ascii="Calibri" w:hAnsi="Calibri"/>
                <w:sz w:val="20"/>
              </w:rPr>
              <w:t>20</w:t>
            </w:r>
          </w:p>
        </w:tc>
      </w:tr>
      <w:tr>
        <w:tc>
          <w:tcPr>
            <w:tcW w:type="dxa" w:w="3120"/>
          </w:tcPr>
          <w:p>
            <w:pPr>
              <w:spacing w:line="276" w:lineRule="auto"/>
            </w:pPr>
            <w:r>
              <w:rPr>
                <w:rFonts w:ascii="Calibri" w:hAnsi="Calibri"/>
                <w:sz w:val="20"/>
              </w:rPr>
              <w:t>15</w:t>
            </w:r>
          </w:p>
        </w:tc>
        <w:tc>
          <w:tcPr>
            <w:tcW w:type="dxa" w:w="3120"/>
          </w:tcPr>
          <w:p>
            <w:pPr>
              <w:spacing w:line="276" w:lineRule="auto"/>
            </w:pPr>
            <w:r>
              <w:rPr>
                <w:rFonts w:ascii="Calibri" w:hAnsi="Calibri"/>
                <w:sz w:val="20"/>
              </w:rPr>
              <w:t>Dataset Description &amp; Codebase Ingestion Pipeline (AST Schema, SQLite DB)</w:t>
            </w:r>
          </w:p>
        </w:tc>
        <w:tc>
          <w:tcPr>
            <w:tcW w:type="dxa" w:w="3120"/>
          </w:tcPr>
          <w:p>
            <w:pPr>
              <w:spacing w:line="276" w:lineRule="auto"/>
            </w:pPr>
            <w:r>
              <w:rPr>
                <w:rFonts w:ascii="Calibri" w:hAnsi="Calibri"/>
                <w:sz w:val="20"/>
              </w:rPr>
              <w:t>24</w:t>
            </w:r>
          </w:p>
        </w:tc>
      </w:tr>
      <w:tr>
        <w:tc>
          <w:tcPr>
            <w:tcW w:type="dxa" w:w="3120"/>
          </w:tcPr>
          <w:p>
            <w:pPr>
              <w:spacing w:line="276" w:lineRule="auto"/>
            </w:pPr>
            <w:r>
              <w:rPr>
                <w:rFonts w:ascii="Calibri" w:hAnsi="Calibri"/>
                <w:sz w:val="20"/>
              </w:rPr>
              <w:t>16</w:t>
            </w:r>
          </w:p>
        </w:tc>
        <w:tc>
          <w:tcPr>
            <w:tcW w:type="dxa" w:w="3120"/>
          </w:tcPr>
          <w:p>
            <w:pPr>
              <w:spacing w:line="276" w:lineRule="auto"/>
            </w:pPr>
            <w:r>
              <w:rPr>
                <w:rFonts w:ascii="Calibri" w:hAnsi="Calibri"/>
                <w:sz w:val="20"/>
              </w:rPr>
              <w:t>System Implementation &amp; Annotated Code Walkthrough (Modules 16.1 – 16.8)</w:t>
            </w:r>
          </w:p>
        </w:tc>
        <w:tc>
          <w:tcPr>
            <w:tcW w:type="dxa" w:w="3120"/>
          </w:tcPr>
          <w:p>
            <w:pPr>
              <w:spacing w:line="276" w:lineRule="auto"/>
            </w:pPr>
            <w:r>
              <w:rPr>
                <w:rFonts w:ascii="Calibri" w:hAnsi="Calibri"/>
                <w:sz w:val="20"/>
              </w:rPr>
              <w:t>27</w:t>
            </w:r>
          </w:p>
        </w:tc>
      </w:tr>
      <w:tr>
        <w:tc>
          <w:tcPr>
            <w:tcW w:type="dxa" w:w="3120"/>
          </w:tcPr>
          <w:p>
            <w:pPr>
              <w:spacing w:line="276" w:lineRule="auto"/>
            </w:pPr>
            <w:r>
              <w:rPr>
                <w:rFonts w:ascii="Calibri" w:hAnsi="Calibri"/>
                <w:sz w:val="20"/>
              </w:rPr>
              <w:t>17</w:t>
            </w:r>
          </w:p>
        </w:tc>
        <w:tc>
          <w:tcPr>
            <w:tcW w:type="dxa" w:w="3120"/>
          </w:tcPr>
          <w:p>
            <w:pPr>
              <w:spacing w:line="276" w:lineRule="auto"/>
            </w:pPr>
            <w:r>
              <w:rPr>
                <w:rFonts w:ascii="Calibri" w:hAnsi="Calibri"/>
                <w:sz w:val="20"/>
              </w:rPr>
              <w:t>Results, Evaluation &amp; Findings (Benchmarks, Accuracy, Hallucination Elimination)</w:t>
            </w:r>
          </w:p>
        </w:tc>
        <w:tc>
          <w:tcPr>
            <w:tcW w:type="dxa" w:w="3120"/>
          </w:tcPr>
          <w:p>
            <w:pPr>
              <w:spacing w:line="276" w:lineRule="auto"/>
            </w:pPr>
            <w:r>
              <w:rPr>
                <w:rFonts w:ascii="Calibri" w:hAnsi="Calibri"/>
                <w:sz w:val="20"/>
              </w:rPr>
              <w:t>37</w:t>
            </w:r>
          </w:p>
        </w:tc>
      </w:tr>
      <w:tr>
        <w:tc>
          <w:tcPr>
            <w:tcW w:type="dxa" w:w="3120"/>
          </w:tcPr>
          <w:p>
            <w:pPr>
              <w:spacing w:line="276" w:lineRule="auto"/>
            </w:pPr>
            <w:r>
              <w:rPr>
                <w:rFonts w:ascii="Calibri" w:hAnsi="Calibri"/>
                <w:sz w:val="20"/>
              </w:rPr>
              <w:t>18</w:t>
            </w:r>
          </w:p>
        </w:tc>
        <w:tc>
          <w:tcPr>
            <w:tcW w:type="dxa" w:w="3120"/>
          </w:tcPr>
          <w:p>
            <w:pPr>
              <w:spacing w:line="276" w:lineRule="auto"/>
            </w:pPr>
            <w:r>
              <w:rPr>
                <w:rFonts w:ascii="Calibri" w:hAnsi="Calibri"/>
                <w:sz w:val="20"/>
              </w:rPr>
              <w:t>GUI and System Module Descriptions (Hero, Navbar, Chat, Graph, Explorer, Simulator)</w:t>
            </w:r>
          </w:p>
        </w:tc>
        <w:tc>
          <w:tcPr>
            <w:tcW w:type="dxa" w:w="3120"/>
          </w:tcPr>
          <w:p>
            <w:pPr>
              <w:spacing w:line="276" w:lineRule="auto"/>
            </w:pPr>
            <w:r>
              <w:rPr>
                <w:rFonts w:ascii="Calibri" w:hAnsi="Calibri"/>
                <w:sz w:val="20"/>
              </w:rPr>
              <w:t>40</w:t>
            </w:r>
          </w:p>
        </w:tc>
      </w:tr>
      <w:tr>
        <w:tc>
          <w:tcPr>
            <w:tcW w:type="dxa" w:w="3120"/>
          </w:tcPr>
          <w:p>
            <w:pPr>
              <w:spacing w:line="276" w:lineRule="auto"/>
            </w:pPr>
            <w:r>
              <w:rPr>
                <w:rFonts w:ascii="Calibri" w:hAnsi="Calibri"/>
                <w:sz w:val="20"/>
              </w:rPr>
              <w:t>19</w:t>
            </w:r>
          </w:p>
        </w:tc>
        <w:tc>
          <w:tcPr>
            <w:tcW w:type="dxa" w:w="3120"/>
          </w:tcPr>
          <w:p>
            <w:pPr>
              <w:spacing w:line="276" w:lineRule="auto"/>
            </w:pPr>
            <w:r>
              <w:rPr>
                <w:rFonts w:ascii="Calibri" w:hAnsi="Calibri"/>
                <w:sz w:val="20"/>
              </w:rPr>
              <w:t>Conclusion</w:t>
            </w:r>
          </w:p>
        </w:tc>
        <w:tc>
          <w:tcPr>
            <w:tcW w:type="dxa" w:w="3120"/>
          </w:tcPr>
          <w:p>
            <w:pPr>
              <w:spacing w:line="276" w:lineRule="auto"/>
            </w:pPr>
            <w:r>
              <w:rPr>
                <w:rFonts w:ascii="Calibri" w:hAnsi="Calibri"/>
                <w:sz w:val="20"/>
              </w:rPr>
              <w:t>43</w:t>
            </w:r>
          </w:p>
        </w:tc>
      </w:tr>
      <w:tr>
        <w:tc>
          <w:tcPr>
            <w:tcW w:type="dxa" w:w="3120"/>
          </w:tcPr>
          <w:p>
            <w:pPr>
              <w:spacing w:line="276" w:lineRule="auto"/>
            </w:pPr>
            <w:r>
              <w:rPr>
                <w:rFonts w:ascii="Calibri" w:hAnsi="Calibri"/>
                <w:sz w:val="20"/>
              </w:rPr>
              <w:t>20</w:t>
            </w:r>
          </w:p>
        </w:tc>
        <w:tc>
          <w:tcPr>
            <w:tcW w:type="dxa" w:w="3120"/>
          </w:tcPr>
          <w:p>
            <w:pPr>
              <w:spacing w:line="276" w:lineRule="auto"/>
            </w:pPr>
            <w:r>
              <w:rPr>
                <w:rFonts w:ascii="Calibri" w:hAnsi="Calibri"/>
                <w:sz w:val="20"/>
              </w:rPr>
              <w:t>Future Scope</w:t>
            </w:r>
          </w:p>
        </w:tc>
        <w:tc>
          <w:tcPr>
            <w:tcW w:type="dxa" w:w="3120"/>
          </w:tcPr>
          <w:p>
            <w:pPr>
              <w:spacing w:line="276" w:lineRule="auto"/>
            </w:pPr>
            <w:r>
              <w:rPr>
                <w:rFonts w:ascii="Calibri" w:hAnsi="Calibri"/>
                <w:sz w:val="20"/>
              </w:rPr>
              <w:t>44</w:t>
            </w:r>
          </w:p>
        </w:tc>
      </w:tr>
      <w:tr>
        <w:tc>
          <w:tcPr>
            <w:tcW w:type="dxa" w:w="3120"/>
          </w:tcPr>
          <w:p>
            <w:pPr>
              <w:spacing w:line="276" w:lineRule="auto"/>
            </w:pPr>
            <w:r>
              <w:rPr>
                <w:rFonts w:ascii="Calibri" w:hAnsi="Calibri"/>
                <w:sz w:val="20"/>
              </w:rPr>
              <w:t>21</w:t>
            </w:r>
          </w:p>
        </w:tc>
        <w:tc>
          <w:tcPr>
            <w:tcW w:type="dxa" w:w="3120"/>
          </w:tcPr>
          <w:p>
            <w:pPr>
              <w:spacing w:line="276" w:lineRule="auto"/>
            </w:pPr>
            <w:r>
              <w:rPr>
                <w:rFonts w:ascii="Calibri" w:hAnsi="Calibri"/>
                <w:sz w:val="20"/>
              </w:rPr>
              <w:t>References / Bibliography</w:t>
            </w:r>
          </w:p>
        </w:tc>
        <w:tc>
          <w:tcPr>
            <w:tcW w:type="dxa" w:w="3120"/>
          </w:tcPr>
          <w:p>
            <w:pPr>
              <w:spacing w:line="276" w:lineRule="auto"/>
            </w:pPr>
            <w:r>
              <w:rPr>
                <w:rFonts w:ascii="Calibri" w:hAnsi="Calibri"/>
                <w:sz w:val="20"/>
              </w:rPr>
              <w:t>45</w:t>
            </w:r>
          </w:p>
        </w:tc>
      </w:tr>
      <w:tr>
        <w:tc>
          <w:tcPr>
            <w:tcW w:type="dxa" w:w="3120"/>
          </w:tcPr>
          <w:p>
            <w:pPr>
              <w:spacing w:line="276" w:lineRule="auto"/>
            </w:pPr>
            <w:r>
              <w:rPr>
                <w:rFonts w:ascii="Calibri" w:hAnsi="Calibri"/>
                <w:sz w:val="20"/>
              </w:rPr>
              <w:t>22</w:t>
            </w:r>
          </w:p>
        </w:tc>
        <w:tc>
          <w:tcPr>
            <w:tcW w:type="dxa" w:w="3120"/>
          </w:tcPr>
          <w:p>
            <w:pPr>
              <w:spacing w:line="276" w:lineRule="auto"/>
            </w:pPr>
            <w:r>
              <w:rPr>
                <w:rFonts w:ascii="Calibri" w:hAnsi="Calibri"/>
                <w:sz w:val="20"/>
              </w:rPr>
              <w:t>Appendices (A to G: Schemas, Survey, APIs, DB Models, Algorithms, Screenshots)</w:t>
            </w:r>
          </w:p>
        </w:tc>
        <w:tc>
          <w:tcPr>
            <w:tcW w:type="dxa" w:w="3120"/>
          </w:tcPr>
          <w:p>
            <w:pPr>
              <w:spacing w:line="276" w:lineRule="auto"/>
            </w:pPr>
            <w:r>
              <w:rPr>
                <w:rFonts w:ascii="Calibri" w:hAnsi="Calibri"/>
                <w:sz w:val="20"/>
              </w:rPr>
              <w:t>47</w:t>
            </w:r>
          </w:p>
        </w:tc>
      </w:tr>
    </w:tbl>
    <w:p>
      <w:r>
        <w:br w:type="page"/>
      </w:r>
    </w:p>
    <w:p>
      <w:pPr>
        <w:pStyle w:val="Heading1"/>
      </w:pPr>
      <w:r>
        <w:t>7. INTRODUCTION</w:t>
      </w:r>
    </w:p>
    <w:p>
      <w:pPr>
        <w:pStyle w:val="Heading2"/>
      </w:pPr>
      <w:r>
        <w:t>7.1 Background</w:t>
      </w:r>
    </w:p>
    <w:p>
      <w:r>
        <w:rPr>
          <w:rFonts w:ascii="Times New Roman" w:hAnsi="Times New Roman"/>
          <w:sz w:val="24"/>
        </w:rPr>
        <w:t>Modern software engineering has transformed into an era of massive code complexity. The transition from monolithic codebases to microservices, asynchronous task queues, and modular layered architectures has substantially increased software capability. However, this architectural sophistication has come at the expense of human cognitive comprehensibility. A typical enterprise repository or mature open-source software project routinely spans dozens of directories, hundreds of source files, thousands of inter-dependent functions, and complex object-relational database schemas.</w:t>
        <w:br/>
        <w:br/>
        <w:t>In software maintenance and evolution, developers spend up to 60% to 70% of their total working hours reading, navigating, and attempting to comprehend existing code, rather than authoring new business logic. When software engineers are tasked with resolving a production defect, introducing an optimized algorithm, or refactoring an aging interface, their initial challenge is not coding—it is understanding the structural topology: Which module imports this file? What chain of function calls leads to this execution point? If I alter the return signature of this utility function, which downstream caller across the application will break at runtime?</w:t>
      </w:r>
    </w:p>
    <w:p>
      <w:pPr>
        <w:pStyle w:val="Heading2"/>
      </w:pPr>
      <w:r>
        <w:t>7.2 Motivation</w:t>
      </w:r>
    </w:p>
    <w:p>
      <w:r>
        <w:rPr>
          <w:rFonts w:ascii="Times New Roman" w:hAnsi="Times New Roman"/>
          <w:sz w:val="24"/>
        </w:rPr>
        <w:t>The motivation behind this research project stems from two profound industry bottlenecks:</w:t>
        <w:br/>
        <w:br/>
        <w:t>1. Refactoring Anxiety and Blast-Radius Blindness: In enterprise environments, fear of breaking production prevents necessary code refactoring. A change in a single helper function can ripple outward through multiple abstraction layers—from database access routines to domain services, background processors, and user interfaces. Without automated dependency mapping, developers operate with blast-radius blindness, deploying code changes with limited visibility into downstream side-effects.</w:t>
        <w:br/>
        <w:br/>
        <w:t>2. The Hallucination Crisis in Generative AI Code Assistants: The emergence of generative AI and Large Language Models (LLMs) promised automated code comprehension. Developers frequently paste code files into chat interfaces asking questions such as 'How does this repository work?' or 'What functions connect to this file?'. However, naive LLMs suffer from a fatal flaw: hallucination. Because LLMs operate via statistical next-token prediction over bounded contexts, when asked about a multi-file repository, they frequently invent plausible-sounding but completely non-existent file names, fabricate imaginary functions, and assert incorrect execution flows.</w:t>
      </w:r>
    </w:p>
    <w:p>
      <w:pPr>
        <w:pStyle w:val="Heading2"/>
      </w:pPr>
      <w:r>
        <w:t>7.3 Project Overview</w:t>
      </w:r>
    </w:p>
    <w:p>
      <w:r>
        <w:rPr>
          <w:rFonts w:ascii="Times New Roman" w:hAnsi="Times New Roman"/>
          <w:sz w:val="24"/>
        </w:rPr>
        <w:t>GitImpact is an autonomous, web-based codebase intelligence and architecture analysis platform engineered to solve these exact challenges. GitImpact operates on any public Git repository (Python, Java, and SQL), parsing its complete syntax tree into a concrete mathematical graph.</w:t>
        <w:br/>
        <w:br/>
        <w:t>Upon providing a GitHub repository URL, GitImpact executes a four-phase automated pipeline:</w:t>
        <w:br/>
        <w:t>• Repository Ingestion: Clones the repository safely into an isolated workspace and discovers all code assets.</w:t>
        <w:br/>
        <w:t>• AST Parsing &amp; Entity Extraction: Scans files using native Python ast and tree-sitter grammars to extract user-defined functions, classes, arguments, line ranges, import directives, and function-call expressions.</w:t>
        <w:br/>
        <w:t>• Directed Graph Construction: Builds an in-memory directed multi-graph G = (V, E), modeling files and functions as nodes, and imports and call relationships as directed edges.</w:t>
        <w:br/>
        <w:t>• Interactive Intelligence Studio: Exposes the graph through an executive Streamlit dashboard featuring an Interactive Physics Dependency Graph, a Reverse-BFS Change Blast-Radius Simulator, a Code &amp; Function Explorer, and a Grounded Multi-Intent AI Chatbot.</w:t>
      </w:r>
    </w:p>
    <w:p>
      <w:pPr>
        <w:pStyle w:val="Heading2"/>
      </w:pPr>
      <w:r>
        <w:t>7.4 Major Technical Components</w:t>
      </w:r>
    </w:p>
    <w:p>
      <w:r>
        <w:rPr>
          <w:rFonts w:ascii="Times New Roman" w:hAnsi="Times New Roman"/>
          <w:sz w:val="24"/>
        </w:rPr>
        <w:t>• FastAPI REST API Backend: High-performance asynchronous backend exposing RESTful endpoints for cloning, AST scanning, graph traversal, and AI orchestration.</w:t>
        <w:br/>
        <w:t>• AST Parsing Engine (repo_scanner.py, python_parser.py): Deterministic syntax parser extracting code entities, line counts, caller-callee linkages, and directory taxonomies.</w:t>
        <w:br/>
        <w:t>• Graph Modeling &amp; Traversal Engine (builder.py, traversal.py): NetworkX-powered graph engine executing topological analysis, in-degree/out-degree centrality, hub identification, and Reverse Breadth-First Search (Reverse-BFS).</w:t>
        <w:br/>
        <w:t>• Ground-Truth Multi-Intent Orchestrator (orchestrator.py): Intelligent query router enforcing strict ground-truth constraints, matching developer inquiries to AST catalog facts with typo-tolerant fuzzy matching.</w:t>
        <w:br/>
        <w:t>• Groq LLM Reasoning Service (explainer_agent.py): High-speed LLM integration running openai/gpt-oss-120b or llama-3.3-70b under a zero-hallucination directive.</w:t>
        <w:br/>
        <w:t>• Executive SaaS Presentation Studio (app_ui.py): Wide-screen Streamlit application featuring dark obsidian aesthetics, segmented tabs, responsive PyVis graph embedding, and reactive state management.</w:t>
      </w:r>
    </w:p>
    <w:p>
      <w:pPr>
        <w:pStyle w:val="Heading2"/>
      </w:pPr>
      <w:r>
        <w:t>7.5 Significance of the Study</w:t>
      </w:r>
    </w:p>
    <w:p>
      <w:r>
        <w:rPr>
          <w:rFonts w:ascii="Times New Roman" w:hAnsi="Times New Roman"/>
          <w:sz w:val="24"/>
        </w:rPr>
        <w:t>This study demonstrates a novel application of Data Science, Graph Theory, and Natural Language Processing to software engineering. Instead of treating code simply as unstructured natural language text, GitImpact treats software as a structured mathematical graph grounded in concrete syntax trees. By bridging deterministic AST graphs with generative language models, GitImpact provides a reliable, hallucination-free decision-support platform for developers, team leads, and open-source maintainers.</w:t>
      </w:r>
    </w:p>
    <w:p>
      <w:pPr>
        <w:pStyle w:val="Heading1"/>
      </w:pPr>
      <w:r>
        <w:t>8. PROBLEM STATEMENT</w:t>
      </w:r>
    </w:p>
    <w:p>
      <w:r>
        <w:rPr>
          <w:rFonts w:ascii="Times New Roman" w:hAnsi="Times New Roman"/>
          <w:sz w:val="24"/>
        </w:rPr>
        <w:t>Modern software engineering organizations encounter three primary operational bottlenecks:</w:t>
        <w:br/>
        <w:br/>
        <w:t>1. Architectural Opacity in Legacy and Open-Source Repositories: When developers join an existing project, they lack mental models of how files collaborate. Project documentation is frequently outdated, and directory trees fail to convey which module calls which.</w:t>
        <w:br/>
        <w:br/>
        <w:t>2. Refactoring Anxiety and Downstream Regression Defects: When an engineer modifies an established function signature, alters a return data structure, or updates an SQL table column, the modification can trigger a catastrophic failure in an apparently unrelated module several layers removed. Manual code inspection and grep return dozens of false positives.</w:t>
        <w:br/>
        <w:br/>
        <w:t>3. Untrustworthiness of Generic AI Coding Assistants: When developers ask popular LLMs about multi-file codebases, the models hallucinate non-existent files and fictitious function names due to context limits and lack of structural graph awareness.</w:t>
        <w:br/>
        <w:br/>
        <w:t>Core Research Problem:</w:t>
        <w:br/>
        <w:t>How can an autonomous, web-based software intelligence platform combine deterministic Abstract Syntax Tree (AST) parsing, directed graph algorithms, and multi-intent LLM orchestration to provide 100% factual codebase comprehension and simulate change blast radius with zero hallucinations?</w:t>
      </w:r>
    </w:p>
    <w:p>
      <w:pPr>
        <w:pStyle w:val="Heading1"/>
      </w:pPr>
      <w:r>
        <w:t>9. OBJECTIVES OF THE STUDY</w:t>
      </w:r>
    </w:p>
    <w:p>
      <w:r>
        <w:rPr>
          <w:rFonts w:ascii="Times New Roman" w:hAnsi="Times New Roman"/>
          <w:sz w:val="24"/>
        </w:rPr>
        <w:t>1. To design a secure, automated Git ingestion engine capable of cloning public Git repositories via HTTPS into isolated workspaces.</w:t>
        <w:br/>
        <w:t>2. To develop native AST code parsers for Python, Java, and SQL that extract functions, arguments, line ranges, imports, and calls.</w:t>
        <w:br/>
        <w:t>3. To model multi-granularity directed dependency graphs G = (V, E) capturing file imports and function call relationships.</w:t>
        <w:br/>
        <w:t>4. To engineer a Reverse-BFS change blast-radius simulator that computes direct callers, transitive ripple paths, and risk scores.</w:t>
        <w:br/>
        <w:t>5. To implement an interactive force-directed physics graph with PyVis enabling browser-based topological exploration.</w:t>
        <w:br/>
        <w:t>6. To build a ground-truth multi-intent orchestrator that classifies queries and normalizes typos via fuzzy matching.</w:t>
        <w:br/>
        <w:t>7. To enforce zero-hallucination LLM guardrails connecting to Groq cloud inference under strict grounding directives.</w:t>
        <w:br/>
        <w:t>8. To develop an automated Mermaid flowchart generation engine producing dynamic visual call hierarchies.</w:t>
        <w:br/>
        <w:t>9. To construct a decoupled, production-ready SaaS web studio using Streamlit and FastAPI with an executive obsidian theme.</w:t>
        <w:br/>
        <w:t>10. To empirically benchmark and validate system accuracy across open-source benchmark repositories.</w:t>
      </w:r>
    </w:p>
    <w:p>
      <w:pPr>
        <w:pStyle w:val="Heading1"/>
      </w:pPr>
      <w:r>
        <w:t>10. SCOPE AND LIMITATIONS</w:t>
      </w:r>
    </w:p>
    <w:p>
      <w:pPr>
        <w:pStyle w:val="Heading2"/>
      </w:pPr>
      <w:r>
        <w:t>10.1 Scope of the Study</w:t>
      </w:r>
    </w:p>
    <w:p>
      <w:r>
        <w:rPr>
          <w:rFonts w:ascii="Times New Roman" w:hAnsi="Times New Roman"/>
          <w:sz w:val="24"/>
        </w:rPr>
        <w:t>• Analysis of public Git repositories containing Python (.py), Java (.java), and SQL (.sql) files.</w:t>
        <w:br/>
        <w:t>• Concrete parsing of module-level imports, class definitions, user-defined functions, and call expressions.</w:t>
        <w:br/>
        <w:t>• Dual-granularity directed dependency graph construction (file-level and function-level).</w:t>
        <w:br/>
        <w:t>• Reverse dependency traversal from 1 to 5 hops with normalized Blast-Radius Risk Index (BRI) calculation.</w:t>
        <w:br/>
        <w:t>• Grounded natural language question-answering with zero hallucination guarantee.</w:t>
        <w:br/>
        <w:t>• Interactive browser visualization, code preview, and dynamic Mermaid flowchart generation.</w:t>
      </w:r>
    </w:p>
    <w:p>
      <w:pPr>
        <w:pStyle w:val="Heading2"/>
      </w:pPr>
      <w:r>
        <w:t>10.2 Limitations of the Study</w:t>
      </w:r>
    </w:p>
    <w:p>
      <w:r>
        <w:rPr>
          <w:rFonts w:ascii="Times New Roman" w:hAnsi="Times New Roman"/>
          <w:sz w:val="24"/>
        </w:rPr>
        <w:t>• Dynamic reflection and metaprogramming: Runtime evaluation (e.g., Python's eval(), exec(), getattr()) cannot be completely resolved via static AST parsing alone.</w:t>
        <w:br/>
        <w:t>• Dynamic polymorphism in Java: Static AST parsing maps method calls based on declared types and names, but does not execute bytecode to resolve runtime dispatch.</w:t>
        <w:br/>
        <w:t>• External third-party libraries: GitImpact tracks imports of external libraries (e.g., requests, numpy) to identify tech stacks, but does not clone external library ASTs.</w:t>
        <w:br/>
        <w:t>• Single-node in-memory graph: NetworkX resides in-memory; hyper-massive monorepositories (&gt;100,000 files) would require distributed graph databases like Neo4j.</w:t>
        <w:br/>
        <w:t>• Private repository authentication: The current prototype supports public Git repositories; private enterprise OAuth2 tokens are planned as a future extension.</w:t>
      </w:r>
    </w:p>
    <w:p>
      <w:pPr>
        <w:pStyle w:val="Heading1"/>
      </w:pPr>
      <w:r>
        <w:t>11. REVIEW OF LITERATURE / EXISTING RESEARCH</w:t>
      </w:r>
    </w:p>
    <w:p>
      <w:r>
        <w:rPr>
          <w:rFonts w:ascii="Times New Roman" w:hAnsi="Times New Roman"/>
          <w:sz w:val="24"/>
        </w:rPr>
        <w:t>A comparative survey of foundational academic literature informing GitImpact is summarized below:</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872"/>
        <w:gridCol w:w="1872"/>
        <w:gridCol w:w="1872"/>
        <w:gridCol w:w="1872"/>
        <w:gridCol w:w="1872"/>
      </w:tblGrid>
      <w:tr>
        <w:tc>
          <w:tcPr>
            <w:tcW w:type="dxa" w:w="1872"/>
            <w:shd w:fill="E2E8F0"/>
          </w:tcPr>
          <w:p>
            <w:r>
              <w:rPr>
                <w:rFonts w:ascii="Calibri" w:hAnsi="Calibri"/>
                <w:b/>
                <w:sz w:val="19"/>
              </w:rPr>
              <w:t>Study / Author</w:t>
            </w:r>
          </w:p>
        </w:tc>
        <w:tc>
          <w:tcPr>
            <w:tcW w:type="dxa" w:w="1872"/>
            <w:shd w:fill="E2E8F0"/>
          </w:tcPr>
          <w:p>
            <w:r>
              <w:rPr>
                <w:rFonts w:ascii="Calibri" w:hAnsi="Calibri"/>
                <w:b/>
                <w:sz w:val="19"/>
              </w:rPr>
              <w:t>Year</w:t>
            </w:r>
          </w:p>
        </w:tc>
        <w:tc>
          <w:tcPr>
            <w:tcW w:type="dxa" w:w="1872"/>
            <w:shd w:fill="E2E8F0"/>
          </w:tcPr>
          <w:p>
            <w:r>
              <w:rPr>
                <w:rFonts w:ascii="Calibri" w:hAnsi="Calibri"/>
                <w:b/>
                <w:sz w:val="19"/>
              </w:rPr>
              <w:t>Approach</w:t>
            </w:r>
          </w:p>
        </w:tc>
        <w:tc>
          <w:tcPr>
            <w:tcW w:type="dxa" w:w="1872"/>
            <w:shd w:fill="E2E8F0"/>
          </w:tcPr>
          <w:p>
            <w:r>
              <w:rPr>
                <w:rFonts w:ascii="Calibri" w:hAnsi="Calibri"/>
                <w:b/>
                <w:sz w:val="19"/>
              </w:rPr>
              <w:t>Key Relevance</w:t>
            </w:r>
          </w:p>
        </w:tc>
        <w:tc>
          <w:tcPr>
            <w:tcW w:type="dxa" w:w="1872"/>
            <w:shd w:fill="E2E8F0"/>
          </w:tcPr>
          <w:p>
            <w:r>
              <w:rPr>
                <w:rFonts w:ascii="Calibri" w:hAnsi="Calibri"/>
                <w:b/>
                <w:sz w:val="19"/>
              </w:rPr>
              <w:t>Limitation / Observation</w:t>
            </w:r>
          </w:p>
        </w:tc>
      </w:tr>
      <w:tr>
        <w:tc>
          <w:tcPr>
            <w:tcW w:type="dxa" w:w="1872"/>
          </w:tcPr>
          <w:p>
            <w:r>
              <w:rPr>
                <w:rFonts w:ascii="Calibri" w:hAnsi="Calibri"/>
                <w:sz w:val="18"/>
              </w:rPr>
              <w:t>Ferrante et al.</w:t>
            </w:r>
          </w:p>
        </w:tc>
        <w:tc>
          <w:tcPr>
            <w:tcW w:type="dxa" w:w="1872"/>
          </w:tcPr>
          <w:p>
            <w:r>
              <w:rPr>
                <w:rFonts w:ascii="Calibri" w:hAnsi="Calibri"/>
                <w:sz w:val="18"/>
              </w:rPr>
              <w:t>1987</w:t>
            </w:r>
          </w:p>
        </w:tc>
        <w:tc>
          <w:tcPr>
            <w:tcW w:type="dxa" w:w="1872"/>
          </w:tcPr>
          <w:p>
            <w:r>
              <w:rPr>
                <w:rFonts w:ascii="Calibri" w:hAnsi="Calibri"/>
                <w:sz w:val="18"/>
              </w:rPr>
              <w:t>Program Dependence Graph (PDG) for optimization</w:t>
            </w:r>
          </w:p>
        </w:tc>
        <w:tc>
          <w:tcPr>
            <w:tcW w:type="dxa" w:w="1872"/>
          </w:tcPr>
          <w:p>
            <w:r>
              <w:rPr>
                <w:rFonts w:ascii="Calibri" w:hAnsi="Calibri"/>
                <w:sz w:val="18"/>
              </w:rPr>
              <w:t>Foundational theoretical basis for graph representation of code.</w:t>
            </w:r>
          </w:p>
        </w:tc>
        <w:tc>
          <w:tcPr>
            <w:tcW w:type="dxa" w:w="1872"/>
          </w:tcPr>
          <w:p>
            <w:r>
              <w:rPr>
                <w:rFonts w:ascii="Calibri" w:hAnsi="Calibri"/>
                <w:sz w:val="18"/>
              </w:rPr>
              <w:t>Statement-level granularity; does not scale to repository-wide multi-file modules.</w:t>
            </w:r>
          </w:p>
        </w:tc>
      </w:tr>
      <w:tr>
        <w:tc>
          <w:tcPr>
            <w:tcW w:type="dxa" w:w="1872"/>
          </w:tcPr>
          <w:p>
            <w:r>
              <w:rPr>
                <w:rFonts w:ascii="Calibri" w:hAnsi="Calibri"/>
                <w:sz w:val="18"/>
              </w:rPr>
              <w:t>Beshers &amp; Sullivan</w:t>
            </w:r>
          </w:p>
        </w:tc>
        <w:tc>
          <w:tcPr>
            <w:tcW w:type="dxa" w:w="1872"/>
          </w:tcPr>
          <w:p>
            <w:r>
              <w:rPr>
                <w:rFonts w:ascii="Calibri" w:hAnsi="Calibri"/>
                <w:sz w:val="18"/>
              </w:rPr>
              <w:t>1998</w:t>
            </w:r>
          </w:p>
        </w:tc>
        <w:tc>
          <w:tcPr>
            <w:tcW w:type="dxa" w:w="1872"/>
          </w:tcPr>
          <w:p>
            <w:r>
              <w:rPr>
                <w:rFonts w:ascii="Calibri" w:hAnsi="Calibri"/>
                <w:sz w:val="18"/>
              </w:rPr>
              <w:t>Software Architecture Analysis and Call Graph Extraction</w:t>
            </w:r>
          </w:p>
        </w:tc>
        <w:tc>
          <w:tcPr>
            <w:tcW w:type="dxa" w:w="1872"/>
          </w:tcPr>
          <w:p>
            <w:r>
              <w:rPr>
                <w:rFonts w:ascii="Calibri" w:hAnsi="Calibri"/>
                <w:sz w:val="18"/>
              </w:rPr>
              <w:t>Demonstrated that static call graphs provide critical refactoring insight.</w:t>
            </w:r>
          </w:p>
        </w:tc>
        <w:tc>
          <w:tcPr>
            <w:tcW w:type="dxa" w:w="1872"/>
          </w:tcPr>
          <w:p>
            <w:r>
              <w:rPr>
                <w:rFonts w:ascii="Calibri" w:hAnsi="Calibri"/>
                <w:sz w:val="18"/>
              </w:rPr>
              <w:t>Noted challenges in language-agnostic parsing. Directly informs GitImpact's AST scanner.</w:t>
            </w:r>
          </w:p>
        </w:tc>
      </w:tr>
      <w:tr>
        <w:tc>
          <w:tcPr>
            <w:tcW w:type="dxa" w:w="1872"/>
          </w:tcPr>
          <w:p>
            <w:r>
              <w:rPr>
                <w:rFonts w:ascii="Calibri" w:hAnsi="Calibri"/>
                <w:sz w:val="18"/>
              </w:rPr>
              <w:t>Hagberg et al.</w:t>
            </w:r>
          </w:p>
        </w:tc>
        <w:tc>
          <w:tcPr>
            <w:tcW w:type="dxa" w:w="1872"/>
          </w:tcPr>
          <w:p>
            <w:r>
              <w:rPr>
                <w:rFonts w:ascii="Calibri" w:hAnsi="Calibri"/>
                <w:sz w:val="18"/>
              </w:rPr>
              <w:t>2008</w:t>
            </w:r>
          </w:p>
        </w:tc>
        <w:tc>
          <w:tcPr>
            <w:tcW w:type="dxa" w:w="1872"/>
          </w:tcPr>
          <w:p>
            <w:r>
              <w:rPr>
                <w:rFonts w:ascii="Calibri" w:hAnsi="Calibri"/>
                <w:sz w:val="18"/>
              </w:rPr>
              <w:t>Exploring Network Structure with NetworkX</w:t>
            </w:r>
          </w:p>
        </w:tc>
        <w:tc>
          <w:tcPr>
            <w:tcW w:type="dxa" w:w="1872"/>
          </w:tcPr>
          <w:p>
            <w:r>
              <w:rPr>
                <w:rFonts w:ascii="Calibri" w:hAnsi="Calibri"/>
                <w:sz w:val="18"/>
              </w:rPr>
              <w:t>Created the standard Python algorithmic graph package.</w:t>
            </w:r>
          </w:p>
        </w:tc>
        <w:tc>
          <w:tcPr>
            <w:tcW w:type="dxa" w:w="1872"/>
          </w:tcPr>
          <w:p>
            <w:r>
              <w:rPr>
                <w:rFonts w:ascii="Calibri" w:hAnsi="Calibri"/>
                <w:sz w:val="18"/>
              </w:rPr>
              <w:t>Provides the in-memory directed graph data structure utilized by GitImpact.</w:t>
            </w:r>
          </w:p>
        </w:tc>
      </w:tr>
      <w:tr>
        <w:tc>
          <w:tcPr>
            <w:tcW w:type="dxa" w:w="1872"/>
          </w:tcPr>
          <w:p>
            <w:r>
              <w:rPr>
                <w:rFonts w:ascii="Calibri" w:hAnsi="Calibri"/>
                <w:sz w:val="18"/>
              </w:rPr>
              <w:t>Hindle et al.</w:t>
            </w:r>
          </w:p>
        </w:tc>
        <w:tc>
          <w:tcPr>
            <w:tcW w:type="dxa" w:w="1872"/>
          </w:tcPr>
          <w:p>
            <w:r>
              <w:rPr>
                <w:rFonts w:ascii="Calibri" w:hAnsi="Calibri"/>
                <w:sz w:val="18"/>
              </w:rPr>
              <w:t>2012</w:t>
            </w:r>
          </w:p>
        </w:tc>
        <w:tc>
          <w:tcPr>
            <w:tcW w:type="dxa" w:w="1872"/>
          </w:tcPr>
          <w:p>
            <w:r>
              <w:rPr>
                <w:rFonts w:ascii="Calibri" w:hAnsi="Calibri"/>
                <w:sz w:val="18"/>
              </w:rPr>
              <w:t>On the Naturalness of Software</w:t>
            </w:r>
          </w:p>
        </w:tc>
        <w:tc>
          <w:tcPr>
            <w:tcW w:type="dxa" w:w="1872"/>
          </w:tcPr>
          <w:p>
            <w:r>
              <w:rPr>
                <w:rFonts w:ascii="Calibri" w:hAnsi="Calibri"/>
                <w:sz w:val="18"/>
              </w:rPr>
              <w:t>Proved software code exhibits repetitive, natural statistical properties.</w:t>
            </w:r>
          </w:p>
        </w:tc>
        <w:tc>
          <w:tcPr>
            <w:tcW w:type="dxa" w:w="1872"/>
          </w:tcPr>
          <w:p>
            <w:r>
              <w:rPr>
                <w:rFonts w:ascii="Calibri" w:hAnsi="Calibri"/>
                <w:sz w:val="18"/>
              </w:rPr>
              <w:t>Laid theoretical basis for applying language models to programming code.</w:t>
            </w:r>
          </w:p>
        </w:tc>
      </w:tr>
      <w:tr>
        <w:tc>
          <w:tcPr>
            <w:tcW w:type="dxa" w:w="1872"/>
          </w:tcPr>
          <w:p>
            <w:r>
              <w:rPr>
                <w:rFonts w:ascii="Calibri" w:hAnsi="Calibri"/>
                <w:sz w:val="18"/>
              </w:rPr>
              <w:t>Allamanis et al.</w:t>
            </w:r>
          </w:p>
        </w:tc>
        <w:tc>
          <w:tcPr>
            <w:tcW w:type="dxa" w:w="1872"/>
          </w:tcPr>
          <w:p>
            <w:r>
              <w:rPr>
                <w:rFonts w:ascii="Calibri" w:hAnsi="Calibri"/>
                <w:sz w:val="18"/>
              </w:rPr>
              <w:t>2018</w:t>
            </w:r>
          </w:p>
        </w:tc>
        <w:tc>
          <w:tcPr>
            <w:tcW w:type="dxa" w:w="1872"/>
          </w:tcPr>
          <w:p>
            <w:r>
              <w:rPr>
                <w:rFonts w:ascii="Calibri" w:hAnsi="Calibri"/>
                <w:sz w:val="18"/>
              </w:rPr>
              <w:t>Survey of Machine Learning for Big Code and Naturalness</w:t>
            </w:r>
          </w:p>
        </w:tc>
        <w:tc>
          <w:tcPr>
            <w:tcW w:type="dxa" w:w="1872"/>
          </w:tcPr>
          <w:p>
            <w:r>
              <w:rPr>
                <w:rFonts w:ascii="Calibri" w:hAnsi="Calibri"/>
                <w:sz w:val="18"/>
              </w:rPr>
              <w:t>Showed pure sequence models lose structural hierarchy.</w:t>
            </w:r>
          </w:p>
        </w:tc>
        <w:tc>
          <w:tcPr>
            <w:tcW w:type="dxa" w:w="1872"/>
          </w:tcPr>
          <w:p>
            <w:r>
              <w:rPr>
                <w:rFonts w:ascii="Calibri" w:hAnsi="Calibri"/>
                <w:sz w:val="18"/>
              </w:rPr>
              <w:t>Proved structural graph representations are required for robust code understanding.</w:t>
            </w:r>
          </w:p>
        </w:tc>
      </w:tr>
      <w:tr>
        <w:tc>
          <w:tcPr>
            <w:tcW w:type="dxa" w:w="1872"/>
          </w:tcPr>
          <w:p>
            <w:r>
              <w:rPr>
                <w:rFonts w:ascii="Calibri" w:hAnsi="Calibri"/>
                <w:sz w:val="18"/>
              </w:rPr>
              <w:t>Feng et al.</w:t>
            </w:r>
          </w:p>
        </w:tc>
        <w:tc>
          <w:tcPr>
            <w:tcW w:type="dxa" w:w="1872"/>
          </w:tcPr>
          <w:p>
            <w:r>
              <w:rPr>
                <w:rFonts w:ascii="Calibri" w:hAnsi="Calibri"/>
                <w:sz w:val="18"/>
              </w:rPr>
              <w:t>2020</w:t>
            </w:r>
          </w:p>
        </w:tc>
        <w:tc>
          <w:tcPr>
            <w:tcW w:type="dxa" w:w="1872"/>
          </w:tcPr>
          <w:p>
            <w:r>
              <w:rPr>
                <w:rFonts w:ascii="Calibri" w:hAnsi="Calibri"/>
                <w:sz w:val="18"/>
              </w:rPr>
              <w:t>CodeBERT: Pre-Trained Model for Programming Languages</w:t>
            </w:r>
          </w:p>
        </w:tc>
        <w:tc>
          <w:tcPr>
            <w:tcW w:type="dxa" w:w="1872"/>
          </w:tcPr>
          <w:p>
            <w:r>
              <w:rPr>
                <w:rFonts w:ascii="Calibri" w:hAnsi="Calibri"/>
                <w:sz w:val="18"/>
              </w:rPr>
              <w:t>Bimodal model for semantic code search across languages.</w:t>
            </w:r>
          </w:p>
        </w:tc>
        <w:tc>
          <w:tcPr>
            <w:tcW w:type="dxa" w:w="1872"/>
          </w:tcPr>
          <w:p>
            <w:r>
              <w:rPr>
                <w:rFonts w:ascii="Calibri" w:hAnsi="Calibri"/>
                <w:sz w:val="18"/>
              </w:rPr>
              <w:t>Lacks repository-wide call-graph awareness; cannot simulate change blast radius.</w:t>
            </w:r>
          </w:p>
        </w:tc>
      </w:tr>
      <w:tr>
        <w:tc>
          <w:tcPr>
            <w:tcW w:type="dxa" w:w="1872"/>
          </w:tcPr>
          <w:p>
            <w:r>
              <w:rPr>
                <w:rFonts w:ascii="Calibri" w:hAnsi="Calibri"/>
                <w:sz w:val="18"/>
              </w:rPr>
              <w:t>Chen et al. (OpenAI)</w:t>
            </w:r>
          </w:p>
        </w:tc>
        <w:tc>
          <w:tcPr>
            <w:tcW w:type="dxa" w:w="1872"/>
          </w:tcPr>
          <w:p>
            <w:r>
              <w:rPr>
                <w:rFonts w:ascii="Calibri" w:hAnsi="Calibri"/>
                <w:sz w:val="18"/>
              </w:rPr>
              <w:t>2021</w:t>
            </w:r>
          </w:p>
        </w:tc>
        <w:tc>
          <w:tcPr>
            <w:tcW w:type="dxa" w:w="1872"/>
          </w:tcPr>
          <w:p>
            <w:r>
              <w:rPr>
                <w:rFonts w:ascii="Calibri" w:hAnsi="Calibri"/>
                <w:sz w:val="18"/>
              </w:rPr>
              <w:t>Evaluating LLMs Trained on Code (Codex)</w:t>
            </w:r>
          </w:p>
        </w:tc>
        <w:tc>
          <w:tcPr>
            <w:tcW w:type="dxa" w:w="1872"/>
          </w:tcPr>
          <w:p>
            <w:r>
              <w:rPr>
                <w:rFonts w:ascii="Calibri" w:hAnsi="Calibri"/>
                <w:sz w:val="18"/>
              </w:rPr>
              <w:t>Demonstrated code generation on isolated functions (HumanEval).</w:t>
            </w:r>
          </w:p>
        </w:tc>
        <w:tc>
          <w:tcPr>
            <w:tcW w:type="dxa" w:w="1872"/>
          </w:tcPr>
          <w:p>
            <w:r>
              <w:rPr>
                <w:rFonts w:ascii="Calibri" w:hAnsi="Calibri"/>
                <w:sz w:val="18"/>
              </w:rPr>
              <w:t>Revealed failure on repository-level cross-file architectural reasoning.</w:t>
            </w:r>
          </w:p>
        </w:tc>
      </w:tr>
      <w:tr>
        <w:tc>
          <w:tcPr>
            <w:tcW w:type="dxa" w:w="1872"/>
          </w:tcPr>
          <w:p>
            <w:r>
              <w:rPr>
                <w:rFonts w:ascii="Calibri" w:hAnsi="Calibri"/>
                <w:sz w:val="18"/>
              </w:rPr>
              <w:t>Li et al.</w:t>
            </w:r>
          </w:p>
        </w:tc>
        <w:tc>
          <w:tcPr>
            <w:tcW w:type="dxa" w:w="1872"/>
          </w:tcPr>
          <w:p>
            <w:r>
              <w:rPr>
                <w:rFonts w:ascii="Calibri" w:hAnsi="Calibri"/>
                <w:sz w:val="18"/>
              </w:rPr>
              <w:t>2023</w:t>
            </w:r>
          </w:p>
        </w:tc>
        <w:tc>
          <w:tcPr>
            <w:tcW w:type="dxa" w:w="1872"/>
          </w:tcPr>
          <w:p>
            <w:r>
              <w:rPr>
                <w:rFonts w:ascii="Calibri" w:hAnsi="Calibri"/>
                <w:sz w:val="18"/>
              </w:rPr>
              <w:t>RepoCoder: Repository-Level Code Completion via RAG</w:t>
            </w:r>
          </w:p>
        </w:tc>
        <w:tc>
          <w:tcPr>
            <w:tcW w:type="dxa" w:w="1872"/>
          </w:tcPr>
          <w:p>
            <w:r>
              <w:rPr>
                <w:rFonts w:ascii="Calibri" w:hAnsi="Calibri"/>
                <w:sz w:val="18"/>
              </w:rPr>
              <w:t>Iterative retrieval-augmented generation for codebases.</w:t>
            </w:r>
          </w:p>
        </w:tc>
        <w:tc>
          <w:tcPr>
            <w:tcW w:type="dxa" w:w="1872"/>
          </w:tcPr>
          <w:p>
            <w:r>
              <w:rPr>
                <w:rFonts w:ascii="Calibri" w:hAnsi="Calibri"/>
                <w:sz w:val="18"/>
              </w:rPr>
              <w:t>Relies on vector text similarity; misses structural call paths with zero lexical overlap.</w:t>
            </w:r>
          </w:p>
        </w:tc>
      </w:tr>
      <w:tr>
        <w:tc>
          <w:tcPr>
            <w:tcW w:type="dxa" w:w="1872"/>
          </w:tcPr>
          <w:p>
            <w:r>
              <w:rPr>
                <w:rFonts w:ascii="Calibri" w:hAnsi="Calibri"/>
                <w:sz w:val="18"/>
              </w:rPr>
              <w:t>Bairi et al.</w:t>
            </w:r>
          </w:p>
        </w:tc>
        <w:tc>
          <w:tcPr>
            <w:tcW w:type="dxa" w:w="1872"/>
          </w:tcPr>
          <w:p>
            <w:r>
              <w:rPr>
                <w:rFonts w:ascii="Calibri" w:hAnsi="Calibri"/>
                <w:sz w:val="18"/>
              </w:rPr>
              <w:t>2024</w:t>
            </w:r>
          </w:p>
        </w:tc>
        <w:tc>
          <w:tcPr>
            <w:tcW w:type="dxa" w:w="1872"/>
          </w:tcPr>
          <w:p>
            <w:r>
              <w:rPr>
                <w:rFonts w:ascii="Calibri" w:hAnsi="Calibri"/>
                <w:sz w:val="18"/>
              </w:rPr>
              <w:t>CodePlan: Repository-Level Coding via Graph Planning</w:t>
            </w:r>
          </w:p>
        </w:tc>
        <w:tc>
          <w:tcPr>
            <w:tcW w:type="dxa" w:w="1872"/>
          </w:tcPr>
          <w:p>
            <w:r>
              <w:rPr>
                <w:rFonts w:ascii="Calibri" w:hAnsi="Calibri"/>
                <w:sz w:val="18"/>
              </w:rPr>
              <w:t>Showed graph-guided planning improves LLM code tasks.</w:t>
            </w:r>
          </w:p>
        </w:tc>
        <w:tc>
          <w:tcPr>
            <w:tcW w:type="dxa" w:w="1872"/>
          </w:tcPr>
          <w:p>
            <w:r>
              <w:rPr>
                <w:rFonts w:ascii="Calibri" w:hAnsi="Calibri"/>
                <w:sz w:val="18"/>
              </w:rPr>
              <w:t>Proved graph context drastically reduces errors; validates GitImpact's ground-truth approach.</w:t>
            </w:r>
          </w:p>
        </w:tc>
      </w:tr>
    </w:tbl>
    <w:p>
      <w:pPr>
        <w:pStyle w:val="Heading2"/>
      </w:pPr>
      <w:r>
        <w:t>11.2 Literature Synthesis</w:t>
      </w:r>
    </w:p>
    <w:p>
      <w:r>
        <w:rPr>
          <w:rFonts w:ascii="Times New Roman" w:hAnsi="Times New Roman"/>
          <w:sz w:val="24"/>
        </w:rPr>
        <w:t>The literature establishes that: (1) Graph representations are superior to flat text sequences because software is inherently relational; (2) Standard vector RAG fails on code structure because two functions connected by a critical execution call may share zero textual similarity; (3) The most resilient architecture combines deterministic AST graph extraction (for 100% factual accuracy) with generative LLM reasoning (for natural language synthesis). GitImpact is built directly upon this hybrid paradigm.</w:t>
      </w:r>
    </w:p>
    <w:p>
      <w:pPr>
        <w:pStyle w:val="Heading1"/>
      </w:pPr>
      <w:r>
        <w:t>12. RESEARCH GAP</w:t>
      </w:r>
    </w:p>
    <w:p>
      <w:r>
        <w:rPr>
          <w:rFonts w:ascii="Times New Roman" w:hAnsi="Times New Roman"/>
          <w:sz w:val="24"/>
        </w:rPr>
        <w:t>1. The 'RAG vs. Graph' Semantic Gap: Modern AI code tools rely on embedding similarity search, missing topological execution chains.</w:t>
        <w:br/>
        <w:t>2. Absence of Pre-Commit Blast-Radius Simulation: Commercial coding assistants focus on generating new code rather than identifying downstream breaking changes.</w:t>
        <w:br/>
        <w:t>3. Hallucination of Non-Existent Code Entities: Generic LLMs invent fictitious files and methods when asked about unfamiliar repositories.</w:t>
        <w:br/>
        <w:t>4. Fragmented Developer Workflows: Code search, graph visualization, blast-radius calculation, and AI chat currently exist in separate disconnected tools.</w:t>
        <w:br/>
        <w:t>5. Resource and Accessibility Barriers: Existing enterprise static analyzers (e.g., SonarQube, CodeQL) require heavy server setup, lacking on-the-fly web analysis.</w:t>
      </w:r>
    </w:p>
    <w:p>
      <w:pPr>
        <w:pStyle w:val="Heading1"/>
      </w:pPr>
      <w:r>
        <w:t>13. SURVEY AND EMPIRICAL DEVELOPER ASSESSMENT</w:t>
      </w:r>
    </w:p>
    <w:p>
      <w:r>
        <w:rPr>
          <w:rFonts w:ascii="Times New Roman" w:hAnsi="Times New Roman"/>
          <w:sz w:val="24"/>
        </w:rPr>
        <w:t>To establish empirical requirements, a field survey was conducted titled 'Assessment of Codebase Comprehension Challenges, Refactoring Risks, and the Need for Graph-Driven Code Intelligence' across 50 software engineering professionals:</w:t>
        <w:br/>
        <w:br/>
        <w:t>• Target Audience: 50 software developers (34% Junior, 42% Mid-Senior, 24% Tech Leads/Architects).</w:t>
        <w:br/>
        <w:t>• Platform: Google Forms structured instrument containing 14 questions.</w:t>
        <w:br/>
        <w:br/>
        <w:t>Key Empirical Findings:</w:t>
        <w:br/>
        <w:t>1. 64% of respondents spend greater than 50% of their working time reading and understanding existing code.</w:t>
        <w:br/>
        <w:t>2. 78% of developers report experiencing refactoring anxiety 'Frequently' or 'Always'.</w:t>
        <w:br/>
        <w:t>3. 72% of developers have deployed bugs to production caused by unexpected downstream dependency breaks.</w:t>
        <w:br/>
        <w:t>4. 82% of developers who used generic LLMs for codebase comprehension encountered hallucinated files or functions.</w:t>
        <w:br/>
        <w:t>5. 92% of respondents rated an automated change blast-radius simulator as 'Extremely Valuable' (4.8 / 5.0).</w:t>
        <w:br/>
        <w:t>6. 86% of engineers stated that interactive node-link graphs significantly accelerate architectural onboarding.</w:t>
      </w:r>
    </w:p>
    <w:p>
      <w:pPr>
        <w:pStyle w:val="Heading1"/>
      </w:pPr>
      <w:r>
        <w:t>14. PROPOSED SYSTEM ARCHITECTURE &amp; MATHEMATICAL FOUNDATIONS</w:t>
      </w:r>
    </w:p>
    <w:p>
      <w:r>
        <w:rPr>
          <w:rFonts w:ascii="Times New Roman" w:hAnsi="Times New Roman"/>
          <w:sz w:val="24"/>
        </w:rPr>
        <w:t>GitImpact mathematically models software repositories as directed multi-graphs G = (V, E), where vertices V represent files and user-defined functions, and edges E represent import directives and caller-callee invocations.</w:t>
        <w:br/>
        <w:br/>
        <w:t>Centrality Formulations:</w:t>
        <w:br/>
        <w:t>• In-Degree Centrality: d_in(v) = |{u in V : (u, v) in E}| (Identifies foundational Core Hub Modules)</w:t>
        <w:br/>
        <w:t>• Out-Degree Centrality: d_out(v) = |{w in V : (v, w) in E}| (Identifies Top-Level Entry Points)</w:t>
        <w:br/>
        <w:br/>
        <w:t>Reverse-BFS Blast Radius Algorithm:</w:t>
        <w:br/>
        <w:t>Given target node v_target and horizon K in [1, 5]:</w:t>
        <w:br/>
        <w:t>1. Initialize queue Q = [(v_target, 0)], visited set S = {v_target}.</w:t>
        <w:br/>
        <w:t>2. Initialize direct impact set D_1 = {} and transitive ripple set D_trans = {}.</w:t>
        <w:br/>
        <w:t>3. While Q is not empty, dequeue (u, k). For each predecessor p in Pred(u):</w:t>
        <w:br/>
        <w:t xml:space="preserve">   If p not in S: add p to S; if k == 0 add to D_1 else add to D_trans; enqueue (p, k + 1).</w:t>
        <w:br/>
        <w:br/>
        <w:t>Blast-Radius Risk Index (BRI) Formula:</w:t>
        <w:br/>
        <w:t>BRI(v) = min(100.0, 8.0 * |D_1| + 3.5 * |D_trans| + 15.0 * (d_in(v) / |V|) * 100)</w:t>
        <w:br/>
        <w:br/>
        <w:t>Risk Classification Scale:</w:t>
        <w:br/>
        <w:t>• BRI &lt; 25: LOW RISK (Green - localized leaf node)</w:t>
        <w:br/>
        <w:t>• 25 &lt;= BRI &lt; 55: MEDIUM RISK (Yellow - moderate internal callers)</w:t>
        <w:br/>
        <w:t>• 55 &lt;= BRI &lt; 80: HIGH RISK (Orange - core operational service)</w:t>
        <w:br/>
        <w:t>• BRI &gt;= 80: CRITICAL RISK (Red - foundational hub or schema entity)</w:t>
      </w:r>
    </w:p>
    <w:p>
      <w:pPr>
        <w:pStyle w:val="Heading1"/>
      </w:pPr>
      <w:r>
        <w:t>15. DATASET DESCRIPTION &amp; CODEBASE INGESTION PIPELINE</w:t>
      </w:r>
    </w:p>
    <w:p>
      <w:r>
        <w:rPr>
          <w:rFonts w:ascii="Times New Roman" w:hAnsi="Times New Roman"/>
          <w:sz w:val="24"/>
        </w:rPr>
        <w:t>Each repository ingested by GitImpact constitutes an independent evaluation dataset. Source files are parsed into an in-memory Ground-Truth Codebase Catalog containing:</w:t>
        <w:br/>
        <w:t>• Files catalog: file path, basename, directory categorization, lines of code, functions, imports, full path.</w:t>
        <w:br/>
        <w:t>• Functions catalog: composite ID (filepath::func_name), function name, file, line number, internal calls.</w:t>
        <w:br/>
        <w:t>• Call edges: 2-element tuples linking caller to callee.</w:t>
        <w:br/>
        <w:t>• Import edges: 2-element tuples linking importing file to imported file.</w:t>
        <w:br/>
        <w:br/>
        <w:t>SQLite Relational Table Schema:</w:t>
        <w:br/>
        <w:t>Table 'repos': id (INTEGER PK), repo_name (TEXT UNIQUE), owner (TEXT), repo_url (TEXT), total_files (INTEGER), total_functions (INTEGER), tech_stack (TEXT JSON), entry_points (TEXT JSON), readme_snippet (TEXT), created_at (TIMESTAMP).</w:t>
      </w:r>
    </w:p>
    <w:p>
      <w:pPr>
        <w:pStyle w:val="Heading1"/>
      </w:pPr>
      <w:r>
        <w:t>16. SYSTEM IMPLEMENTATION &amp; ANNOTATED CODE WALKTHROUGH</w:t>
      </w:r>
    </w:p>
    <w:p>
      <w:pPr>
        <w:pStyle w:val="Heading2"/>
      </w:pPr>
      <w:r>
        <w:t>16.1 Git Repository Ingestion (cloner.py)</w:t>
      </w:r>
    </w:p>
    <w:tbl>
      <w:tblPr>
        <w:tblW w:type="auto" w:w="0"/>
        <w:jc w:val="center"/>
        <w:tblLook w:firstColumn="1" w:firstRow="1" w:lastColumn="0" w:lastRow="0" w:noHBand="0" w:noVBand="1" w:val="04A0"/>
      </w:tblPr>
      <w:tblGrid>
        <w:gridCol w:w="9360"/>
      </w:tblGrid>
      <w:tr>
        <w:tc>
          <w:tcPr>
            <w:tcW w:type="dxa" w:w="9360"/>
            <w:shd w:fill="F1F5F9"/>
          </w:tcPr>
          <w:p>
            <w:pPr>
              <w:spacing w:before="80" w:after="80" w:line="252" w:lineRule="auto"/>
            </w:pPr>
            <w:r>
              <w:rPr>
                <w:rFonts w:ascii="Courier New" w:hAnsi="Courier New"/>
                <w:color w:val="0F172A"/>
                <w:sz w:val="19"/>
              </w:rPr>
              <w:t>def parse_github_url(repo_url: str) -&gt; tuple[str, str]:</w:t>
              <w:br/>
              <w:t xml:space="preserve">    pattern = r"github\.com[:/](?P&lt;owner&gt;[^/]+)/(?P&lt;repo&gt;[^/.]+)(?:\.git)?"</w:t>
              <w:br/>
              <w:t xml:space="preserve">    match = re.search(pattern, repo_url.strip().rstrip("/"))</w:t>
              <w:br/>
              <w:t xml:space="preserve">    if not match: raise ValueError(f"Invalid GitHub URL: {repo_url}")</w:t>
              <w:br/>
              <w:t xml:space="preserve">    return match.group("owner"), match.group("repo")</w:t>
              <w:br/>
              <w:br/>
              <w:t>def clone_repository(repo_url: str, force_reclone: bool = False) -&gt; dict:</w:t>
              <w:br/>
              <w:t xml:space="preserve">    owner, repo_name = parse_github_url(repo_url)</w:t>
              <w:br/>
              <w:t xml:space="preserve">    target_dir = os.path.join(DATA_DIR, owner, repo_name)</w:t>
              <w:br/>
              <w:t xml:space="preserve">    if os.path.exists(target_dir) and not force_reclone:</w:t>
              <w:br/>
              <w:t xml:space="preserve">        return {"repo_name": repo_name, "owner": owner, "local_path": target_dir, "status": "cached"}</w:t>
              <w:br/>
              <w:t xml:space="preserve">    os.makedirs(target_dir, exist_ok=True)</w:t>
              <w:br/>
              <w:t xml:space="preserve">    subprocess.run(["git", "clone", "--depth", "1", repo_url, target_dir], check=True)</w:t>
              <w:br/>
              <w:t xml:space="preserve">    return {"repo_name": repo_name, "owner": owner, "local_path": target_dir, "status": "cloned"}</w:t>
            </w:r>
          </w:p>
        </w:tc>
      </w:tr>
    </w:tbl>
    <w:p>
      <w:pPr>
        <w:spacing w:after="80"/>
      </w:pPr>
    </w:p>
    <w:tbl>
      <w:tblPr>
        <w:tblW w:type="auto" w:w="0"/>
        <w:jc w:val="center"/>
        <w:tblLook w:firstColumn="1" w:firstRow="1" w:lastColumn="0" w:lastRow="0" w:noHBand="0" w:noVBand="1" w:val="04A0"/>
      </w:tblPr>
      <w:tblGrid>
        <w:gridCol w:w="9360"/>
      </w:tblGrid>
      <w:tr>
        <w:tc>
          <w:tcPr>
            <w:tcW w:type="dxa" w:w="9360"/>
            <w:shd w:fill="EEF2FF"/>
          </w:tcPr>
          <w:p>
            <w:pPr>
              <w:spacing w:before="80" w:after="80"/>
            </w:pPr>
            <w:r>
              <w:rPr>
                <w:rFonts w:ascii="Calibri" w:hAnsi="Calibri"/>
                <w:b/>
                <w:color w:val="1E1B4B"/>
                <w:sz w:val="22"/>
              </w:rPr>
              <w:t>Code Explanation: Git Repository Ingestion</w:t>
              <w:br/>
            </w:r>
            <w:r>
              <w:rPr>
                <w:rFonts w:ascii="Calibri" w:hAnsi="Calibri"/>
                <w:color w:val="334155"/>
                <w:sz w:val="21"/>
              </w:rPr>
              <w:t>In my project, I engineered cloner.py to handle automated codebase ingestion. The parse_github_url() function uses regex to validate GitHub URLs and extract owner and repository names. The clone_repository() function implements shallow cloning (--depth 1) into isolated subdirectories with local caching to eliminate redundant network cloning.</w:t>
            </w:r>
          </w:p>
        </w:tc>
      </w:tr>
    </w:tbl>
    <w:p>
      <w:pPr>
        <w:spacing w:after="80"/>
      </w:pPr>
    </w:p>
    <w:p>
      <w:pPr>
        <w:pStyle w:val="Heading2"/>
      </w:pPr>
      <w:r>
        <w:t>16.2 Python AST Scanner &amp; Extraction (python_parser.py)</w:t>
      </w:r>
    </w:p>
    <w:tbl>
      <w:tblPr>
        <w:tblW w:type="auto" w:w="0"/>
        <w:jc w:val="center"/>
        <w:tblLook w:firstColumn="1" w:firstRow="1" w:lastColumn="0" w:lastRow="0" w:noHBand="0" w:noVBand="1" w:val="04A0"/>
      </w:tblPr>
      <w:tblGrid>
        <w:gridCol w:w="9360"/>
      </w:tblGrid>
      <w:tr>
        <w:tc>
          <w:tcPr>
            <w:tcW w:type="dxa" w:w="9360"/>
            <w:shd w:fill="F1F5F9"/>
          </w:tcPr>
          <w:p>
            <w:pPr>
              <w:spacing w:before="80" w:after="80" w:line="252" w:lineRule="auto"/>
            </w:pPr>
            <w:r>
              <w:rPr>
                <w:rFonts w:ascii="Courier New" w:hAnsi="Courier New"/>
                <w:color w:val="0F172A"/>
                <w:sz w:val="19"/>
              </w:rPr>
              <w:t>def parse_python_file(file_path: str) -&gt; dict:</w:t>
              <w:br/>
              <w:t xml:space="preserve">    with open(file_path, "r", encoding="utf-8", errors="ignore") as f: content = f.read()</w:t>
              <w:br/>
              <w:t xml:space="preserve">    tree = ast.parse(content, filename=file_path)</w:t>
              <w:br/>
              <w:t xml:space="preserve">    classes, functions, imports, calls = [], [], [], []</w:t>
              <w:br/>
              <w:t xml:space="preserve">    for node in ast.walk(tree):</w:t>
              <w:br/>
              <w:t xml:space="preserve">        if isinstance(node, ast.ClassDef): classes.append({"name": node.name, "line": node.lineno})</w:t>
              <w:br/>
              <w:t xml:space="preserve">        elif isinstance(node, (ast.FunctionDef, ast.AsyncFunctionDef)):</w:t>
              <w:br/>
              <w:t xml:space="preserve">            functions.append({"name": node.name, "line": node.lineno, "args": [a.arg for a in node.args.args]})</w:t>
              <w:br/>
              <w:t xml:space="preserve">        elif isinstance(node, ast.Import):</w:t>
              <w:br/>
              <w:t xml:space="preserve">            for a in node.names: imports.append({"name": a.name, "text": f"import {a.name}"})</w:t>
              <w:br/>
              <w:t xml:space="preserve">        elif isinstance(node, ast.ImportFrom):</w:t>
              <w:br/>
              <w:t xml:space="preserve">            mod = node.module or ""</w:t>
              <w:br/>
              <w:t xml:space="preserve">            for a in node.names: imports.append({"name": f"{mod}.{a.name}", "text": f"from {mod} import {a.name}"})</w:t>
              <w:br/>
              <w:t xml:space="preserve">    for node in ast.walk(tree):</w:t>
              <w:br/>
              <w:t xml:space="preserve">        if isinstance(node, (ast.FunctionDef, ast.AsyncFunctionDef)):</w:t>
              <w:br/>
              <w:t xml:space="preserve">            caller = node.name</w:t>
              <w:br/>
              <w:t xml:space="preserve">            for sub in ast.walk(node):</w:t>
              <w:br/>
              <w:t xml:space="preserve">                if isinstance(sub, ast.Call):</w:t>
              <w:br/>
              <w:t xml:space="preserve">                    called = sub.func.id if isinstance(sub.func, ast.Name) else (sub.func.attr if isinstance(sub.func, ast.Attribute) else None)</w:t>
              <w:br/>
              <w:t xml:space="preserve">                    if called and called != caller: calls.append({"caller": caller, "called": called})</w:t>
              <w:br/>
              <w:t xml:space="preserve">    return {"file": file_path, "classes": classes, "functions": functions, "imports": imports, "calls": calls}</w:t>
            </w:r>
          </w:p>
        </w:tc>
      </w:tr>
    </w:tbl>
    <w:p>
      <w:pPr>
        <w:spacing w:after="80"/>
      </w:pPr>
    </w:p>
    <w:tbl>
      <w:tblPr>
        <w:tblW w:type="auto" w:w="0"/>
        <w:jc w:val="center"/>
        <w:tblLook w:firstColumn="1" w:firstRow="1" w:lastColumn="0" w:lastRow="0" w:noHBand="0" w:noVBand="1" w:val="04A0"/>
      </w:tblPr>
      <w:tblGrid>
        <w:gridCol w:w="9360"/>
      </w:tblGrid>
      <w:tr>
        <w:tc>
          <w:tcPr>
            <w:tcW w:type="dxa" w:w="9360"/>
            <w:shd w:fill="EEF2FF"/>
          </w:tcPr>
          <w:p>
            <w:pPr>
              <w:spacing w:before="80" w:after="80"/>
            </w:pPr>
            <w:r>
              <w:rPr>
                <w:rFonts w:ascii="Calibri" w:hAnsi="Calibri"/>
                <w:b/>
                <w:color w:val="1E1B4B"/>
                <w:sz w:val="22"/>
              </w:rPr>
              <w:t>Code Explanation: Python AST Parsing</w:t>
              <w:br/>
            </w:r>
            <w:r>
              <w:rPr>
                <w:rFonts w:ascii="Calibri" w:hAnsi="Calibri"/>
                <w:color w:val="334155"/>
                <w:sz w:val="21"/>
              </w:rPr>
              <w:t>In my project, I implemented python_parser.py using Python's native ast module. The parse_python_file() function safely parses source code into an abstract syntax tree without executing untrusted code. By walking AST nodes, it extracts classes, synchronous and asynchronous functions, and import statements. A second pass walks function bodies to extract call expressions, linking caller function names to invoked function names.</w:t>
            </w:r>
          </w:p>
        </w:tc>
      </w:tr>
    </w:tbl>
    <w:p>
      <w:pPr>
        <w:spacing w:after="80"/>
      </w:pPr>
    </w:p>
    <w:p>
      <w:pPr>
        <w:pStyle w:val="Heading2"/>
      </w:pPr>
      <w:r>
        <w:t>16.3 Dependency Graph Construction (builder.py)</w:t>
      </w:r>
    </w:p>
    <w:tbl>
      <w:tblPr>
        <w:tblW w:type="auto" w:w="0"/>
        <w:jc w:val="center"/>
        <w:tblLook w:firstColumn="1" w:firstRow="1" w:lastColumn="0" w:lastRow="0" w:noHBand="0" w:noVBand="1" w:val="04A0"/>
      </w:tblPr>
      <w:tblGrid>
        <w:gridCol w:w="9360"/>
      </w:tblGrid>
      <w:tr>
        <w:tc>
          <w:tcPr>
            <w:tcW w:type="dxa" w:w="9360"/>
            <w:shd w:fill="F1F5F9"/>
          </w:tcPr>
          <w:p>
            <w:pPr>
              <w:spacing w:before="80" w:after="80" w:line="252" w:lineRule="auto"/>
            </w:pPr>
            <w:r>
              <w:rPr>
                <w:rFonts w:ascii="Courier New" w:hAnsi="Courier New"/>
                <w:color w:val="0F172A"/>
                <w:sz w:val="19"/>
              </w:rPr>
              <w:t>def build_dependency_graph(parsed_code_files: list) -&gt; nx.DiGraph:</w:t>
              <w:br/>
              <w:t xml:space="preserve">    graph = nx.DiGraph()</w:t>
              <w:br/>
              <w:t xml:space="preserve">    for f in parsed_code_files:</w:t>
              <w:br/>
              <w:t xml:space="preserve">        path = f["file"].replace("\\", "/")</w:t>
              <w:br/>
              <w:t xml:space="preserve">        graph.add_node(path, type="file", label=os.path.basename(path))</w:t>
              <w:br/>
              <w:t xml:space="preserve">        for fn in f.get("functions", []):</w:t>
              <w:br/>
              <w:t xml:space="preserve">            graph.add_node(f"{path}::{fn['name']}", type="function", label=fn["name"], file=path, line=fn.get("line", 1))</w:t>
              <w:br/>
              <w:t xml:space="preserve">    for f in parsed_code_files:</w:t>
              <w:br/>
              <w:t xml:space="preserve">        path = f["file"].replace("\\", "/")</w:t>
              <w:br/>
              <w:t xml:space="preserve">        for c in f.get("calls", []):</w:t>
              <w:br/>
              <w:t xml:space="preserve">            caller_id = f"{path}::{c['caller']}"</w:t>
              <w:br/>
              <w:t xml:space="preserve">            for n, d in graph.nodes(data=True):</w:t>
              <w:br/>
              <w:t xml:space="preserve">                if d.get("type") == "function" and d.get("label") == c["called"]:</w:t>
              <w:br/>
              <w:t xml:space="preserve">                    graph.add_edge(caller_id, n, relation="calls")</w:t>
              <w:br/>
              <w:t xml:space="preserve">    file_basenames = {os.path.splitext(os.path.basename(f["file"]))[0]: f["file"].replace("\\", "/") for f in parsed_code_files}</w:t>
              <w:br/>
              <w:t xml:space="preserve">    for f in parsed_code_files:</w:t>
              <w:br/>
              <w:t xml:space="preserve">        path = f["file"].replace("\\", "/")</w:t>
              <w:br/>
              <w:t xml:space="preserve">        for imp in f.get("imports", []):</w:t>
              <w:br/>
              <w:t xml:space="preserve">            for base, target in file_basenames.items():</w:t>
              <w:br/>
              <w:t xml:space="preserve">                if base != "__init__" and base in imp.get("text", "") and target != path:</w:t>
              <w:br/>
              <w:t xml:space="preserve">                    graph.add_edge(path, target, relation="imports")</w:t>
              <w:br/>
              <w:t xml:space="preserve">    return graph</w:t>
            </w:r>
          </w:p>
        </w:tc>
      </w:tr>
    </w:tbl>
    <w:p>
      <w:pPr>
        <w:spacing w:after="80"/>
      </w:pPr>
    </w:p>
    <w:tbl>
      <w:tblPr>
        <w:tblW w:type="auto" w:w="0"/>
        <w:jc w:val="center"/>
        <w:tblLook w:firstColumn="1" w:firstRow="1" w:lastColumn="0" w:lastRow="0" w:noHBand="0" w:noVBand="1" w:val="04A0"/>
      </w:tblPr>
      <w:tblGrid>
        <w:gridCol w:w="9360"/>
      </w:tblGrid>
      <w:tr>
        <w:tc>
          <w:tcPr>
            <w:tcW w:type="dxa" w:w="9360"/>
            <w:shd w:fill="EEF2FF"/>
          </w:tcPr>
          <w:p>
            <w:pPr>
              <w:spacing w:before="80" w:after="80"/>
            </w:pPr>
            <w:r>
              <w:rPr>
                <w:rFonts w:ascii="Calibri" w:hAnsi="Calibri"/>
                <w:b/>
                <w:color w:val="1E1B4B"/>
                <w:sz w:val="22"/>
              </w:rPr>
              <w:t>Code Explanation: Dependency Graph Modeling</w:t>
              <w:br/>
            </w:r>
            <w:r>
              <w:rPr>
                <w:rFonts w:ascii="Calibri" w:hAnsi="Calibri"/>
                <w:color w:val="334155"/>
                <w:sz w:val="21"/>
              </w:rPr>
              <w:t>In my project, I developed builder.py using NetworkX to construct an in-memory directed dependency graph. The builder registers files and functions as nodes, namespacing functions as filepath::function_name to prevent collisions. It resolves function call links and import statements across indexed file basenames, creating file-to-file and function-to-function edges. It also generates Mermaid syntax for frontend visual rendering.</w:t>
            </w:r>
          </w:p>
        </w:tc>
      </w:tr>
    </w:tbl>
    <w:p>
      <w:pPr>
        <w:spacing w:after="80"/>
      </w:pPr>
    </w:p>
    <w:p>
      <w:pPr>
        <w:pStyle w:val="Heading2"/>
      </w:pPr>
      <w:r>
        <w:t>16.4 Reverse-BFS Blast-Radius Traversal (traversal.py)</w:t>
      </w:r>
    </w:p>
    <w:tbl>
      <w:tblPr>
        <w:tblW w:type="auto" w:w="0"/>
        <w:jc w:val="center"/>
        <w:tblLook w:firstColumn="1" w:firstRow="1" w:lastColumn="0" w:lastRow="0" w:noHBand="0" w:noVBand="1" w:val="04A0"/>
      </w:tblPr>
      <w:tblGrid>
        <w:gridCol w:w="9360"/>
      </w:tblGrid>
      <w:tr>
        <w:tc>
          <w:tcPr>
            <w:tcW w:type="dxa" w:w="9360"/>
            <w:shd w:fill="F1F5F9"/>
          </w:tcPr>
          <w:p>
            <w:pPr>
              <w:spacing w:before="80" w:after="80" w:line="252" w:lineRule="auto"/>
            </w:pPr>
            <w:r>
              <w:rPr>
                <w:rFonts w:ascii="Courier New" w:hAnsi="Courier New"/>
                <w:color w:val="0F172A"/>
                <w:sz w:val="19"/>
              </w:rPr>
              <w:t>def find_impact(graph: nx.DiGraph, target_node: str, max_depth: int = 3) -&gt; dict:</w:t>
              <w:br/>
              <w:t xml:space="preserve">    visited = {target_node}</w:t>
              <w:br/>
              <w:t xml:space="preserve">    queue = deque([(target_node, 0)])</w:t>
              <w:br/>
              <w:t xml:space="preserve">    direct_impact, transitive_impact, ripple_edges = [], [], []</w:t>
              <w:br/>
              <w:t xml:space="preserve">    while queue:</w:t>
              <w:br/>
              <w:t xml:space="preserve">        curr, depth = queue.popleft()</w:t>
              <w:br/>
              <w:t xml:space="preserve">        if depth &gt;= max_depth: continue</w:t>
              <w:br/>
              <w:t xml:space="preserve">        for pred in graph.predecessors(curr):</w:t>
              <w:br/>
              <w:t xml:space="preserve">            edge = graph.get_edge_data(pred, curr) or {}</w:t>
              <w:br/>
              <w:t xml:space="preserve">            rel = edge.get("relation", "depends_on")</w:t>
              <w:br/>
              <w:t xml:space="preserve">            ripple_edges.append((pred, curr, rel))</w:t>
              <w:br/>
              <w:t xml:space="preserve">            if pred not in visited:</w:t>
              <w:br/>
              <w:t xml:space="preserve">                visited.add(pred)</w:t>
              <w:br/>
              <w:t xml:space="preserve">                item = {"id": pred, "type": graph.nodes[pred].get("type"), "depth": depth + 1, "relation": rel}</w:t>
              <w:br/>
              <w:t xml:space="preserve">                if depth == 0: direct_impact.append(item)</w:t>
              <w:br/>
              <w:t xml:space="preserve">                else: transitive_impact.append(item)</w:t>
              <w:br/>
              <w:t xml:space="preserve">                queue.append((pred, depth + 1))</w:t>
              <w:br/>
              <w:t xml:space="preserve">    in_deg = graph.in_degree(target_node)</w:t>
              <w:br/>
              <w:t xml:space="preserve">    risk_score = min(100.0, round(8.0 * len(direct_impact) + 3.5 * len(transitive_impact) + 15.0 * in_deg / max(len(graph), 1) * 100, 1))</w:t>
              <w:br/>
              <w:t xml:space="preserve">    level = "LOW" if risk_score &lt; 25 else ("MEDIUM" if risk_score &lt; 55 else ("HIGH" if risk_score &lt; 80 else "CRITICAL"))</w:t>
              <w:br/>
              <w:t xml:space="preserve">    return {"target": target_node, "risk_score": risk_score, "risk_level": level, "direct_count": len(direct_impact), "transitive_count": len(transitive_impact)}</w:t>
            </w:r>
          </w:p>
        </w:tc>
      </w:tr>
    </w:tbl>
    <w:p>
      <w:pPr>
        <w:spacing w:after="80"/>
      </w:pPr>
    </w:p>
    <w:tbl>
      <w:tblPr>
        <w:tblW w:type="auto" w:w="0"/>
        <w:jc w:val="center"/>
        <w:tblLook w:firstColumn="1" w:firstRow="1" w:lastColumn="0" w:lastRow="0" w:noHBand="0" w:noVBand="1" w:val="04A0"/>
      </w:tblPr>
      <w:tblGrid>
        <w:gridCol w:w="9360"/>
      </w:tblGrid>
      <w:tr>
        <w:tc>
          <w:tcPr>
            <w:tcW w:type="dxa" w:w="9360"/>
            <w:shd w:fill="EEF2FF"/>
          </w:tcPr>
          <w:p>
            <w:pPr>
              <w:spacing w:before="80" w:after="80"/>
            </w:pPr>
            <w:r>
              <w:rPr>
                <w:rFonts w:ascii="Calibri" w:hAnsi="Calibri"/>
                <w:b/>
                <w:color w:val="1E1B4B"/>
                <w:sz w:val="22"/>
              </w:rPr>
              <w:t>Code Explanation: Reverse-BFS Blast-Radius Traversal</w:t>
              <w:br/>
            </w:r>
            <w:r>
              <w:rPr>
                <w:rFonts w:ascii="Calibri" w:hAnsi="Calibri"/>
                <w:color w:val="334155"/>
                <w:sz w:val="21"/>
              </w:rPr>
              <w:t>In my project, I created traversal.py to implement Reverse Breadth-First Search. When evaluating what would break if a function is changed, forward traversal is insufficient because callers depend on the target. By querying predecessors in the dependency graph, the algorithm separates direct impact (depth 1) from transitive ripple effects (depth &gt;= 2) and computes the normalized Blast-Radius Risk Index.</w:t>
            </w:r>
          </w:p>
        </w:tc>
      </w:tr>
    </w:tbl>
    <w:p>
      <w:pPr>
        <w:spacing w:after="80"/>
      </w:pPr>
    </w:p>
    <w:p>
      <w:pPr>
        <w:pStyle w:val="Heading2"/>
      </w:pPr>
      <w:r>
        <w:t>16.5 Ground-Truth Multi-Intent Orchestrator (orchestrator.py)</w:t>
      </w:r>
    </w:p>
    <w:tbl>
      <w:tblPr>
        <w:tblW w:type="auto" w:w="0"/>
        <w:jc w:val="center"/>
        <w:tblLook w:firstColumn="1" w:firstRow="1" w:lastColumn="0" w:lastRow="0" w:noHBand="0" w:noVBand="1" w:val="04A0"/>
      </w:tblPr>
      <w:tblGrid>
        <w:gridCol w:w="9360"/>
      </w:tblGrid>
      <w:tr>
        <w:tc>
          <w:tcPr>
            <w:tcW w:type="dxa" w:w="9360"/>
            <w:shd w:fill="F1F5F9"/>
          </w:tcPr>
          <w:p>
            <w:pPr>
              <w:spacing w:before="80" w:after="80" w:line="252" w:lineRule="auto"/>
            </w:pPr>
            <w:r>
              <w:rPr>
                <w:rFonts w:ascii="Courier New" w:hAnsi="Courier New"/>
                <w:color w:val="0F172A"/>
                <w:sz w:val="19"/>
              </w:rPr>
              <w:t>def match_file_or_function(question: str, files_catalog: list) -&gt; tuple[dict | None, str | None]:</w:t>
              <w:br/>
              <w:t xml:space="preserve">    q_low = question.lower()</w:t>
              <w:br/>
              <w:t xml:space="preserve">    q_norm = re.sub(r'[-_]', ' ', q_low)</w:t>
              <w:br/>
              <w:t xml:space="preserve">    for f in files_catalog:</w:t>
              <w:br/>
              <w:t xml:space="preserve">        if f["basename"].lower() in q_low:</w:t>
              <w:br/>
              <w:t xml:space="preserve">            for fn in f["functions"]:</w:t>
              <w:br/>
              <w:t xml:space="preserve">                if fn.lower() in q_low or fn.lower().replace('_', ' ') in q_norm: return f, fn</w:t>
              <w:br/>
              <w:t xml:space="preserve">            return f, None</w:t>
              <w:br/>
              <w:t xml:space="preserve">    for f in files_catalog:</w:t>
              <w:br/>
              <w:t xml:space="preserve">        for fn in f["functions"]:</w:t>
              <w:br/>
              <w:t xml:space="preserve">            if fn.lower() in q_low or fn.lower().replace('_', ' ') in q_norm: return f, fn</w:t>
              <w:br/>
              <w:t xml:space="preserve">    all_funcs = [fn for f in files_catalog for fn in f["functions"]]</w:t>
              <w:br/>
              <w:t xml:space="preserve">    words = [w for w in re.findall(r'[a-z]{3,}', q_norm) if w not in ["what", "does", "function", "work", "repo"]]</w:t>
              <w:br/>
              <w:t xml:space="preserve">    for cand in words + ['_'.join(words[i:i+2]) for i in range(len(words)-1)]:</w:t>
              <w:br/>
              <w:t xml:space="preserve">        m = difflib.get_close_matches(cand, all_funcs, n=1, cutoff=0.7)</w:t>
              <w:br/>
              <w:t xml:space="preserve">        if m:</w:t>
              <w:br/>
              <w:t xml:space="preserve">            mf = next(f for f in files_catalog if m[0] in f["functions"])</w:t>
              <w:br/>
              <w:t xml:space="preserve">            return mf, m[0]</w:t>
              <w:br/>
              <w:t xml:space="preserve">    return None, None</w:t>
            </w:r>
          </w:p>
        </w:tc>
      </w:tr>
    </w:tbl>
    <w:p>
      <w:pPr>
        <w:spacing w:after="80"/>
      </w:pPr>
    </w:p>
    <w:tbl>
      <w:tblPr>
        <w:tblW w:type="auto" w:w="0"/>
        <w:jc w:val="center"/>
        <w:tblLook w:firstColumn="1" w:firstRow="1" w:lastColumn="0" w:lastRow="0" w:noHBand="0" w:noVBand="1" w:val="04A0"/>
      </w:tblPr>
      <w:tblGrid>
        <w:gridCol w:w="9360"/>
      </w:tblGrid>
      <w:tr>
        <w:tc>
          <w:tcPr>
            <w:tcW w:type="dxa" w:w="9360"/>
            <w:shd w:fill="EEF2FF"/>
          </w:tcPr>
          <w:p>
            <w:pPr>
              <w:spacing w:before="80" w:after="80"/>
            </w:pPr>
            <w:r>
              <w:rPr>
                <w:rFonts w:ascii="Calibri" w:hAnsi="Calibri"/>
                <w:b/>
                <w:color w:val="1E1B4B"/>
                <w:sz w:val="22"/>
              </w:rPr>
              <w:t>Code Explanation: Ground-Truth Query Orchestration</w:t>
              <w:br/>
            </w:r>
            <w:r>
              <w:rPr>
                <w:rFonts w:ascii="Calibri" w:hAnsi="Calibri"/>
                <w:color w:val="334155"/>
                <w:sz w:val="21"/>
              </w:rPr>
              <w:t>In my project, I authored orchestrator.py as the intelligence router. Rather than passing unconstrained queries to an LLM, the orchestrator classifies queries into deterministic intents. The match_file_or_function() function incorporates token normalization and difflib fuzzy matching, allowing the system to resolve developer queries containing typos (such as 'gerenrate chat') directly to real AST functions.</w:t>
            </w:r>
          </w:p>
        </w:tc>
      </w:tr>
    </w:tbl>
    <w:p>
      <w:pPr>
        <w:spacing w:after="80"/>
      </w:pPr>
    </w:p>
    <w:p>
      <w:pPr>
        <w:pStyle w:val="Heading1"/>
      </w:pPr>
      <w:r>
        <w:t>17. RESULTS, EVALUATION &amp; FINDINGS</w:t>
      </w:r>
    </w:p>
    <w:p>
      <w:r>
        <w:rPr>
          <w:rFonts w:ascii="Times New Roman" w:hAnsi="Times New Roman"/>
          <w:sz w:val="24"/>
        </w:rPr>
        <w:t>Functional performance across benchmark repositories is summarized below:</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560"/>
        <w:gridCol w:w="1560"/>
        <w:gridCol w:w="1560"/>
        <w:gridCol w:w="1560"/>
        <w:gridCol w:w="1560"/>
        <w:gridCol w:w="1560"/>
      </w:tblGrid>
      <w:tr>
        <w:tc>
          <w:tcPr>
            <w:tcW w:type="dxa" w:w="1560"/>
            <w:shd w:fill="E2E8F0"/>
          </w:tcPr>
          <w:p>
            <w:r>
              <w:rPr>
                <w:rFonts w:ascii="Calibri" w:hAnsi="Calibri"/>
                <w:b/>
              </w:rPr>
              <w:t>Repository</w:t>
            </w:r>
          </w:p>
        </w:tc>
        <w:tc>
          <w:tcPr>
            <w:tcW w:type="dxa" w:w="1560"/>
            <w:shd w:fill="E2E8F0"/>
          </w:tcPr>
          <w:p>
            <w:r>
              <w:rPr>
                <w:rFonts w:ascii="Calibri" w:hAnsi="Calibri"/>
                <w:b/>
              </w:rPr>
              <w:t>Tech Stack</w:t>
            </w:r>
          </w:p>
        </w:tc>
        <w:tc>
          <w:tcPr>
            <w:tcW w:type="dxa" w:w="1560"/>
            <w:shd w:fill="E2E8F0"/>
          </w:tcPr>
          <w:p>
            <w:r>
              <w:rPr>
                <w:rFonts w:ascii="Calibri" w:hAnsi="Calibri"/>
                <w:b/>
              </w:rPr>
              <w:t>Files</w:t>
            </w:r>
          </w:p>
        </w:tc>
        <w:tc>
          <w:tcPr>
            <w:tcW w:type="dxa" w:w="1560"/>
            <w:shd w:fill="E2E8F0"/>
          </w:tcPr>
          <w:p>
            <w:r>
              <w:rPr>
                <w:rFonts w:ascii="Calibri" w:hAnsi="Calibri"/>
                <w:b/>
              </w:rPr>
              <w:t>Functions</w:t>
            </w:r>
          </w:p>
        </w:tc>
        <w:tc>
          <w:tcPr>
            <w:tcW w:type="dxa" w:w="1560"/>
            <w:shd w:fill="E2E8F0"/>
          </w:tcPr>
          <w:p>
            <w:r>
              <w:rPr>
                <w:rFonts w:ascii="Calibri" w:hAnsi="Calibri"/>
                <w:b/>
              </w:rPr>
              <w:t>Calls</w:t>
            </w:r>
          </w:p>
        </w:tc>
        <w:tc>
          <w:tcPr>
            <w:tcW w:type="dxa" w:w="1560"/>
            <w:shd w:fill="E2E8F0"/>
          </w:tcPr>
          <w:p>
            <w:r>
              <w:rPr>
                <w:rFonts w:ascii="Calibri" w:hAnsi="Calibri"/>
                <w:b/>
              </w:rPr>
              <w:t>Ingestion Latency</w:t>
            </w:r>
          </w:p>
        </w:tc>
      </w:tr>
      <w:tr>
        <w:tc>
          <w:tcPr>
            <w:tcW w:type="dxa" w:w="1560"/>
          </w:tcPr>
          <w:p>
            <w:r>
              <w:rPr>
                <w:rFonts w:ascii="Calibri" w:hAnsi="Calibri"/>
                <w:sz w:val="19"/>
              </w:rPr>
              <w:t>vedaz-ai</w:t>
            </w:r>
          </w:p>
        </w:tc>
        <w:tc>
          <w:tcPr>
            <w:tcW w:type="dxa" w:w="1560"/>
          </w:tcPr>
          <w:p>
            <w:r>
              <w:rPr>
                <w:rFonts w:ascii="Calibri" w:hAnsi="Calibri"/>
                <w:sz w:val="19"/>
              </w:rPr>
              <w:t>Python, Groq LLM</w:t>
            </w:r>
          </w:p>
        </w:tc>
        <w:tc>
          <w:tcPr>
            <w:tcW w:type="dxa" w:w="1560"/>
          </w:tcPr>
          <w:p>
            <w:r>
              <w:rPr>
                <w:rFonts w:ascii="Calibri" w:hAnsi="Calibri"/>
                <w:sz w:val="19"/>
              </w:rPr>
              <w:t>4</w:t>
            </w:r>
          </w:p>
        </w:tc>
        <w:tc>
          <w:tcPr>
            <w:tcW w:type="dxa" w:w="1560"/>
          </w:tcPr>
          <w:p>
            <w:r>
              <w:rPr>
                <w:rFonts w:ascii="Calibri" w:hAnsi="Calibri"/>
                <w:sz w:val="19"/>
              </w:rPr>
              <w:t>25</w:t>
            </w:r>
          </w:p>
        </w:tc>
        <w:tc>
          <w:tcPr>
            <w:tcW w:type="dxa" w:w="1560"/>
          </w:tcPr>
          <w:p>
            <w:r>
              <w:rPr>
                <w:rFonts w:ascii="Calibri" w:hAnsi="Calibri"/>
                <w:sz w:val="19"/>
              </w:rPr>
              <w:t>29</w:t>
            </w:r>
          </w:p>
        </w:tc>
        <w:tc>
          <w:tcPr>
            <w:tcW w:type="dxa" w:w="1560"/>
          </w:tcPr>
          <w:p>
            <w:r>
              <w:rPr>
                <w:rFonts w:ascii="Calibri" w:hAnsi="Calibri"/>
                <w:sz w:val="19"/>
              </w:rPr>
              <w:t>1.42s</w:t>
            </w:r>
          </w:p>
        </w:tc>
      </w:tr>
      <w:tr>
        <w:tc>
          <w:tcPr>
            <w:tcW w:type="dxa" w:w="1560"/>
          </w:tcPr>
          <w:p>
            <w:r>
              <w:rPr>
                <w:rFonts w:ascii="Calibri" w:hAnsi="Calibri"/>
                <w:sz w:val="19"/>
              </w:rPr>
              <w:t>Smart-Expense-Categorizer</w:t>
            </w:r>
          </w:p>
        </w:tc>
        <w:tc>
          <w:tcPr>
            <w:tcW w:type="dxa" w:w="1560"/>
          </w:tcPr>
          <w:p>
            <w:r>
              <w:rPr>
                <w:rFonts w:ascii="Calibri" w:hAnsi="Calibri"/>
                <w:sz w:val="19"/>
              </w:rPr>
              <w:t>Python, Streamlit, ML</w:t>
            </w:r>
          </w:p>
        </w:tc>
        <w:tc>
          <w:tcPr>
            <w:tcW w:type="dxa" w:w="1560"/>
          </w:tcPr>
          <w:p>
            <w:r>
              <w:rPr>
                <w:rFonts w:ascii="Calibri" w:hAnsi="Calibri"/>
                <w:sz w:val="19"/>
              </w:rPr>
              <w:t>24</w:t>
            </w:r>
          </w:p>
        </w:tc>
        <w:tc>
          <w:tcPr>
            <w:tcW w:type="dxa" w:w="1560"/>
          </w:tcPr>
          <w:p>
            <w:r>
              <w:rPr>
                <w:rFonts w:ascii="Calibri" w:hAnsi="Calibri"/>
                <w:sz w:val="19"/>
              </w:rPr>
              <w:t>51</w:t>
            </w:r>
          </w:p>
        </w:tc>
        <w:tc>
          <w:tcPr>
            <w:tcW w:type="dxa" w:w="1560"/>
          </w:tcPr>
          <w:p>
            <w:r>
              <w:rPr>
                <w:rFonts w:ascii="Calibri" w:hAnsi="Calibri"/>
                <w:sz w:val="19"/>
              </w:rPr>
              <w:t>63</w:t>
            </w:r>
          </w:p>
        </w:tc>
        <w:tc>
          <w:tcPr>
            <w:tcW w:type="dxa" w:w="1560"/>
          </w:tcPr>
          <w:p>
            <w:r>
              <w:rPr>
                <w:rFonts w:ascii="Calibri" w:hAnsi="Calibri"/>
                <w:sz w:val="19"/>
              </w:rPr>
              <w:t>3.18s</w:t>
            </w:r>
          </w:p>
        </w:tc>
      </w:tr>
      <w:tr>
        <w:tc>
          <w:tcPr>
            <w:tcW w:type="dxa" w:w="1560"/>
          </w:tcPr>
          <w:p>
            <w:r>
              <w:rPr>
                <w:rFonts w:ascii="Calibri" w:hAnsi="Calibri"/>
                <w:sz w:val="19"/>
              </w:rPr>
              <w:t>fastapi-realworld-example-app</w:t>
            </w:r>
          </w:p>
        </w:tc>
        <w:tc>
          <w:tcPr>
            <w:tcW w:type="dxa" w:w="1560"/>
          </w:tcPr>
          <w:p>
            <w:r>
              <w:rPr>
                <w:rFonts w:ascii="Calibri" w:hAnsi="Calibri"/>
                <w:sz w:val="19"/>
              </w:rPr>
              <w:t>Python, FastAPI, SQL</w:t>
            </w:r>
          </w:p>
        </w:tc>
        <w:tc>
          <w:tcPr>
            <w:tcW w:type="dxa" w:w="1560"/>
          </w:tcPr>
          <w:p>
            <w:r>
              <w:rPr>
                <w:rFonts w:ascii="Calibri" w:hAnsi="Calibri"/>
                <w:sz w:val="19"/>
              </w:rPr>
              <w:t>38</w:t>
            </w:r>
          </w:p>
        </w:tc>
        <w:tc>
          <w:tcPr>
            <w:tcW w:type="dxa" w:w="1560"/>
          </w:tcPr>
          <w:p>
            <w:r>
              <w:rPr>
                <w:rFonts w:ascii="Calibri" w:hAnsi="Calibri"/>
                <w:sz w:val="19"/>
              </w:rPr>
              <w:t>94</w:t>
            </w:r>
          </w:p>
        </w:tc>
        <w:tc>
          <w:tcPr>
            <w:tcW w:type="dxa" w:w="1560"/>
          </w:tcPr>
          <w:p>
            <w:r>
              <w:rPr>
                <w:rFonts w:ascii="Calibri" w:hAnsi="Calibri"/>
                <w:sz w:val="19"/>
              </w:rPr>
              <w:t>142</w:t>
            </w:r>
          </w:p>
        </w:tc>
        <w:tc>
          <w:tcPr>
            <w:tcW w:type="dxa" w:w="1560"/>
          </w:tcPr>
          <w:p>
            <w:r>
              <w:rPr>
                <w:rFonts w:ascii="Calibri" w:hAnsi="Calibri"/>
                <w:sz w:val="19"/>
              </w:rPr>
              <w:t>4.65s</w:t>
            </w:r>
          </w:p>
        </w:tc>
      </w:tr>
      <w:tr>
        <w:tc>
          <w:tcPr>
            <w:tcW w:type="dxa" w:w="1560"/>
          </w:tcPr>
          <w:p>
            <w:r>
              <w:rPr>
                <w:rFonts w:ascii="Calibri" w:hAnsi="Calibri"/>
                <w:sz w:val="19"/>
              </w:rPr>
              <w:t>spring-petclinic-microservices</w:t>
            </w:r>
          </w:p>
        </w:tc>
        <w:tc>
          <w:tcPr>
            <w:tcW w:type="dxa" w:w="1560"/>
          </w:tcPr>
          <w:p>
            <w:r>
              <w:rPr>
                <w:rFonts w:ascii="Calibri" w:hAnsi="Calibri"/>
                <w:sz w:val="19"/>
              </w:rPr>
              <w:t>Java, Spring Boot, SQL</w:t>
            </w:r>
          </w:p>
        </w:tc>
        <w:tc>
          <w:tcPr>
            <w:tcW w:type="dxa" w:w="1560"/>
          </w:tcPr>
          <w:p>
            <w:r>
              <w:rPr>
                <w:rFonts w:ascii="Calibri" w:hAnsi="Calibri"/>
                <w:sz w:val="19"/>
              </w:rPr>
              <w:t>46</w:t>
            </w:r>
          </w:p>
        </w:tc>
        <w:tc>
          <w:tcPr>
            <w:tcW w:type="dxa" w:w="1560"/>
          </w:tcPr>
          <w:p>
            <w:r>
              <w:rPr>
                <w:rFonts w:ascii="Calibri" w:hAnsi="Calibri"/>
                <w:sz w:val="19"/>
              </w:rPr>
              <w:t>128</w:t>
            </w:r>
          </w:p>
        </w:tc>
        <w:tc>
          <w:tcPr>
            <w:tcW w:type="dxa" w:w="1560"/>
          </w:tcPr>
          <w:p>
            <w:r>
              <w:rPr>
                <w:rFonts w:ascii="Calibri" w:hAnsi="Calibri"/>
                <w:sz w:val="19"/>
              </w:rPr>
              <w:t>185</w:t>
            </w:r>
          </w:p>
        </w:tc>
        <w:tc>
          <w:tcPr>
            <w:tcW w:type="dxa" w:w="1560"/>
          </w:tcPr>
          <w:p>
            <w:r>
              <w:rPr>
                <w:rFonts w:ascii="Calibri" w:hAnsi="Calibri"/>
                <w:sz w:val="19"/>
              </w:rPr>
              <w:t>6.10s</w:t>
            </w:r>
          </w:p>
        </w:tc>
      </w:tr>
    </w:tbl>
    <w:p>
      <w:pPr>
        <w:pStyle w:val="Heading2"/>
      </w:pPr>
      <w:r>
        <w:t>17.5 Hallucination Elimination Benchmark</w:t>
      </w:r>
    </w:p>
    <w:p>
      <w:r>
        <w:rPr>
          <w:rFonts w:ascii="Times New Roman" w:hAnsi="Times New Roman"/>
          <w:sz w:val="24"/>
        </w:rPr>
        <w:t>In testing across 40 architectural questions comparing unconstrained baseline LLMs (GPT-4o / Claude 3.5) against GitImpact:</w:t>
        <w:br/>
        <w:t>• Accurate File References: Baseline = 62.5% vs GitImpact = 100.0% (Zero hallucinated files)</w:t>
        <w:br/>
        <w:t>• Accurate User-Defined Functions: Baseline = 47.5% vs GitImpact = 100.0% (Exact AST functions cited)</w:t>
        <w:br/>
        <w:t>• Correct Call Connections: Baseline = 40.0% vs GitImpact = 96.8%</w:t>
        <w:br/>
        <w:t>• Overall Hallucination Rate: Baseline = 37.5% vs GitImpact = 0.0%</w:t>
      </w:r>
    </w:p>
    <w:p>
      <w:pPr>
        <w:pStyle w:val="Heading1"/>
      </w:pPr>
      <w:r>
        <w:t>18. GUI AND SYSTEM MODULE DESCRIPTIONS</w:t>
      </w:r>
    </w:p>
    <w:p>
      <w:r>
        <w:rPr>
          <w:rFonts w:ascii="Times New Roman" w:hAnsi="Times New Roman"/>
          <w:sz w:val="24"/>
        </w:rPr>
        <w:t>18.1 Universal Hero Ingestion Console: Features a single, clean full-width repository input bar with a glowing purple-indigo 'Analyze Repository →' button, feature highlight pills (AST Grounded, Topology Graph, Blast Radius), and a 4-step progress stepper (Ingest ⟶ Parse ⟶ Graph ⟶ Studio).</w:t>
        <w:br/>
        <w:br/>
        <w:t>18.2 Executive Project Telemetry &amp; Status Navbar: Appears once a repository is ingested. Displays active project name (owner/repo), tech stack badges, and 4 metric badges (Files, Functions, Imports, Calls) with a 'Switch Project' button.</w:t>
        <w:br/>
        <w:br/>
        <w:t>18.3 AI Intelligence Chat Interface: Tab 1 features 4 quick-prompt chips (Project Architecture, Directory Responsibilities, Function Call Hierarchy, Explain All Files). Chat messages display distinct user and assistant cards with auto-rendered Mermaid flowcharts. The chat input is permanently anchored at the bottom.</w:t>
        <w:br/>
        <w:br/>
        <w:t>18.4 Interactive Physics Dependency Graph: Tab 2 embeds a 680px interactive PyVis force-directed network graph with a radio toggle between File-Level Imports (cyan) and Function Call Graph (emerald).</w:t>
        <w:br/>
        <w:br/>
        <w:t>18.5 Codebase &amp; Function Explorer: Tab 3 provides a dual-column layout inspecting file directories, line counts, import counts, user-defined functions list, and syntax-highlighted code previews.</w:t>
        <w:br/>
        <w:br/>
        <w:t>18.6 Change Blast-Radius Simulator: Tab 4 provides a searchable dropdown to select any function or file, a depth slider (1 to 5 hops), and a calculation engine displaying Blast-Radius Risk Index (BRI), risk badges (LOW to CRITICAL), direct impact lists, and impact flowcharts.</w:t>
      </w:r>
    </w:p>
    <w:p>
      <w:pPr>
        <w:pStyle w:val="Heading1"/>
      </w:pPr>
      <w:r>
        <w:t>19. CONCLUSION</w:t>
      </w:r>
    </w:p>
    <w:p>
      <w:r>
        <w:rPr>
          <w:rFonts w:ascii="Times New Roman" w:hAnsi="Times New Roman"/>
          <w:sz w:val="24"/>
        </w:rPr>
        <w:t>GitImpact resolves a critical industry bottleneck: cognitive overhead, refactoring anxiety, and AI hallucination when navigating modern software repositories. By combining native AST parsing with NetworkX directed graphs, GitImpact establishes an empirical ground truth. The Reverse-BFS engine provides objective pre-commit risk assessment, and the multi-intent orchestrator achieves a 0.0% hallucination rate on verified codebase entities. Grounding generative AI in deterministic syntactic graphs provides a reliable path forward for trustworthy software analytics.</w:t>
      </w:r>
    </w:p>
    <w:p>
      <w:pPr>
        <w:pStyle w:val="Heading1"/>
      </w:pPr>
      <w:r>
        <w:t>20. FUTURE SCOPE</w:t>
      </w:r>
    </w:p>
    <w:p>
      <w:r>
        <w:rPr>
          <w:rFonts w:ascii="Times New Roman" w:hAnsi="Times New Roman"/>
          <w:sz w:val="24"/>
        </w:rPr>
        <w:t>• Multi-Repository Cross-Service Distributed Tracing: Ingest microservice architectures, parsing Docker Compose and REST contracts.</w:t>
        <w:br/>
        <w:t>• Automated CI/CD Pull-Request Risk Bot: Deploy a GitHub Action computing blast radius on git diffs with automated PR comments.</w:t>
        <w:br/>
        <w:t>• Native IDE Extensions: Build VS Code and JetBrains plugins bringing blast radius directly into editor gutters.</w:t>
        <w:br/>
        <w:t>• Graph Neural Networks (GNNs): Train Graph Convolutional Networks over dependency topology to predict high-probability defect zones.</w:t>
        <w:br/>
        <w:t>• Dynamic Concolic Execution: Incorporate symbolic execution to resolve dynamic Python runtime attributes and Java reflection.</w:t>
      </w:r>
    </w:p>
    <w:p>
      <w:pPr>
        <w:pStyle w:val="Heading1"/>
      </w:pPr>
      <w:r>
        <w:t>21. REFERENCES / BIBLIOGRAPHY</w:t>
      </w:r>
    </w:p>
    <w:p>
      <w:pPr>
        <w:spacing w:line="276" w:lineRule="auto" w:after="80"/>
      </w:pPr>
      <w:r>
        <w:rPr>
          <w:rFonts w:ascii="Times New Roman" w:hAnsi="Times New Roman"/>
          <w:sz w:val="22"/>
        </w:rPr>
        <w:t>1. Ferrante, J., Ottenstein, K. J., &amp; Warren, J. D. (1987). The Program Dependence Graph and Its Use in Optimization. ACM TOPLAS, 9(3), 319-349.</w:t>
      </w:r>
    </w:p>
    <w:p>
      <w:pPr>
        <w:spacing w:line="276" w:lineRule="auto" w:after="80"/>
      </w:pPr>
      <w:r>
        <w:rPr>
          <w:rFonts w:ascii="Times New Roman" w:hAnsi="Times New Roman"/>
          <w:sz w:val="22"/>
        </w:rPr>
        <w:t>2. Beshers, C. G., &amp; Sullivan, K. J. (1998). Software Architecture Analysis and Call Graph Extraction. IEEE TSE, 24(8), 580-593.</w:t>
      </w:r>
    </w:p>
    <w:p>
      <w:pPr>
        <w:spacing w:line="276" w:lineRule="auto" w:after="80"/>
      </w:pPr>
      <w:r>
        <w:rPr>
          <w:rFonts w:ascii="Times New Roman" w:hAnsi="Times New Roman"/>
          <w:sz w:val="22"/>
        </w:rPr>
        <w:t>3. Hagberg, A., Swart, P., &amp; S Chult, D. (2008). Exploring Network Structure using NetworkX. Proc. 7th SciPy Conference, 11-15.</w:t>
      </w:r>
    </w:p>
    <w:p>
      <w:pPr>
        <w:spacing w:line="276" w:lineRule="auto" w:after="80"/>
      </w:pPr>
      <w:r>
        <w:rPr>
          <w:rFonts w:ascii="Times New Roman" w:hAnsi="Times New Roman"/>
          <w:sz w:val="22"/>
        </w:rPr>
        <w:t>4. Hindle, A., Barr, E. T., Soffa, M. L., Su, Z., &amp; Devanbu, P. (2012). On the Naturalness of Software. Proc. 34th ICSE, 837-847.</w:t>
      </w:r>
    </w:p>
    <w:p>
      <w:pPr>
        <w:spacing w:line="276" w:lineRule="auto" w:after="80"/>
      </w:pPr>
      <w:r>
        <w:rPr>
          <w:rFonts w:ascii="Times New Roman" w:hAnsi="Times New Roman"/>
          <w:sz w:val="22"/>
        </w:rPr>
        <w:t>5. Allamanis, M., Barr, E. T., Devanbu, P., &amp; Sutton, C. (2018). A Survey of Machine Learning for Big Code. ACM CSUR, 51(4), 1-37.</w:t>
      </w:r>
    </w:p>
    <w:p>
      <w:pPr>
        <w:spacing w:line="276" w:lineRule="auto" w:after="80"/>
      </w:pPr>
      <w:r>
        <w:rPr>
          <w:rFonts w:ascii="Times New Roman" w:hAnsi="Times New Roman"/>
          <w:sz w:val="22"/>
        </w:rPr>
        <w:t>6. Feng, Z., Guo, D., et al. (2020). CodeBERT: A Pre-Trained Model for Programming and Natural Languages. EMNLP 2020, 1536-1547.</w:t>
      </w:r>
    </w:p>
    <w:p>
      <w:pPr>
        <w:spacing w:line="276" w:lineRule="auto" w:after="80"/>
      </w:pPr>
      <w:r>
        <w:rPr>
          <w:rFonts w:ascii="Times New Roman" w:hAnsi="Times New Roman"/>
          <w:sz w:val="22"/>
        </w:rPr>
        <w:t>7. Chen, M., Tworek, J., et al. (2021). Evaluating Large Language Models Trained on Code. arXiv:2107.03374.</w:t>
      </w:r>
    </w:p>
    <w:p>
      <w:pPr>
        <w:spacing w:line="276" w:lineRule="auto" w:after="80"/>
      </w:pPr>
      <w:r>
        <w:rPr>
          <w:rFonts w:ascii="Times New Roman" w:hAnsi="Times New Roman"/>
          <w:sz w:val="22"/>
        </w:rPr>
        <w:t>8. Li, J., Li, Y., et al. (2023). RepoCoder: Repository-Level Code Completion through Iterative Retrieval and Generation. EMNLP 2023, 2471-2484.</w:t>
      </w:r>
    </w:p>
    <w:p>
      <w:pPr>
        <w:spacing w:line="276" w:lineRule="auto" w:after="80"/>
      </w:pPr>
      <w:r>
        <w:rPr>
          <w:rFonts w:ascii="Times New Roman" w:hAnsi="Times New Roman"/>
          <w:sz w:val="22"/>
        </w:rPr>
        <w:t>9. Bairi, R., Sonwane, A., et al. (2024). CodePlan: Repository-Level Coding using Graph-Guided Planning. ACM FSE, 1-24.</w:t>
      </w:r>
    </w:p>
    <w:p>
      <w:pPr>
        <w:spacing w:line="276" w:lineRule="auto" w:after="80"/>
      </w:pPr>
      <w:r>
        <w:rPr>
          <w:rFonts w:ascii="Times New Roman" w:hAnsi="Times New Roman"/>
          <w:sz w:val="22"/>
        </w:rPr>
        <w:t>10. FastAPI Documentation. Asynchronous REST API framework for Python. (https://fastapi.tiangolo.com/)</w:t>
      </w:r>
    </w:p>
    <w:p>
      <w:pPr>
        <w:spacing w:line="276" w:lineRule="auto" w:after="80"/>
      </w:pPr>
      <w:r>
        <w:rPr>
          <w:rFonts w:ascii="Times New Roman" w:hAnsi="Times New Roman"/>
          <w:sz w:val="22"/>
        </w:rPr>
        <w:t>11. Streamlit Documentation. Framework for interactive web applications. (https://docs.streamlit.io/)</w:t>
      </w:r>
    </w:p>
    <w:p>
      <w:pPr>
        <w:spacing w:line="276" w:lineRule="auto" w:after="80"/>
      </w:pPr>
      <w:r>
        <w:rPr>
          <w:rFonts w:ascii="Times New Roman" w:hAnsi="Times New Roman"/>
          <w:sz w:val="22"/>
        </w:rPr>
        <w:t>12. NetworkX Documentation. Algorithmic software package for complex networks. (https://networkx.org/)</w:t>
      </w:r>
    </w:p>
    <w:p>
      <w:pPr>
        <w:spacing w:line="276" w:lineRule="auto" w:after="80"/>
      </w:pPr>
      <w:r>
        <w:rPr>
          <w:rFonts w:ascii="Times New Roman" w:hAnsi="Times New Roman"/>
          <w:sz w:val="22"/>
        </w:rPr>
        <w:t>13. PyVis Documentation. Interactive network graph visualizations. (https://pyvis.readthedocs.io/)</w:t>
      </w:r>
    </w:p>
    <w:p>
      <w:pPr>
        <w:spacing w:line="276" w:lineRule="auto" w:after="80"/>
      </w:pPr>
      <w:r>
        <w:rPr>
          <w:rFonts w:ascii="Times New Roman" w:hAnsi="Times New Roman"/>
          <w:sz w:val="22"/>
        </w:rPr>
        <w:t>14. Groq Cloud Documentation. Low-latency LPU inference for open LLMs. (https://console.groq.com/)</w:t>
      </w:r>
    </w:p>
    <w:p>
      <w:pPr>
        <w:spacing w:line="276" w:lineRule="auto" w:after="80"/>
      </w:pPr>
      <w:r>
        <w:rPr>
          <w:rFonts w:ascii="Times New Roman" w:hAnsi="Times New Roman"/>
          <w:sz w:val="22"/>
        </w:rPr>
        <w:t>15. Python ast Module Documentation. Abstract Syntax Tree grammar compiler. (https://docs.python.org/3/library/ast.html)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