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3D5A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TRADER BEHAVIOR &amp; MARKET SENTIMENT ANALYSIS</w:t>
      </w:r>
    </w:p>
    <w:p w14:paraId="0E35758E">
      <w:pPr>
        <w:rPr>
          <w:rFonts w:ascii="Arial" w:hAnsi="Arial" w:cs="Arial"/>
        </w:rPr>
      </w:pPr>
      <w:r>
        <w:rPr>
          <w:rFonts w:ascii="Arial" w:hAnsi="Arial" w:cs="Arial"/>
        </w:rPr>
        <w:t>Prepared for: Primetrade.ai Hiring Team</w:t>
      </w:r>
    </w:p>
    <w:p w14:paraId="623F921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Objective: Uncover systemic relationships between Hyperliquid trader performance and macro Bitcoin market sentiment to optimize algorithmic execution strategies.</w:t>
      </w:r>
    </w:p>
    <w:p w14:paraId="3BD505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Executive Summary</w:t>
      </w:r>
    </w:p>
    <w:p w14:paraId="76531E6F">
      <w:pPr>
        <w:rPr>
          <w:rFonts w:ascii="Arial" w:hAnsi="Arial" w:cs="Arial"/>
        </w:rPr>
      </w:pPr>
      <w:r>
        <w:rPr>
          <w:rFonts w:ascii="Arial" w:hAnsi="Arial" w:cs="Arial"/>
        </w:rPr>
        <w:t>An analysis of $211,218$ discrete trade execution logs spanning a 2-year window (May 2023 – May 2025) was cross-referenced against daily Bitcoin Fear &amp; Greed Index data points. The objective was to determine whether macro psychological market states dictate decentralized exchange (DEX) trader risk parameters, efficiency, and overall capture of Net Realized Profit ($PnL$).</w:t>
      </w:r>
    </w:p>
    <w:p w14:paraId="6DC387A0">
      <w:pPr>
        <w:rPr>
          <w:rFonts w:ascii="Arial" w:hAnsi="Arial" w:cs="Arial"/>
        </w:rPr>
      </w:pPr>
      <w:r>
        <w:rPr>
          <w:rFonts w:ascii="Arial" w:hAnsi="Arial" w:cs="Arial"/>
        </w:rPr>
        <w:t>The data reveals a stark, counter-intuitive behavioral paradox: while traders exhibit their highest execution accuracy ($89.17\%$ win rate) during macro Extreme Greed environments, they systematically over-allocate capital and take their highest risk exposure via large position sizes during periods of Fear, significantly deteriorating capital efficiency.</w:t>
      </w:r>
    </w:p>
    <w:p w14:paraId="0136F65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Consolidated Performance Metric 1Matrix</w:t>
      </w:r>
    </w:p>
    <w:p w14:paraId="34955321">
      <w:pPr>
        <w:rPr>
          <w:rFonts w:ascii="Arial" w:hAnsi="Arial" w:cs="Arial"/>
        </w:rPr>
      </w:pPr>
      <w:r>
        <w:rPr>
          <w:rFonts w:ascii="Arial" w:hAnsi="Arial" w:cs="Arial"/>
        </w:rPr>
        <w:t>To normalize and analyze the execution patterns, raw granular transactional times (Timestamp IST) were unified into daily standard dates (YYYY-MM-DD) and inner-joined with daily sentiment brackets.</w:t>
      </w:r>
    </w:p>
    <w:tbl>
      <w:tblPr>
        <w:tblStyle w:val="14"/>
        <w:tblpPr w:leftFromText="180" w:rightFromText="180" w:vertAnchor="text" w:horzAnchor="margin" w:tblpXSpec="center" w:tblpY="312"/>
        <w:tblW w:w="10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284"/>
        <w:gridCol w:w="2018"/>
        <w:gridCol w:w="1284"/>
        <w:gridCol w:w="1751"/>
        <w:gridCol w:w="1364"/>
        <w:gridCol w:w="1418"/>
      </w:tblGrid>
      <w:tr w14:paraId="3CBD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" w:hRule="atLeast"/>
        </w:trPr>
        <w:tc>
          <w:tcPr>
            <w:tcW w:w="1377" w:type="dxa"/>
            <w:vAlign w:val="center"/>
          </w:tcPr>
          <w:p w14:paraId="242F26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Market Sentiment State</w:t>
            </w:r>
          </w:p>
        </w:tc>
        <w:tc>
          <w:tcPr>
            <w:tcW w:w="1284" w:type="dxa"/>
            <w:vAlign w:val="center"/>
          </w:tcPr>
          <w:p w14:paraId="3FD310B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Executed Trades</w:t>
            </w:r>
          </w:p>
        </w:tc>
        <w:tc>
          <w:tcPr>
            <w:tcW w:w="2018" w:type="dxa"/>
            <w:vAlign w:val="center"/>
          </w:tcPr>
          <w:p w14:paraId="1F3445F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Aggregate Volume (USD)</w:t>
            </w:r>
          </w:p>
        </w:tc>
        <w:tc>
          <w:tcPr>
            <w:tcW w:w="1284" w:type="dxa"/>
            <w:vAlign w:val="center"/>
          </w:tcPr>
          <w:p w14:paraId="336C211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Average Position Size (USD)</w:t>
            </w:r>
          </w:p>
        </w:tc>
        <w:tc>
          <w:tcPr>
            <w:tcW w:w="1751" w:type="dxa"/>
            <w:vAlign w:val="center"/>
          </w:tcPr>
          <w:p w14:paraId="563F4B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Net Realized PnL (USD)</w:t>
            </w:r>
          </w:p>
        </w:tc>
        <w:tc>
          <w:tcPr>
            <w:tcW w:w="1364" w:type="dxa"/>
            <w:vAlign w:val="center"/>
          </w:tcPr>
          <w:p w14:paraId="553977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Execution Win Rate</w:t>
            </w:r>
          </w:p>
        </w:tc>
        <w:tc>
          <w:tcPr>
            <w:tcW w:w="1418" w:type="dxa"/>
            <w:vAlign w:val="center"/>
          </w:tcPr>
          <w:p w14:paraId="18A2E87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Protocol Fees Paid (USD)</w:t>
            </w:r>
          </w:p>
        </w:tc>
      </w:tr>
      <w:tr w14:paraId="33BF8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377" w:type="dxa"/>
            <w:vAlign w:val="center"/>
          </w:tcPr>
          <w:p w14:paraId="3A5368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Extreme Fear</w:t>
            </w:r>
          </w:p>
        </w:tc>
        <w:tc>
          <w:tcPr>
            <w:tcW w:w="1284" w:type="dxa"/>
            <w:vAlign w:val="center"/>
          </w:tcPr>
          <w:p w14:paraId="2CE4CCF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21,400</w:t>
            </w:r>
          </w:p>
        </w:tc>
        <w:tc>
          <w:tcPr>
            <w:tcW w:w="2018" w:type="dxa"/>
            <w:vAlign w:val="center"/>
          </w:tcPr>
          <w:p w14:paraId="6098A2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$114,484,261.44</w:t>
            </w:r>
          </w:p>
        </w:tc>
        <w:tc>
          <w:tcPr>
            <w:tcW w:w="1284" w:type="dxa"/>
            <w:vAlign w:val="center"/>
          </w:tcPr>
          <w:p w14:paraId="5A94A4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$5,349.73</w:t>
            </w:r>
          </w:p>
        </w:tc>
        <w:tc>
          <w:tcPr>
            <w:tcW w:w="1751" w:type="dxa"/>
            <w:vAlign w:val="center"/>
          </w:tcPr>
          <w:p w14:paraId="137B626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$739,110.25</w:t>
            </w:r>
          </w:p>
        </w:tc>
        <w:tc>
          <w:tcPr>
            <w:tcW w:w="1364" w:type="dxa"/>
            <w:vAlign w:val="center"/>
          </w:tcPr>
          <w:p w14:paraId="7F7A63E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$76.22\%$</w:t>
            </w:r>
          </w:p>
        </w:tc>
        <w:tc>
          <w:tcPr>
            <w:tcW w:w="1418" w:type="dxa"/>
            <w:vAlign w:val="center"/>
          </w:tcPr>
          <w:p w14:paraId="1556888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$23,888.63</w:t>
            </w:r>
          </w:p>
        </w:tc>
      </w:tr>
      <w:tr w14:paraId="48B0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377" w:type="dxa"/>
            <w:vAlign w:val="center"/>
          </w:tcPr>
          <w:p w14:paraId="55C662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Fear</w:t>
            </w:r>
          </w:p>
        </w:tc>
        <w:tc>
          <w:tcPr>
            <w:tcW w:w="1284" w:type="dxa"/>
            <w:vAlign w:val="center"/>
          </w:tcPr>
          <w:p w14:paraId="36CE0A1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61,837</w:t>
            </w:r>
          </w:p>
        </w:tc>
        <w:tc>
          <w:tcPr>
            <w:tcW w:w="2018" w:type="dxa"/>
            <w:vAlign w:val="center"/>
          </w:tcPr>
          <w:p w14:paraId="1965249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$483,324,789.79</w:t>
            </w:r>
          </w:p>
        </w:tc>
        <w:tc>
          <w:tcPr>
            <w:tcW w:w="1284" w:type="dxa"/>
            <w:vAlign w:val="center"/>
          </w:tcPr>
          <w:p w14:paraId="583881D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$7,816.11</w:t>
            </w:r>
          </w:p>
        </w:tc>
        <w:tc>
          <w:tcPr>
            <w:tcW w:w="1751" w:type="dxa"/>
            <w:vAlign w:val="center"/>
          </w:tcPr>
          <w:p w14:paraId="0ADA645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$3,357,155.44</w:t>
            </w:r>
          </w:p>
        </w:tc>
        <w:tc>
          <w:tcPr>
            <w:tcW w:w="1364" w:type="dxa"/>
            <w:vAlign w:val="center"/>
          </w:tcPr>
          <w:p w14:paraId="7748E0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$87.29\%$</w:t>
            </w:r>
          </w:p>
        </w:tc>
        <w:tc>
          <w:tcPr>
            <w:tcW w:w="1418" w:type="dxa"/>
            <w:vAlign w:val="center"/>
          </w:tcPr>
          <w:p w14:paraId="41E9FD8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$92,456.95</w:t>
            </w:r>
          </w:p>
        </w:tc>
      </w:tr>
      <w:tr w14:paraId="1F47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377" w:type="dxa"/>
            <w:vAlign w:val="center"/>
          </w:tcPr>
          <w:p w14:paraId="452A0B7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Neutral</w:t>
            </w:r>
          </w:p>
        </w:tc>
        <w:tc>
          <w:tcPr>
            <w:tcW w:w="1284" w:type="dxa"/>
            <w:vAlign w:val="center"/>
          </w:tcPr>
          <w:p w14:paraId="79076D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37,686</w:t>
            </w:r>
          </w:p>
        </w:tc>
        <w:tc>
          <w:tcPr>
            <w:tcW w:w="2018" w:type="dxa"/>
            <w:vAlign w:val="center"/>
          </w:tcPr>
          <w:p w14:paraId="2CFE2F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$180,242,063.08</w:t>
            </w:r>
          </w:p>
        </w:tc>
        <w:tc>
          <w:tcPr>
            <w:tcW w:w="1284" w:type="dxa"/>
            <w:vAlign w:val="center"/>
          </w:tcPr>
          <w:p w14:paraId="2E80EF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$4,782.73</w:t>
            </w:r>
          </w:p>
        </w:tc>
        <w:tc>
          <w:tcPr>
            <w:tcW w:w="1751" w:type="dxa"/>
            <w:vAlign w:val="center"/>
          </w:tcPr>
          <w:p w14:paraId="237AD7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$1,292,920.68</w:t>
            </w:r>
          </w:p>
        </w:tc>
        <w:tc>
          <w:tcPr>
            <w:tcW w:w="1364" w:type="dxa"/>
            <w:vAlign w:val="center"/>
          </w:tcPr>
          <w:p w14:paraId="3AB64D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$82.39\%$</w:t>
            </w:r>
          </w:p>
        </w:tc>
        <w:tc>
          <w:tcPr>
            <w:tcW w:w="1418" w:type="dxa"/>
            <w:vAlign w:val="center"/>
          </w:tcPr>
          <w:p w14:paraId="7ED3D2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$39,374.27</w:t>
            </w:r>
          </w:p>
        </w:tc>
      </w:tr>
      <w:tr w14:paraId="50C9E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377" w:type="dxa"/>
            <w:vAlign w:val="center"/>
          </w:tcPr>
          <w:p w14:paraId="1C97309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Greed</w:t>
            </w:r>
          </w:p>
        </w:tc>
        <w:tc>
          <w:tcPr>
            <w:tcW w:w="1284" w:type="dxa"/>
            <w:vAlign w:val="center"/>
          </w:tcPr>
          <w:p w14:paraId="6F2EE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50,303</w:t>
            </w:r>
          </w:p>
        </w:tc>
        <w:tc>
          <w:tcPr>
            <w:tcW w:w="2018" w:type="dxa"/>
            <w:vAlign w:val="center"/>
          </w:tcPr>
          <w:p w14:paraId="751E638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$288,582,494.72</w:t>
            </w:r>
          </w:p>
        </w:tc>
        <w:tc>
          <w:tcPr>
            <w:tcW w:w="1284" w:type="dxa"/>
            <w:vAlign w:val="center"/>
          </w:tcPr>
          <w:p w14:paraId="29DE10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$5,736.88</w:t>
            </w:r>
          </w:p>
        </w:tc>
        <w:tc>
          <w:tcPr>
            <w:tcW w:w="1751" w:type="dxa"/>
            <w:vAlign w:val="center"/>
          </w:tcPr>
          <w:p w14:paraId="471FAD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$2,150,129.27</w:t>
            </w:r>
          </w:p>
        </w:tc>
        <w:tc>
          <w:tcPr>
            <w:tcW w:w="1364" w:type="dxa"/>
            <w:vAlign w:val="center"/>
          </w:tcPr>
          <w:p w14:paraId="2552935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$76.89\%$</w:t>
            </w:r>
          </w:p>
        </w:tc>
        <w:tc>
          <w:tcPr>
            <w:tcW w:w="1418" w:type="dxa"/>
            <w:vAlign w:val="center"/>
          </w:tcPr>
          <w:p w14:paraId="6BEBD15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$63,098.69</w:t>
            </w:r>
          </w:p>
        </w:tc>
      </w:tr>
      <w:tr w14:paraId="46FC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377" w:type="dxa"/>
            <w:vAlign w:val="center"/>
          </w:tcPr>
          <w:p w14:paraId="6BAEB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Extreme Greed</w:t>
            </w:r>
          </w:p>
        </w:tc>
        <w:tc>
          <w:tcPr>
            <w:tcW w:w="1284" w:type="dxa"/>
            <w:vAlign w:val="center"/>
          </w:tcPr>
          <w:p w14:paraId="287E6C8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39,992</w:t>
            </w:r>
          </w:p>
        </w:tc>
        <w:tc>
          <w:tcPr>
            <w:tcW w:w="2018" w:type="dxa"/>
            <w:vAlign w:val="center"/>
          </w:tcPr>
          <w:p w14:paraId="151717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$124,465,164.57</w:t>
            </w:r>
          </w:p>
        </w:tc>
        <w:tc>
          <w:tcPr>
            <w:tcW w:w="1284" w:type="dxa"/>
            <w:vAlign w:val="center"/>
          </w:tcPr>
          <w:p w14:paraId="31FC684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$3,112.25</w:t>
            </w:r>
          </w:p>
        </w:tc>
        <w:tc>
          <w:tcPr>
            <w:tcW w:w="1751" w:type="dxa"/>
            <w:vAlign w:val="center"/>
          </w:tcPr>
          <w:p w14:paraId="3B3985E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$2,715,171.31</w:t>
            </w:r>
          </w:p>
        </w:tc>
        <w:tc>
          <w:tcPr>
            <w:tcW w:w="1364" w:type="dxa"/>
            <w:vAlign w:val="center"/>
          </w:tcPr>
          <w:p w14:paraId="28D37A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$89.17\%$</w:t>
            </w:r>
          </w:p>
        </w:tc>
        <w:tc>
          <w:tcPr>
            <w:tcW w:w="1418" w:type="dxa"/>
            <w:vAlign w:val="center"/>
          </w:tcPr>
          <w:p w14:paraId="5411B94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$27,030.67</w:t>
            </w:r>
          </w:p>
        </w:tc>
      </w:tr>
    </w:tbl>
    <w:p w14:paraId="4DCCC39E">
      <w:pPr>
        <w:rPr>
          <w:rFonts w:ascii="Arial" w:hAnsi="Arial" w:cs="Arial"/>
          <w:b/>
          <w:bCs/>
        </w:rPr>
      </w:pPr>
    </w:p>
    <w:p w14:paraId="218BA28F">
      <w:pPr>
        <w:rPr>
          <w:rFonts w:ascii="Arial" w:hAnsi="Arial" w:cs="Arial"/>
          <w:b/>
          <w:bCs/>
        </w:rPr>
      </w:pPr>
    </w:p>
    <w:p w14:paraId="53A7445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Core Analytical Discoveries &amp; Hidden Patterns</w:t>
      </w:r>
    </w:p>
    <w:p w14:paraId="52F4AED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Alpha Insight A: The Sizing Distortion Trap </w:t>
      </w:r>
    </w:p>
    <w:p w14:paraId="0FE55384">
      <w:pPr>
        <w:rPr>
          <w:rFonts w:ascii="Arial" w:hAnsi="Arial" w:cs="Arial"/>
        </w:rPr>
      </w:pPr>
      <w:r>
        <w:rPr>
          <w:rFonts w:ascii="Arial" w:hAnsi="Arial" w:cs="Arial"/>
        </w:rPr>
        <w:t>The most significant operational pattern discovered centers around how traders scale position sizes relative to emotional environments. In standard Fear cycles, the average position size peaks drastically at $7,816.11 per trade—resulting in a massive aggregate volume cluster of $483.32 Million. Conversely, when the market transitions into Extreme Greed, traders dramatically scale down their risk profiles, lowering their average position size by over $60\%$ down to $3,112.25.</w:t>
      </w:r>
    </w:p>
    <w:p w14:paraId="743CCC35">
      <w:pPr>
        <w:rPr>
          <w:rFonts w:ascii="Arial" w:hAnsi="Arial" w:cs="Arial"/>
        </w:rPr>
      </w:pPr>
    </w:p>
    <w:p w14:paraId="1D86BD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5731510" cy="2865755"/>
            <wp:effectExtent l="0" t="0" r="2540" b="0"/>
            <wp:docPr id="5907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578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BC8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Psychological Inference</w:t>
      </w:r>
      <w:r>
        <w:rPr>
          <w:rFonts w:ascii="Arial" w:hAnsi="Arial" w:cs="Arial"/>
          <w:i/>
          <w:iCs/>
        </w:rPr>
        <w:t>:</w:t>
      </w:r>
      <w:r>
        <w:rPr>
          <w:rFonts w:ascii="Arial" w:hAnsi="Arial" w:cs="Arial"/>
        </w:rPr>
        <w:t xml:space="preserve"> Traders frequently suffer from over-confidence when catching down-trending prices ("buying the dip" aggressively), scaling up their positions prematurely during Fear. In contrast, they display clear profit-taking hesitation and exposure minimization during powerful macro uptrends (Extreme Greed).</w:t>
      </w:r>
    </w:p>
    <w:p w14:paraId="69E376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Alpha Insight B: The Extreme Greed Efficiency Miracle</w:t>
      </w:r>
    </w:p>
    <w:p w14:paraId="564B72C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Conventional trading wisdom suggests that retail traders lose money by FOMO-ing during periods of high greed. However, the transactional data on Hyperliquid reveals that trades executed during </w:t>
      </w:r>
      <w:r>
        <w:rPr>
          <w:rFonts w:ascii="Arial" w:hAnsi="Arial" w:cs="Arial"/>
          <w:b/>
          <w:bCs/>
        </w:rPr>
        <w:t>Extreme Greed</w:t>
      </w:r>
      <w:r>
        <w:rPr>
          <w:rFonts w:ascii="Arial" w:hAnsi="Arial" w:cs="Arial"/>
        </w:rPr>
        <w:t xml:space="preserve"> achieve a stellar $89.17\%$ win rate, generating $2.71 Million in realized profits on a modest volume of $124.46 Million.</w:t>
      </w:r>
    </w:p>
    <w:p w14:paraId="277E35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Conversely, when the market drops into </w:t>
      </w:r>
      <w:r>
        <w:rPr>
          <w:rFonts w:ascii="Arial" w:hAnsi="Arial" w:cs="Arial"/>
          <w:b/>
          <w:bCs/>
        </w:rPr>
        <w:t>Extreme Fear</w:t>
      </w:r>
      <w:r>
        <w:rPr>
          <w:rFonts w:ascii="Arial" w:hAnsi="Arial" w:cs="Arial"/>
        </w:rPr>
        <w:t>, execution accuracy breaks down completely, hitting a baseline floor of $76.22\%$ win rate. This highlights a severe breakdown in risk management or heavy cascade liquidation events during deep panic conditions.</w:t>
      </w:r>
    </w:p>
    <w:p w14:paraId="698FB318">
      <w:pPr>
        <w:rPr>
          <w:rFonts w:ascii="Arial" w:hAnsi="Arial" w:cs="Arial"/>
        </w:rPr>
      </w:pPr>
    </w:p>
    <w:p w14:paraId="681BE7F2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731510" cy="3213100"/>
            <wp:effectExtent l="0" t="0" r="2540" b="6350"/>
            <wp:docPr id="402319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9516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1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Data Science &amp; Engineering Methodology</w:t>
      </w:r>
    </w:p>
    <w:p w14:paraId="62400F89">
      <w:pPr>
        <w:rPr>
          <w:rFonts w:ascii="Arial" w:hAnsi="Arial" w:cs="Arial"/>
        </w:rPr>
      </w:pPr>
      <w:r>
        <w:rPr>
          <w:rFonts w:ascii="Arial" w:hAnsi="Arial" w:cs="Arial"/>
        </w:rPr>
        <w:t>To execute this analysis cleanly, an end-to-end Python preprocessing and analytics pipeline was deployed:</w:t>
      </w:r>
    </w:p>
    <w:p w14:paraId="4EA0E3E5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Datetime Mapping:</w:t>
      </w:r>
      <w:r>
        <w:rPr>
          <w:rFonts w:ascii="Arial" w:hAnsi="Arial" w:cs="Arial"/>
        </w:rPr>
        <w:t xml:space="preserve"> Standardized non-uniform Indian Standard Time string stamps (%d-%m-%Y %H:%M) within the historical transaction data into a stripped datetime.date index.</w:t>
      </w:r>
    </w:p>
    <w:p w14:paraId="0D539BF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Integrity Filtration:</w:t>
      </w:r>
      <w:r>
        <w:rPr>
          <w:rFonts w:ascii="Arial" w:hAnsi="Arial" w:cs="Arial"/>
        </w:rPr>
        <w:t xml:space="preserve"> Missing dates or unparseable timestamps were handled via coerced transformations (errors='coerce') to insulate the inner merge from dropping critical alpha features.</w:t>
      </w:r>
    </w:p>
    <w:p w14:paraId="5B93090D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Vectorized Metrics:</w:t>
      </w:r>
      <w:r>
        <w:rPr>
          <w:rFonts w:ascii="Arial" w:hAnsi="Arial" w:cs="Arial"/>
        </w:rPr>
        <w:t xml:space="preserve"> Created binary logical arrays (is_win / is_loss) to isolate execution efficiency dynamically from non-zero closing transaction rows.</w:t>
      </w:r>
    </w:p>
    <w:p w14:paraId="32CF2C03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Visualizations:</w:t>
      </w:r>
      <w:r>
        <w:rPr>
          <w:rFonts w:ascii="Arial" w:hAnsi="Arial" w:cs="Arial"/>
        </w:rPr>
        <w:t xml:space="preserve"> Built and exported dual-axis matplotlib/seaborn plots to evaluate the visual intersections of sentiment value fluctuations against underlying wallet metrics.</w:t>
      </w:r>
    </w:p>
    <w:p w14:paraId="50D8455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 Algorithmic Recommendations for Smarter Trading Strategies</w:t>
      </w:r>
    </w:p>
    <w:p w14:paraId="13E8AA58">
      <w:pPr>
        <w:rPr>
          <w:rFonts w:ascii="Arial" w:hAnsi="Arial" w:cs="Arial"/>
        </w:rPr>
      </w:pPr>
      <w:r>
        <w:rPr>
          <w:rFonts w:ascii="Arial" w:hAnsi="Arial" w:cs="Arial"/>
        </w:rPr>
        <w:t>Based on the empirical evidence extracted from the Hyperliquid records, Primetrade.ai can exploit these system inefficiencies to build robust trading models:</w:t>
      </w:r>
    </w:p>
    <w:p w14:paraId="5FDBAAFD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 Dynamic, Sentiment-Based Position Sizing:</w:t>
      </w:r>
      <w:r>
        <w:rPr>
          <w:rFonts w:ascii="Arial" w:hAnsi="Arial" w:cs="Arial"/>
        </w:rPr>
        <w:t xml:space="preserve"> Rather than letting human traders scale up size into down-trends, the automated system should force position sizes to scale </w:t>
      </w:r>
      <w:r>
        <w:rPr>
          <w:rFonts w:ascii="Arial" w:hAnsi="Arial" w:cs="Arial"/>
          <w:i/>
          <w:iCs/>
        </w:rPr>
        <w:t>down</w:t>
      </w:r>
      <w:r>
        <w:rPr>
          <w:rFonts w:ascii="Arial" w:hAnsi="Arial" w:cs="Arial"/>
        </w:rPr>
        <w:t xml:space="preserve"> dynamically when the daily index reads "Fear" or "Extreme Fear" to preserve capital.</w:t>
      </w:r>
    </w:p>
    <w:p w14:paraId="093B8E85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Automate Trend-Continuation Momentum Modules:</w:t>
      </w:r>
      <w:r>
        <w:rPr>
          <w:rFonts w:ascii="Arial" w:hAnsi="Arial" w:cs="Arial"/>
        </w:rPr>
        <w:t xml:space="preserve"> Given the high efficiency ($89.17\%$ win rate) during Extreme Greed, algorithm configurations should optimize for short-horizon breakout and momentum tracking strategies. Momentum plays during high sentiment states capture high-probability continuation moves far better than mean-reversion attempts during heavy sell-offs.</w:t>
      </w:r>
    </w:p>
    <w:p w14:paraId="4CD7394A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Adaptive Fee Optimization:</w:t>
      </w:r>
      <w:r>
        <w:rPr>
          <w:rFonts w:ascii="Arial" w:hAnsi="Arial" w:cs="Arial"/>
        </w:rPr>
        <w:t xml:space="preserve"> With over $245k spent across the system in protocol trading fees, execution modules should deploy passive limit-order strategies (maker instead of taker executions) during high-volume Fear clusters to severely reduce transaction drag.</w:t>
      </w:r>
    </w:p>
    <w:p w14:paraId="4B707E57">
      <w:pPr>
        <w:rPr>
          <w:rFonts w:ascii="Arial" w:hAnsi="Arial" w:cs="Arial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F1168"/>
    <w:multiLevelType w:val="multilevel"/>
    <w:tmpl w:val="003F1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18C74B5"/>
    <w:multiLevelType w:val="multilevel"/>
    <w:tmpl w:val="618C74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2DA"/>
    <w:rsid w:val="000E0DFF"/>
    <w:rsid w:val="000F39C6"/>
    <w:rsid w:val="00160852"/>
    <w:rsid w:val="003B6DBB"/>
    <w:rsid w:val="004372DA"/>
    <w:rsid w:val="007A4825"/>
    <w:rsid w:val="00A5281E"/>
    <w:rsid w:val="0847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691</Words>
  <Characters>4630</Characters>
  <Lines>37</Lines>
  <Paragraphs>10</Paragraphs>
  <TotalTime>19</TotalTime>
  <ScaleCrop>false</ScaleCrop>
  <LinksUpToDate>false</LinksUpToDate>
  <CharactersWithSpaces>5253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2026-06-12T18:28:00Z</dcterms:created>
  <dc:creator>26-sayyad Khudbuddin</dc:creator>
  <cp:lastModifiedBy>Sayyad Khudbuddin</cp:lastModifiedBy>
  <dcterms:modified xsi:type="dcterms:W3CDTF">2026-06-12T18:52:36Z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eyJoZGlkIjoiMzkxNzE3MGZlODBmODQ5NWMyMWVmMmZhYTUwNDk1MTQifQ==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91F65BB95BBA47829AA7337A2E47DEEB_12</vt:lpwstr>
  </property>
</Properties>
</file>