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VoltRelay Energy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Battery-Swapping Network Analytics — Service Quality, Retention &amp; Margin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Gradient Learnings Data Analytics Hackathon  •  Synthetic operational dataset  •  Jan 2024 – Jun 2025  •  6 Indian cities  •  ~3.9M swap events</w:t>
      </w:r>
    </w:p>
    <w:p>
      <w:pPr>
        <w:pStyle w:val="Heading1"/>
        <w:pBdr>
          <w:bottom w:val="single" w:color="1B3A5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1. Executive Summary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VoltRelay's network grew steadily across all six cities between January 2024 and June 2025 — completed swaps and revenue climbed every month — but the cost of that growth was uneven: failure rate shows a repeating April–June seasonal spike, three cities carry a structurally higher failure rate driven almost entirely by an uneven rollout of first-generation (Gen1) chargers, and a battery-health problem initially blamed on an entire supplier turned out to be three specific defective manufacturing lots. A city-scoped peak/off-peak pricing pilot captured extra margin at high-demand hours without hurting service quality, though it did not change when riders showed up.</w:t>
      </w:r>
    </w:p>
    <w:tbl>
      <w:tblPr>
        <w:tblW w:type="pct" w:w="100%"/>
        <w:tblBorders>
          <w:top w:val="single" w:color="0E7C86" w:sz="4"/>
          <w:left w:val="single" w:color="0E7C86" w:sz="4"/>
          <w:bottom w:val="single" w:color="0E7C86" w:sz="4"/>
          <w:right w:val="single" w:color="0E7C8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■ Headline findings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Growth is healthy, service quality is not uniformly so — failure rate spikes to ~8% (May 2024) and ~6.5% (May 2025), easing back by June–July both years.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Failures are a geography/equipment problem, not weather or connectivity: Jaipur, Hyderabad and Delhi NCR carry 43–56% Gen1 chargers and the highest failure rates; weather and grid-outage exposure are nearly identical across all six cities.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The Kyron battery problem is 3 bad lots, not a bad supplier: KY-2407/08/09 (~73% of all Kyron units) sit at ~61% state of health versus ~86.5% for every other Kyron lot and ~81% for Amptek/Cellora.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Pricing pilot worked on revenue, not demand-shaping: the Bengaluru/Pune peak/off-peak pilot captured a real price premium at peak hours with no drop in completion rate or rise in queue wait, but hourly demand shape was unchanged.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Fleet-partner margin comparison and the rider-retention root-cause model were scoped with a defensible methodology but not executed in time for this submission — see Section 6 and Limitations.</w:t>
            </w:r>
          </w:p>
        </w:tc>
      </w:tr>
    </w:tbl>
    <w:p>
      <w:pPr>
        <w:pStyle w:val="Heading1"/>
        <w:pBdr>
          <w:bottom w:val="single" w:color="1B3A5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2. Problem Understanding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VoltRelay Energy operates an unmanned battery-swap network for electric two- and three-wheelers across Bengaluru, Delhi NCR, Hyderabad, Pune, Mumbai and Jaipur, serving gig and logistics riders for whom a two-minute swap replaces hours of charging downtime. Over 18 months, VoltRelay expanded its station network in two waves, changed its base price, piloted peak/off-peak pricing in two cities, onboarded a new battery supplier, and renegotiated its largest fleet contract. Completed swaps and revenue both grew substantially — but service failures rose faster, new-rider retention fell, and per-swap profitability eroded, with no single analysis yet connecting these threads. This report is that connecting analysis, built around six core questions: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Q1 — Network Performance: do completed swaps, revenue, failure rate and margin tell the same growth story?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Q2 — Service Failures &amp; Experience: how do queue wait, failures and abandonment relate to station, hour, season, vehicle class?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Q3 — Station &amp; Geographic Patterns: how do charger generation, location type and expansion wave relate to service performance?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Q4 — Battery &amp; Equipment: does battery health relate to supplier, manufacturing lot and delivered range?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Q5 — Pricing &amp; Partner Economics: how do base-price change, the peak/off-peak pilot and fleet contracts relate to revenue and margin?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Q6 — Root Cause of Retention: what most explains new riders not returning?</w:t>
      </w:r>
    </w:p>
    <w:p>
      <w:pPr>
        <w:pStyle w:val="Heading1"/>
        <w:pBdr>
          <w:bottom w:val="single" w:color="1B3A5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3. Data &amp; Cleaning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22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356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Grain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swap_events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3,877,013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swap attempt</w:t>
            </w:r>
          </w:p>
        </w:tc>
      </w:tr>
      <w:tr>
        <w:tc>
          <w:tcPr>
            <w:tcW w:type="dxa" w:w="36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station_hourly_status</w:t>
            </w:r>
          </w:p>
        </w:tc>
        <w:tc>
          <w:tcPr>
            <w:tcW w:type="dxa" w:w="22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1,487,712</w:t>
            </w:r>
          </w:p>
        </w:tc>
        <w:tc>
          <w:tcPr>
            <w:tcW w:type="dxa" w:w="356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station-hour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riders / batteries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20,000 / 6,500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rider / battery</w:t>
            </w:r>
          </w:p>
        </w:tc>
      </w:tr>
      <w:tr>
        <w:tc>
          <w:tcPr>
            <w:tcW w:type="dxa" w:w="36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support_tickets</w:t>
            </w:r>
          </w:p>
        </w:tc>
        <w:tc>
          <w:tcPr>
            <w:tcW w:type="dxa" w:w="22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44,000</w:t>
            </w:r>
          </w:p>
        </w:tc>
        <w:tc>
          <w:tcPr>
            <w:tcW w:type="dxa" w:w="356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ticket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stations / fleet_partners / city_daily_context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152 / 12 / 3,282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reference tables</w:t>
            </w:r>
          </w:p>
        </w:tc>
      </w:tr>
    </w:tbl>
    <w:p>
      <w:pPr>
        <w:spacing w:after="120"/>
      </w:pP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Four data-quality issues flagged in the brief were resolved deliberately before analysis, since each would otherwise distort network-wide averages: (1) two always-inactive internal test stations (STN-TST*) were excluded via an is_test_station flag; (2) events at firmware v3.2.0 stations between 10 Mar–14 Apr 2025 were shifted forward 5h30m to correct a timezone logging bug; (3) near-duplicate offline-sync retries at poor-connectivity stations were de-duplicated on a rider/station/battery/2-minute-window grouping; (4) inconsistent city-name spellings in riders.home_city were standardized against stations.city. A two-contributor notebook was also merged into one dataframe-naming convention throughout.</w:t>
      </w:r>
    </w:p>
    <w:p>
      <w:pPr>
        <w:pStyle w:val="Heading1"/>
        <w:pBdr>
          <w:bottom w:val="single" w:color="1B3A5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4. Analysis &amp; Key Insights</w:t>
      </w:r>
    </w:p>
    <w:tbl>
      <w:tblPr>
        <w:tblW w:type="pct" w:w="100%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C4318"/>
                <w:sz w:val="18"/>
                <w:szCs w:val="18"/>
              </w:rPr>
              <w:t xml:space="preserve">Note on scope: this trimmed report reflects the analysis actually completed and captured in the notebook. Two sub-analyses (fleet-partner contribution margin, and the rider-retention root-cause model) were scoped with a written, reviewed methodology but not run to completion before this submission; they are summarized as pending rather than filled with placeholder numbers. See Section 6.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5.1 Q1 — Network Performance Over Time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Completed swaps, revenue and failure rate were aggregated by calendar month across the cleaned, test-station-excluded event table.</w:t>
      </w:r>
    </w:p>
    <w:tbl>
      <w:tblPr>
        <w:tblW w:type="pct" w:w="100%"/>
        <w:tblBorders>
          <w:top w:val="single" w:color="0E7C86" w:sz="4"/>
          <w:left w:val="single" w:color="0E7C86" w:sz="4"/>
          <w:bottom w:val="single" w:color="0E7C86" w:sz="4"/>
          <w:right w:val="single" w:color="0E7C8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■ Growth is healthy; failure rate has a seasonal wobble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Completed swaps and revenue climb steadily every month across the full window — growth itself is not in question.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Failure rate spikes to ~8% in May 2024 and ~6.5% in May 2025, both climbing from April and easing back by June–July — the same calendar months in both years, not a one-off.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The firmware timestamp bug only affects 10 Mar–14 Apr 2025 and cannot explain the 2024 spike — evidence this is a genuine seasonal (likely summer-heat-driven) effect, not a data artifact.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Growth and service quality are not moving together: the business is scaling successfully, but summer months need dedicated equipment/thermal attention.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5.2 Q2 — Service Failures &amp; Customer Experience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Failure rate was cross-tabulated by hour of day and day of week, then broken out by station, city and vehicle class.</w:t>
      </w:r>
    </w:p>
    <w:tbl>
      <w:tblPr>
        <w:tblW w:type="pct" w:w="100%"/>
        <w:tblBorders>
          <w:top w:val="single" w:color="0E7C86" w:sz="4"/>
          <w:left w:val="single" w:color="0E7C86" w:sz="4"/>
          <w:bottom w:val="single" w:color="0E7C86" w:sz="4"/>
          <w:right w:val="single" w:color="0E7C8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■ Failures cluster overnight, in specific stations, and by city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Failure rate is fairly uniform across the week (~2.8–4.5%), darkest in late-night/overnight hours (19:00–23:00, 00:00–05:00) as charged-battery stock depletes and overnight restocking is slower.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 of the 4 worst-performing stations are in Delhi NCR (plus one in Jaipur) — a city-level concentration, not scattered bad luck.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The network-wide failure-rate distribution is bimodal: most stations cluster near the ~2.5–3.5% average, with a distinct second group at 5–6%.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Queue wait is a different problem from failure — worst-wait stations are spread evenly across all six cities, unlike failure rate, pointing to different root causes (confirmed in Q3).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City failure rates form a clear gradient: Jaipur highest (~4.5–5%), then Delhi NCR, Hyderabad, Pune, with Bengaluru and Mumbai lowest (~2.5%).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5.3 Q3 — Station &amp; Geographic Patterns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Q3 tested whether station attributes (charger generation, connectivity tier) or city-level context (weather, grid outages) explain the failure-rate gradient found in Q2.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40"/>
        <w:jc w:val="center"/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Fig. 1 — Charger generation mix by city.   Fig. 2 — Gen1 charger share tracks each city's failure rate almost one-for-one.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0" cy="2238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40"/>
        <w:jc w:val="center"/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Fig. 3 — Average daily max temperature and grid-outage hours by city — nearly identical everywhere, ruling out weather/supply as the driver.</w:t>
      </w:r>
    </w:p>
    <w:tbl>
      <w:tblPr>
        <w:tblW w:type="pct" w:w="100%"/>
        <w:tblBorders>
          <w:top w:val="single" w:color="0E7C86" w:sz="4"/>
          <w:left w:val="single" w:color="0E7C86" w:sz="4"/>
          <w:bottom w:val="single" w:color="0E7C86" w:sz="4"/>
          <w:right w:val="single" w:color="0E7C8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■ Root cause identified: uneven Gen1 rollout, not geography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Weather and grid outages are nearly identical across all six cities (max temp 24–27°C, outage hours 0.07–0.11 everywhere) — ruled out.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Gen1-charger concentration tracks failure rate almost perfectly: the three worst cities (Jaipur 56%, Hyderabad 50%, Delhi NCR 43% Gen1 share) are exactly the three with the highest failure rates; the three best (Bengaluru 26%, Pune 18%, Mumbai 9%) are exactly the lowest.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Within any single city, failure rate barely moves across connectivity tiers (e.g. Delhi NCR ~4.7% regardless) — the gap is between cities, not within them.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Charger generation explains failure rate but not queue wait: Gen1 runs ~4.5% failure vs. ~3% for Gen2/Gen3, while average queue wait is flat across generations — old hardware causes failed attempts, not slower service.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5.4 Q4 — Battery &amp; Equipment Performance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Every completed swap's issued battery was linked back to the asset ledger to compare state of health (SOH), retirement rate and swaps served per pack across suppliers.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40"/>
        <w:jc w:val="center"/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Fig. 4 — Battery supplier performance: average SOH, retirement rate, and swaps served per battery.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40"/>
        <w:jc w:val="center"/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Fig. 5 — Average current SOH by Kyron manufacturing lot. Three defective lots (orange) sit ~25 points below every other Kyron lot (teal).</w:t>
      </w:r>
    </w:p>
    <w:tbl>
      <w:tblPr>
        <w:tblW w:type="pct" w:w="100%"/>
        <w:tblBorders>
          <w:top w:val="single" w:color="0E7C86" w:sz="4"/>
          <w:left w:val="single" w:color="0E7C86" w:sz="4"/>
          <w:bottom w:val="single" w:color="0E7C86" w:sz="4"/>
          <w:right w:val="single" w:color="0E7C8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■ The Kyron problem is 3 bad lots, not the whole supplier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At first glance Kyron looked broken: 63.7% avg SOH (17 points below Amptek/Cellora's ~81%) and an 87.8% retirement rate.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Nine Kyron lots perform completely normally at ~86.5% SOH — statistically indistinguishable from Amptek and Cellora.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Three sequential lots — KY-2407, KY-2408, KY-2409 — sit at ~61% SOH, a 25-point cliff. Because these lots are unusually large (480–500 units each vs. 14–24 for every other lot), they make up ~73% of all Kyron batteries in the fleet, which is why the supplier-level average looked broken.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Recommendation: flag KY-2407/08/09 for accelerated retirement, request Kyron's QA/warranty data for that production window, and continue sourcing from Kyron's other lots.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5.5 Q5 — Pricing &amp; Partner Economics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Realized average price per swap was tracked monthly by tariff code to date the base-price change and the peak/off-peak pilot launch, then the pilot's two cities were isolated to test whether it changed service quality or rider behaviour.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476500" cy="1676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238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40"/>
        <w:jc w:val="center"/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Fig. 6 — Peak/off-peak pilot footprint (Bengaluru + Pune only).   Fig. 7 — Completion rate and queue wait by tariff — no service-quality trade-off.</w:t>
      </w:r>
    </w:p>
    <w:tbl>
      <w:tblPr>
        <w:tblW w:type="pct" w:w="100%"/>
        <w:tblBorders>
          <w:top w:val="single" w:color="0E7C86" w:sz="4"/>
          <w:left w:val="single" w:color="0E7C86" w:sz="4"/>
          <w:bottom w:val="single" w:color="0E7C86" w:sz="4"/>
          <w:right w:val="single" w:color="0E7C8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■ The pilot changed price, not behaviour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Base price change (~July 2024): both STD (₹62→₹67) and PARTNER (₹58→₹64) jump sharply between June and July 2024.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Peak/off-peak launch (~October 2024): PEAK settles around ₹78–80 (highest of all tariffs); OFFPEAK around ₹58–59 (lowest) — matching the brief's description exactly.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Completion rate (95.5–95.7%) and average wait (4.04–4.06 min) are essentially identical across OFFPEAK, PEAK and STD — no service-quality cost, but no visible improvement either.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Hourly demand shape before vs. after launch was nearly identical (same twin peaks at hour 8–9 and 18–20) — the pilot captured margin without shifting when riders show up.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The pilot ran only in Bengaluru and Pune, VoltRelay's two healthiest markets, so results may not generalize to cities with equipment problems (Jaipur, Hyderabad, Delhi NCR).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5.6 Q6 — Root Cause Analysis of Retention (methodology set, execution pending)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Definition used: a rider is eligible only if their first swap occurred at least 30 days before the observation window's end (30 June 2025), avoiding right-censoring of recently-acquired riders. An eligible rider is retained if their second completed swap falls within 30 days of the first; otherwise churned.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Planned segmentation: churn rate compared across fleet-affiliated vs. independent riders, signup channel, and — expected to be the sharpest cut — whether the rider's first swap attempt succeeded, failed, or was abandoned in queue. A logistic regression (adjusted odds ratios) plus a Random Forest (non-linear feature importance) will separate primary drivers from secondary/contributing factors. This section will be completed with the notebook's actual output before final submission.</w:t>
      </w:r>
    </w:p>
    <w:p>
      <w:pPr>
        <w:pStyle w:val="Heading1"/>
        <w:pBdr>
          <w:bottom w:val="single" w:color="1B3A5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5. Consolidated Key Findings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700"/>
        <w:gridCol w:w="2200"/>
        <w:gridCol w:w="5460"/>
        <w:gridCol w:w="1000"/>
      </w:tblGrid>
      <w:tr>
        <w:trPr>
          <w:tblHeader/>
        </w:trPr>
        <w:tc>
          <w:tcPr>
            <w:tcW w:type="dxa" w:w="7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546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1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Q1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Network performance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Growth is healthy; failure rate has a repeating Apr–Jun seasonal spike (~8% in 2024, ~6.5% in 2025).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Q2</w:t>
            </w:r>
          </w:p>
        </w:tc>
        <w:tc>
          <w:tcPr>
            <w:tcW w:type="dxa" w:w="22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Service failures</w:t>
            </w:r>
          </w:p>
        </w:tc>
        <w:tc>
          <w:tcPr>
            <w:tcW w:type="dxa" w:w="546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Overnight hours and a Delhi-heavy station cluster drive most failure exposure; queue wait is a separate, city-agnostic problem.</w:t>
            </w:r>
          </w:p>
        </w:tc>
        <w:tc>
          <w:tcPr>
            <w:tcW w:type="dxa" w:w="10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Q3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Station/geography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City-level failure gradient explained by uneven Gen1 rollout (43–56% share in the 3 worst cities), not weather/outages/connectivity.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Q4</w:t>
            </w:r>
          </w:p>
        </w:tc>
        <w:tc>
          <w:tcPr>
            <w:tcW w:type="dxa" w:w="22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Battery/equipment</w:t>
            </w:r>
          </w:p>
        </w:tc>
        <w:tc>
          <w:tcPr>
            <w:tcW w:type="dxa" w:w="546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Kyron's poor avg SOH is driven by 3 defective manufacturing lots (~73% of Kyron units); all other Kyron lots match Amptek/Cellora.</w:t>
            </w:r>
          </w:p>
        </w:tc>
        <w:tc>
          <w:tcPr>
            <w:tcW w:type="dxa" w:w="10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Q5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Pricing/partners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Peak/off-peak pilot captured revenue with zero service-quality cost, but did not shift rider behaviour; partner-margin comparison pending.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7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Q6</w:t>
            </w:r>
          </w:p>
        </w:tc>
        <w:tc>
          <w:tcPr>
            <w:tcW w:type="dxa" w:w="22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Retention root cause</w:t>
            </w:r>
          </w:p>
        </w:tc>
        <w:tc>
          <w:tcPr>
            <w:tcW w:type="dxa" w:w="546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30-day, censoring-aware churn definition and dual-model methodology built and ready; execution pending.</w:t>
            </w:r>
          </w:p>
        </w:tc>
        <w:tc>
          <w:tcPr>
            <w:tcW w:type="dxa" w:w="1000"/>
            <w:shd w:fill="F2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</w:t>
            </w:r>
          </w:p>
        </w:tc>
      </w:tr>
    </w:tbl>
    <w:p>
      <w:pPr>
        <w:pStyle w:val="Heading1"/>
        <w:pBdr>
          <w:bottom w:val="single" w:color="1B3A5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6. Recommendations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Prioritize Gen1→Gen2/3 hardware upgrades in Jaipur, Hyderabad and Delhi NCR first — the single most evidence-backed lever on failure rate, with weather, outages and connectivity all ruled out as confounders.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Flag and accelerate retirement of Kyron lots KY-2407/08/09 specifically, rather than reducing volume with Kyron as a supplier; request their QA/warranty data for that production window before any commercial decision.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Build a summer (April–June) operational playbook — extra battery buffer stock, thermal monitoring, temporary staffing — given the spike repeats in the same months across both years.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Treat the peak/off-peak pilot as a revenue lever, not a demand-shaping tool; re-scope any network-wide rollout business case accordingly, and pilot it next in a city with equipment problems to test generalizability.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Complete the fleet-partner margin comparison and the retention root-cause model before finalizing the Budget Decision recommendation, since partner value and churn drivers both bear directly on where the next operating budget should go.</w:t>
      </w:r>
    </w:p>
    <w:p>
      <w:pPr>
        <w:pStyle w:val="Heading1"/>
        <w:pBdr>
          <w:bottom w:val="single" w:color="1B3A5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7. Limitations &amp; Next Steps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is a synthetic, simulation-generated dataset built for the hackathon; findings describe patterns designed into the simulation, not claims about a real company.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All evidence is associational. Causal language (e.g. "drives") reflects a well-evidenced hypothesis consistent with ruling out alternative explanations (as with Gen1 vs. weather/connectivity in Q3), not a proven causal mechanism.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Two analyses remain to be finalized before the hackathon deadline: the fleet-partner contribution-margin comparison (Q5) and the rider-retention root-cause model (Q6). Both have a written, reviewed methodology; this report should be updated with their output.</w:t>
      </w:r>
    </w:p>
    <w:p>
      <w:pPr>
        <w:pStyle w:val="ListParagraph"/>
        <w:numPr>
          <w:ilvl w:val="0"/>
          <w:numId w:val="1"/>
        </w:numPr>
        <w:spacing w:after="60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exact Q1 monthly table and Q2 vehicle-class (2W vs 3W) figures were reviewed on-screen during analysis but not captured as raw output for this version; both should be re-exported from the notebook for the final deliverable.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cb446309fb5165ac90cab738d28cdedd936bd2.png"/><Relationship Id="rId8" Type="http://schemas.openxmlformats.org/officeDocument/2006/relationships/image" Target="media/acb100e8e75f25fc70436677ab877163615fb1ad.png"/><Relationship Id="rId9" Type="http://schemas.openxmlformats.org/officeDocument/2006/relationships/image" Target="media/f5b08af31df8204426f8b70b6d8e2e0b0412a27e.png"/><Relationship Id="rId10" Type="http://schemas.openxmlformats.org/officeDocument/2006/relationships/image" Target="media/fa2fa21fdbdce6d74c93ccbc3b43474e3ce639a1.png"/><Relationship Id="rId11" Type="http://schemas.openxmlformats.org/officeDocument/2006/relationships/image" Target="media/b998d982bc00ad28e35e646b8850d07dbf5f33e4.png"/><Relationship Id="rId12" Type="http://schemas.openxmlformats.org/officeDocument/2006/relationships/image" Target="media/9bc40591ef7a529acba73f05ecf38cc0db4300a8.png"/><Relationship Id="rId13" Type="http://schemas.openxmlformats.org/officeDocument/2006/relationships/image" Target="media/c7aa4c880ceb299271288d1b084947b6401979f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2026-09-26T18:22:41.081Z</dcterms:created>
  <dcterms:modified xsi:type="dcterms:W3CDTF">2026-09-26T18:22:41.092Z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