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FF446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Lab 4 Part 2: Advanced Tableau II (Updated):</w:t>
      </w:r>
    </w:p>
    <w:p w14:paraId="00672F71"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Khush</w:t>
      </w:r>
      <w:bookmarkStart w:id="0" w:name="_GoBack"/>
      <w:bookmarkEnd w:id="0"/>
    </w:p>
    <w:p w14:paraId="2D0D8673">
      <w:pPr>
        <w:rPr>
          <w:rFonts w:ascii="Times New Roman" w:hAnsi="Times New Roman" w:cs="Times New Roman"/>
        </w:rPr>
      </w:pPr>
    </w:p>
    <w:p w14:paraId="208FDDBB">
      <w:pPr>
        <w:rPr>
          <w:rFonts w:ascii="Times New Roman" w:hAnsi="Times New Roman" w:cs="Times New Roman"/>
        </w:rPr>
      </w:pPr>
    </w:p>
    <w:p w14:paraId="55477E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 Edit and Save a Data Source:</w:t>
      </w:r>
    </w:p>
    <w:p w14:paraId="5EAE46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the hurricane.xlsx;</w:t>
      </w:r>
    </w:p>
    <w:p w14:paraId="19091DFC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 Create a folder and assign fields to the folder;</w:t>
      </w:r>
    </w:p>
    <w:p w14:paraId="4391D06B">
      <w:pPr>
        <w:numPr>
          <w:ilvl w:val="0"/>
          <w:numId w:val="0"/>
        </w:numPr>
      </w:pPr>
      <w:r>
        <w:drawing>
          <wp:inline distT="0" distB="0" distL="114300" distR="114300">
            <wp:extent cx="2486025" cy="4201160"/>
            <wp:effectExtent l="0" t="0" r="133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20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47889">
      <w:pPr>
        <w:numPr>
          <w:ilvl w:val="0"/>
          <w:numId w:val="0"/>
        </w:numPr>
      </w:pPr>
    </w:p>
    <w:p w14:paraId="7C7A8E80">
      <w:pPr>
        <w:numPr>
          <w:ilvl w:val="0"/>
          <w:numId w:val="1"/>
        </w:numPr>
        <w:ind w:left="0" w:leftChars="0" w:firstLine="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 Change dimension to measures, or change measures to dimension (storm #):</w:t>
      </w:r>
    </w:p>
    <w:p w14:paraId="4D3C79DC">
      <w:pPr>
        <w:numPr>
          <w:ilvl w:val="0"/>
          <w:numId w:val="0"/>
        </w:numPr>
        <w:ind w:leftChars="0"/>
        <w:rPr>
          <w:rFonts w:ascii="Times New Roman" w:hAnsi="Times New Roman" w:cs="Times New Roman"/>
        </w:rPr>
      </w:pPr>
      <w:r>
        <w:drawing>
          <wp:inline distT="0" distB="0" distL="114300" distR="114300">
            <wp:extent cx="2400300" cy="2486025"/>
            <wp:effectExtent l="0" t="0" r="762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0D10D">
      <w:pPr>
        <w:numPr>
          <w:ilvl w:val="0"/>
          <w:numId w:val="1"/>
        </w:numPr>
        <w:ind w:left="0" w:leftChars="0" w:firstLine="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 Set the default properties of the fields;</w:t>
      </w:r>
    </w:p>
    <w:p w14:paraId="3D62864E">
      <w:pPr>
        <w:numPr>
          <w:ilvl w:val="0"/>
          <w:numId w:val="0"/>
        </w:numPr>
        <w:ind w:leftChars="0"/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35980" cy="2772410"/>
            <wp:effectExtent l="0" t="0" r="762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D262A">
      <w:pPr>
        <w:numPr>
          <w:ilvl w:val="0"/>
          <w:numId w:val="1"/>
        </w:numPr>
        <w:ind w:left="0" w:leftChars="0" w:firstLine="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 Rename a field;</w:t>
      </w:r>
    </w:p>
    <w:p w14:paraId="25FC23BC">
      <w:pPr>
        <w:numPr>
          <w:ilvl w:val="0"/>
          <w:numId w:val="0"/>
        </w:numPr>
        <w:ind w:leftChars="0"/>
        <w:rPr>
          <w:rFonts w:ascii="Times New Roman" w:hAnsi="Times New Roman" w:cs="Times New Roman"/>
        </w:rPr>
      </w:pPr>
      <w:r>
        <w:drawing>
          <wp:inline distT="0" distB="0" distL="114300" distR="114300">
            <wp:extent cx="2390775" cy="1304925"/>
            <wp:effectExtent l="0" t="0" r="190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27E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(5). Save the data source locally or to the server;</w:t>
      </w:r>
      <w:r>
        <w:drawing>
          <wp:inline distT="0" distB="0" distL="114300" distR="114300">
            <wp:extent cx="5935345" cy="690245"/>
            <wp:effectExtent l="0" t="0" r="8255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E75B9">
      <w:pPr>
        <w:rPr>
          <w:rFonts w:ascii="Times New Roman" w:hAnsi="Times New Roman" w:cs="Times New Roman"/>
        </w:rPr>
      </w:pPr>
    </w:p>
    <w:p w14:paraId="7ECE73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 Update the View with New Data:</w:t>
      </w:r>
    </w:p>
    <w:p w14:paraId="05048B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(1). Live connection;</w:t>
      </w:r>
    </w:p>
    <w:p w14:paraId="72A9C45A">
      <w:r>
        <w:drawing>
          <wp:inline distT="0" distB="0" distL="114300" distR="114300">
            <wp:extent cx="2257425" cy="638175"/>
            <wp:effectExtent l="0" t="0" r="1333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452BD"/>
    <w:p w14:paraId="5D8F3A65"/>
    <w:p w14:paraId="3C14FE07"/>
    <w:p w14:paraId="1CF1CCAB"/>
    <w:p w14:paraId="5970DEC1"/>
    <w:p w14:paraId="5146768D"/>
    <w:p w14:paraId="7C409470"/>
    <w:p w14:paraId="089259FC"/>
    <w:p w14:paraId="1F097724">
      <w:pPr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 Automatically change the views by changing data;</w:t>
      </w:r>
    </w:p>
    <w:p w14:paraId="15237110">
      <w:pPr>
        <w:numPr>
          <w:ilvl w:val="0"/>
          <w:numId w:val="0"/>
        </w:num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39155" cy="4410075"/>
            <wp:effectExtent l="0" t="0" r="444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0E7F9">
      <w:pPr>
        <w:numPr>
          <w:ilvl w:val="0"/>
          <w:numId w:val="0"/>
        </w:numPr>
        <w:rPr>
          <w:rFonts w:ascii="Times New Roman" w:hAnsi="Times New Roman" w:cs="Times New Roman"/>
        </w:rPr>
      </w:pPr>
    </w:p>
    <w:p w14:paraId="4B87D90F">
      <w:pPr>
        <w:numPr>
          <w:ilvl w:val="0"/>
          <w:numId w:val="2"/>
        </w:numPr>
        <w:ind w:left="0" w:leftChars="0" w:firstLine="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 Structure change won’t be applied to the views directly;</w:t>
      </w:r>
    </w:p>
    <w:p w14:paraId="63AAF93B">
      <w:pPr>
        <w:numPr>
          <w:ilvl w:val="0"/>
          <w:numId w:val="0"/>
        </w:numPr>
        <w:ind w:leftChars="0"/>
        <w:rPr>
          <w:rFonts w:ascii="Times New Roman" w:hAnsi="Times New Roman" w:cs="Times New Roman"/>
        </w:rPr>
      </w:pPr>
      <w:r>
        <w:drawing>
          <wp:inline distT="0" distB="0" distL="114300" distR="114300">
            <wp:extent cx="2438400" cy="191452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82A5E">
      <w:pPr>
        <w:rPr>
          <w:rFonts w:ascii="Times New Roman" w:hAnsi="Times New Roman" w:cs="Times New Roman"/>
        </w:rPr>
      </w:pPr>
    </w:p>
    <w:p w14:paraId="2DC4FF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8. Use Groups to organize Data:</w:t>
      </w:r>
    </w:p>
    <w:p w14:paraId="01AEAA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(1). Use Group to categorize Product “Model Name”; Use rename to change the name of the</w:t>
      </w:r>
    </w:p>
    <w:p w14:paraId="2094B3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group;</w:t>
      </w:r>
    </w:p>
    <w:p w14:paraId="02DCC3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(2). Use Find to discover the keywords for categorization; Use the other to include the remaining</w:t>
      </w:r>
    </w:p>
    <w:p w14:paraId="654529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items into one group;</w:t>
      </w:r>
    </w:p>
    <w:p w14:paraId="68CEC5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(3). Model Sum of Quantity by Model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Groups:</w:t>
      </w:r>
      <w:r>
        <w:drawing>
          <wp:inline distT="0" distB="0" distL="114300" distR="114300">
            <wp:extent cx="5940425" cy="1371600"/>
            <wp:effectExtent l="0" t="0" r="3175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0A3DD">
      <w:pPr>
        <w:rPr>
          <w:rFonts w:ascii="Times New Roman" w:hAnsi="Times New Roman" w:cs="Times New Roman"/>
        </w:rPr>
      </w:pPr>
    </w:p>
    <w:p w14:paraId="2C479B41">
      <w:pPr>
        <w:rPr>
          <w:rFonts w:ascii="Times New Roman" w:hAnsi="Times New Roman" w:cs="Times New Roman"/>
        </w:rPr>
      </w:pPr>
    </w:p>
    <w:p w14:paraId="127AAEDF">
      <w:pPr>
        <w:numPr>
          <w:ilvl w:val="0"/>
          <w:numId w:val="2"/>
        </w:numPr>
        <w:ind w:left="0" w:leftChars="0" w:firstLine="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 Group the items in the View by labels (Use product line and sum of the sales amount):</w:t>
      </w:r>
    </w:p>
    <w:p w14:paraId="707ED6AF">
      <w:pPr>
        <w:numPr>
          <w:numId w:val="0"/>
        </w:numPr>
        <w:ind w:leftChars="0"/>
      </w:pPr>
      <w:r>
        <w:drawing>
          <wp:inline distT="0" distB="0" distL="114300" distR="114300">
            <wp:extent cx="2022475" cy="4629785"/>
            <wp:effectExtent l="0" t="0" r="4445" b="317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2475" cy="462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1B586">
      <w:pPr>
        <w:numPr>
          <w:numId w:val="0"/>
        </w:numPr>
        <w:ind w:leftChars="0"/>
      </w:pPr>
    </w:p>
    <w:p w14:paraId="1ED09AC0">
      <w:pPr>
        <w:numPr>
          <w:numId w:val="0"/>
        </w:numPr>
        <w:ind w:leftChars="0"/>
      </w:pPr>
    </w:p>
    <w:p w14:paraId="404BE159">
      <w:pPr>
        <w:numPr>
          <w:numId w:val="0"/>
        </w:numPr>
        <w:ind w:leftChars="0"/>
      </w:pPr>
    </w:p>
    <w:p w14:paraId="029D87D4">
      <w:pPr>
        <w:numPr>
          <w:numId w:val="0"/>
        </w:numPr>
        <w:ind w:leftChars="0"/>
      </w:pPr>
    </w:p>
    <w:p w14:paraId="0C53506E">
      <w:pPr>
        <w:numPr>
          <w:numId w:val="0"/>
        </w:numPr>
        <w:ind w:leftChars="0"/>
      </w:pPr>
    </w:p>
    <w:p w14:paraId="12F3A5A5">
      <w:pPr>
        <w:numPr>
          <w:numId w:val="0"/>
        </w:numPr>
        <w:ind w:leftChars="0"/>
      </w:pPr>
    </w:p>
    <w:p w14:paraId="2CC782ED">
      <w:pPr>
        <w:numPr>
          <w:numId w:val="0"/>
        </w:numPr>
        <w:ind w:leftChars="0"/>
      </w:pPr>
    </w:p>
    <w:p w14:paraId="25C68D95">
      <w:pPr>
        <w:numPr>
          <w:numId w:val="0"/>
        </w:numPr>
        <w:ind w:leftChars="0"/>
      </w:pPr>
    </w:p>
    <w:p w14:paraId="1B1B0C02">
      <w:pPr>
        <w:numPr>
          <w:numId w:val="0"/>
        </w:numPr>
        <w:ind w:leftChars="0"/>
      </w:pPr>
    </w:p>
    <w:p w14:paraId="4221B08A">
      <w:pPr>
        <w:numPr>
          <w:ilvl w:val="0"/>
          <w:numId w:val="2"/>
        </w:numPr>
        <w:ind w:left="0" w:leftChars="0" w:firstLine="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 Compare different groups using bars by different colors (use Size, sum of order quantity):</w:t>
      </w:r>
    </w:p>
    <w:p w14:paraId="7EBCA0FB">
      <w:pPr>
        <w:numPr>
          <w:numId w:val="0"/>
        </w:numPr>
        <w:ind w:leftChars="0"/>
      </w:pPr>
      <w:r>
        <w:drawing>
          <wp:inline distT="0" distB="0" distL="114300" distR="114300">
            <wp:extent cx="4815840" cy="3289935"/>
            <wp:effectExtent l="0" t="0" r="0" b="1905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856EB">
      <w:pPr>
        <w:numPr>
          <w:numId w:val="0"/>
        </w:numPr>
        <w:ind w:leftChars="0"/>
      </w:pPr>
      <w:r>
        <w:drawing>
          <wp:inline distT="0" distB="0" distL="114300" distR="114300">
            <wp:extent cx="2607310" cy="4290695"/>
            <wp:effectExtent l="0" t="0" r="13970" b="6985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A2402">
      <w:pPr>
        <w:rPr>
          <w:rFonts w:ascii="Times New Roman" w:hAnsi="Times New Roman" w:cs="Times New Roman"/>
        </w:rPr>
      </w:pPr>
    </w:p>
    <w:p w14:paraId="077FC8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9. Use Hierarchy to organize data:</w:t>
      </w:r>
    </w:p>
    <w:p w14:paraId="7CDF34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(1). Create hierarchy using Customer Information;</w:t>
      </w:r>
    </w:p>
    <w:p w14:paraId="22726A6E"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2219325" cy="1076325"/>
            <wp:effectExtent l="0" t="0" r="5715" b="5715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DE5AF">
      <w:pPr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 Create a bar chart using the Customer hierarchy and Sum of quantity;</w:t>
      </w:r>
    </w:p>
    <w:p w14:paraId="3AE846FC">
      <w:pPr>
        <w:numPr>
          <w:numId w:val="0"/>
        </w:num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30900" cy="2379345"/>
            <wp:effectExtent l="0" t="0" r="12700" b="13335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3BE91">
      <w:pPr>
        <w:rPr>
          <w:rFonts w:ascii="Times New Roman" w:hAnsi="Times New Roman" w:cs="Times New Roman"/>
        </w:rPr>
      </w:pPr>
    </w:p>
    <w:p w14:paraId="7C429F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10. Working with Discrete and Continuous Date Fields:</w:t>
      </w:r>
    </w:p>
    <w:p w14:paraId="7B5106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(1). Use continuous date field, when you want to view data over time; See the sum of the sales</w:t>
      </w:r>
    </w:p>
    <w:p w14:paraId="69184C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amount of months over year;</w:t>
      </w:r>
    </w:p>
    <w:p w14:paraId="4DE623D8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We can observe the sum of sales changes or trends across different years from different month</w:t>
      </w:r>
    </w:p>
    <w:p w14:paraId="02BFEEBE">
      <w:r>
        <w:drawing>
          <wp:inline distT="0" distB="0" distL="114300" distR="114300">
            <wp:extent cx="5302250" cy="3110230"/>
            <wp:effectExtent l="0" t="0" r="1270" b="1397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55324"/>
    <w:p w14:paraId="4C0B886D"/>
    <w:p w14:paraId="2A296A47">
      <w:pPr>
        <w:rPr>
          <w:rFonts w:hint="default"/>
          <w:lang w:val="en-US"/>
        </w:rPr>
      </w:pPr>
    </w:p>
    <w:p w14:paraId="3CDC33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(2). Use discrete date field, when you want to view data comparison amongst categories (e.g.</w:t>
      </w:r>
    </w:p>
    <w:p w14:paraId="41A5E8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month); See the sum of the sales amount of months from different years;</w:t>
      </w:r>
    </w:p>
    <w:p w14:paraId="7D50E384"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803900" cy="3945255"/>
            <wp:effectExtent l="0" t="0" r="2540" b="1905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F75F5">
      <w:pPr>
        <w:numPr>
          <w:ilvl w:val="0"/>
          <w:numId w:val="3"/>
        </w:numPr>
        <w:ind w:left="0" w:leftChars="0" w:firstLine="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 Use different hierarchies and combinations of the date;</w:t>
      </w:r>
    </w:p>
    <w:p w14:paraId="2679753A">
      <w:pPr>
        <w:numPr>
          <w:numId w:val="0"/>
        </w:numPr>
        <w:ind w:leftChars="0"/>
      </w:pPr>
      <w:r>
        <w:drawing>
          <wp:inline distT="0" distB="0" distL="114300" distR="114300">
            <wp:extent cx="4418965" cy="2583815"/>
            <wp:effectExtent l="0" t="0" r="635" b="6985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B2031">
      <w:pPr>
        <w:numPr>
          <w:numId w:val="0"/>
        </w:numPr>
        <w:ind w:leftChars="0"/>
      </w:pPr>
    </w:p>
    <w:p w14:paraId="042EFE91">
      <w:pPr>
        <w:numPr>
          <w:numId w:val="0"/>
        </w:numPr>
        <w:ind w:leftChars="0"/>
      </w:pPr>
    </w:p>
    <w:p w14:paraId="735A46EF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 w14:paraId="32474A82">
      <w:pPr>
        <w:numPr>
          <w:ilvl w:val="0"/>
          <w:numId w:val="3"/>
        </w:numPr>
        <w:ind w:left="0" w:leftChars="0" w:firstLine="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 Use colors for different months in a year (dimensions and measurements);</w:t>
      </w:r>
    </w:p>
    <w:p w14:paraId="76165733">
      <w:pPr>
        <w:numPr>
          <w:numId w:val="0"/>
        </w:numPr>
        <w:ind w:leftChars="0"/>
      </w:pPr>
      <w:r>
        <w:drawing>
          <wp:inline distT="0" distB="0" distL="114300" distR="114300">
            <wp:extent cx="4083685" cy="4966970"/>
            <wp:effectExtent l="0" t="0" r="635" b="1270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3685" cy="496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20D33">
      <w:pPr>
        <w:numPr>
          <w:numId w:val="0"/>
        </w:numPr>
        <w:ind w:leftChars="0"/>
      </w:pPr>
    </w:p>
    <w:p w14:paraId="6870CDF2">
      <w:pPr>
        <w:numPr>
          <w:numId w:val="0"/>
        </w:numPr>
        <w:ind w:leftChars="0"/>
      </w:pPr>
    </w:p>
    <w:p w14:paraId="246C7D0B">
      <w:pPr>
        <w:numPr>
          <w:numId w:val="0"/>
        </w:numPr>
        <w:ind w:leftChars="0"/>
      </w:pPr>
    </w:p>
    <w:p w14:paraId="6E771780">
      <w:pPr>
        <w:numPr>
          <w:numId w:val="0"/>
        </w:numPr>
        <w:ind w:leftChars="0"/>
      </w:pPr>
    </w:p>
    <w:p w14:paraId="70501713">
      <w:pPr>
        <w:numPr>
          <w:numId w:val="0"/>
        </w:numPr>
        <w:ind w:leftChars="0"/>
      </w:pPr>
    </w:p>
    <w:p w14:paraId="4582E450">
      <w:pPr>
        <w:numPr>
          <w:numId w:val="0"/>
        </w:numPr>
        <w:ind w:leftChars="0"/>
      </w:pPr>
    </w:p>
    <w:p w14:paraId="326624A8">
      <w:pPr>
        <w:numPr>
          <w:numId w:val="0"/>
        </w:numPr>
        <w:ind w:leftChars="0"/>
      </w:pPr>
    </w:p>
    <w:p w14:paraId="1A58363F">
      <w:pPr>
        <w:numPr>
          <w:numId w:val="0"/>
        </w:numPr>
        <w:ind w:leftChars="0"/>
      </w:pPr>
    </w:p>
    <w:p w14:paraId="1CD5FD33">
      <w:pPr>
        <w:numPr>
          <w:numId w:val="0"/>
        </w:numPr>
        <w:ind w:leftChars="0"/>
      </w:pPr>
    </w:p>
    <w:p w14:paraId="125F3C4D">
      <w:pPr>
        <w:numPr>
          <w:numId w:val="0"/>
        </w:numPr>
        <w:ind w:leftChars="0"/>
      </w:pPr>
    </w:p>
    <w:p w14:paraId="4C75F252">
      <w:pPr>
        <w:numPr>
          <w:numId w:val="0"/>
        </w:numPr>
        <w:ind w:leftChars="0"/>
      </w:pPr>
    </w:p>
    <w:p w14:paraId="6C0AB23E">
      <w:pPr>
        <w:numPr>
          <w:numId w:val="0"/>
        </w:numPr>
        <w:ind w:leftChars="0"/>
      </w:pPr>
    </w:p>
    <w:p w14:paraId="78D54470">
      <w:pPr>
        <w:numPr>
          <w:numId w:val="0"/>
        </w:numPr>
        <w:ind w:leftChars="0"/>
      </w:pPr>
    </w:p>
    <w:p w14:paraId="4AD88CCC">
      <w:pPr>
        <w:numPr>
          <w:numId w:val="0"/>
        </w:numPr>
        <w:ind w:leftChars="0"/>
      </w:pPr>
    </w:p>
    <w:p w14:paraId="7934E349">
      <w:pPr>
        <w:numPr>
          <w:numId w:val="0"/>
        </w:numPr>
        <w:ind w:leftChars="0"/>
      </w:pPr>
    </w:p>
    <w:p w14:paraId="665D72BF">
      <w:pPr>
        <w:numPr>
          <w:numId w:val="0"/>
        </w:numPr>
        <w:ind w:leftChars="0"/>
      </w:pPr>
    </w:p>
    <w:p w14:paraId="0757821F">
      <w:pPr>
        <w:numPr>
          <w:ilvl w:val="0"/>
          <w:numId w:val="3"/>
        </w:numPr>
        <w:ind w:left="0" w:leftChars="0" w:firstLine="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 Use continuous and discrete date as a filter;</w:t>
      </w:r>
    </w:p>
    <w:p w14:paraId="623208DD">
      <w:pPr>
        <w:numPr>
          <w:numId w:val="0"/>
        </w:numPr>
        <w:ind w:leftChars="0"/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39155" cy="5391150"/>
            <wp:effectExtent l="0" t="0" r="4445" b="3810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FA023">
      <w:pPr>
        <w:numPr>
          <w:numId w:val="0"/>
        </w:numPr>
        <w:ind w:leftChars="0"/>
      </w:pPr>
    </w:p>
    <w:p w14:paraId="7839CEED">
      <w:pPr>
        <w:numPr>
          <w:numId w:val="0"/>
        </w:numPr>
        <w:ind w:leftChars="0"/>
      </w:pPr>
    </w:p>
    <w:p w14:paraId="32F8C35B">
      <w:pPr>
        <w:numPr>
          <w:numId w:val="0"/>
        </w:numPr>
        <w:ind w:leftChars="0"/>
      </w:pPr>
    </w:p>
    <w:p w14:paraId="47C99CF0">
      <w:pPr>
        <w:numPr>
          <w:numId w:val="0"/>
        </w:numPr>
        <w:ind w:leftChars="0"/>
      </w:pPr>
    </w:p>
    <w:p w14:paraId="6AEAC6D4">
      <w:pPr>
        <w:numPr>
          <w:numId w:val="0"/>
        </w:numPr>
        <w:ind w:leftChars="0"/>
      </w:pPr>
    </w:p>
    <w:p w14:paraId="2650189D">
      <w:pPr>
        <w:numPr>
          <w:numId w:val="0"/>
        </w:numPr>
        <w:ind w:leftChars="0"/>
      </w:pPr>
    </w:p>
    <w:p w14:paraId="2CAEB400">
      <w:pPr>
        <w:numPr>
          <w:numId w:val="0"/>
        </w:numPr>
        <w:ind w:leftChars="0"/>
      </w:pPr>
    </w:p>
    <w:p w14:paraId="0231A37B">
      <w:pPr>
        <w:numPr>
          <w:numId w:val="0"/>
        </w:numPr>
        <w:ind w:leftChars="0"/>
      </w:pPr>
    </w:p>
    <w:p w14:paraId="645356CD">
      <w:pPr>
        <w:numPr>
          <w:numId w:val="0"/>
        </w:numPr>
        <w:ind w:leftChars="0"/>
      </w:pPr>
    </w:p>
    <w:p w14:paraId="7A2FAF34">
      <w:pPr>
        <w:numPr>
          <w:numId w:val="0"/>
        </w:numPr>
        <w:ind w:leftChars="0"/>
      </w:pPr>
    </w:p>
    <w:p w14:paraId="620728C4">
      <w:pPr>
        <w:numPr>
          <w:numId w:val="0"/>
        </w:numPr>
        <w:ind w:leftChars="0"/>
      </w:pPr>
    </w:p>
    <w:p w14:paraId="693F009E">
      <w:pPr>
        <w:numPr>
          <w:numId w:val="0"/>
        </w:numPr>
        <w:ind w:leftChars="0"/>
      </w:pPr>
    </w:p>
    <w:p w14:paraId="02C8FC36">
      <w:pPr>
        <w:numPr>
          <w:numId w:val="0"/>
        </w:numPr>
        <w:ind w:leftChars="0"/>
      </w:pPr>
    </w:p>
    <w:p w14:paraId="2D522497">
      <w:pPr>
        <w:numPr>
          <w:numId w:val="0"/>
        </w:numPr>
        <w:ind w:leftChars="0"/>
      </w:pPr>
    </w:p>
    <w:p w14:paraId="57961E62">
      <w:pPr>
        <w:numPr>
          <w:ilvl w:val="0"/>
          <w:numId w:val="3"/>
        </w:numPr>
        <w:ind w:left="0" w:leftChars="0" w:firstLine="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 Create custom date: Discrete month and continuous month;</w:t>
      </w:r>
    </w:p>
    <w:p w14:paraId="39392198">
      <w:pPr>
        <w:numPr>
          <w:numId w:val="0"/>
        </w:numPr>
        <w:ind w:leftChars="0"/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42330" cy="4400550"/>
            <wp:effectExtent l="0" t="0" r="1270" b="3810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FB887">
      <w:pPr>
        <w:rPr>
          <w:rFonts w:ascii="Times New Roman" w:hAnsi="Times New Roman" w:cs="Times New Roman"/>
        </w:rPr>
      </w:pPr>
    </w:p>
    <w:p w14:paraId="6CC5DA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---------------------------------------------------------------------------------------------------------------------</w:t>
      </w:r>
    </w:p>
    <w:p w14:paraId="422D5FBC">
      <w:pPr>
        <w:rPr>
          <w:rFonts w:ascii="Times New Roman" w:hAnsi="Times New Roman" w:cs="Times New Roman"/>
        </w:rPr>
      </w:pPr>
    </w:p>
    <w:p w14:paraId="31B8166A">
      <w:pPr>
        <w:rPr>
          <w:rFonts w:ascii="Times New Roman" w:hAnsi="Times New Roman" w:cs="Times New Roman"/>
        </w:rPr>
      </w:pPr>
    </w:p>
    <w:p w14:paraId="3F970D91">
      <w:pPr>
        <w:rPr>
          <w:rFonts w:ascii="Times New Roman" w:hAnsi="Times New Roman" w:cs="Times New Roman"/>
        </w:rPr>
      </w:pPr>
    </w:p>
    <w:p w14:paraId="5238B816">
      <w:pPr>
        <w:rPr>
          <w:rFonts w:ascii="Times New Roman" w:hAnsi="Times New Roman" w:cs="Times New Roman"/>
        </w:rPr>
      </w:pPr>
    </w:p>
    <w:p w14:paraId="36EFF679">
      <w:pPr>
        <w:rPr>
          <w:rFonts w:ascii="Times New Roman" w:hAnsi="Times New Roman" w:cs="Times New Roman"/>
        </w:rPr>
      </w:pPr>
    </w:p>
    <w:p w14:paraId="41168AEA">
      <w:pPr>
        <w:rPr>
          <w:rFonts w:ascii="Times New Roman" w:hAnsi="Times New Roman" w:cs="Times New Roman"/>
        </w:rPr>
      </w:pPr>
    </w:p>
    <w:p w14:paraId="13451B47">
      <w:pPr>
        <w:rPr>
          <w:rFonts w:ascii="Times New Roman" w:hAnsi="Times New Roman" w:cs="Times New Roman"/>
        </w:rPr>
      </w:pPr>
    </w:p>
    <w:p w14:paraId="6CA57D2B">
      <w:pPr>
        <w:rPr>
          <w:rFonts w:ascii="Times New Roman" w:hAnsi="Times New Roman" w:cs="Times New Roman"/>
        </w:rPr>
      </w:pPr>
    </w:p>
    <w:p w14:paraId="2A7710C8">
      <w:pPr>
        <w:rPr>
          <w:rFonts w:ascii="Times New Roman" w:hAnsi="Times New Roman" w:cs="Times New Roman"/>
        </w:rPr>
      </w:pPr>
    </w:p>
    <w:p w14:paraId="0D1AD560">
      <w:pPr>
        <w:rPr>
          <w:rFonts w:ascii="Times New Roman" w:hAnsi="Times New Roman" w:cs="Times New Roman"/>
        </w:rPr>
      </w:pPr>
    </w:p>
    <w:p w14:paraId="1A754912">
      <w:pPr>
        <w:rPr>
          <w:rFonts w:ascii="Times New Roman" w:hAnsi="Times New Roman" w:cs="Times New Roman"/>
        </w:rPr>
      </w:pPr>
    </w:p>
    <w:p w14:paraId="28037E82">
      <w:pPr>
        <w:rPr>
          <w:rFonts w:ascii="Times New Roman" w:hAnsi="Times New Roman" w:cs="Times New Roman"/>
        </w:rPr>
      </w:pPr>
    </w:p>
    <w:p w14:paraId="4A88CD02">
      <w:pPr>
        <w:rPr>
          <w:rFonts w:ascii="Times New Roman" w:hAnsi="Times New Roman" w:cs="Times New Roman"/>
        </w:rPr>
      </w:pPr>
    </w:p>
    <w:p w14:paraId="492DE9FB">
      <w:pPr>
        <w:rPr>
          <w:rFonts w:ascii="Times New Roman" w:hAnsi="Times New Roman" w:cs="Times New Roman"/>
        </w:rPr>
      </w:pPr>
    </w:p>
    <w:p w14:paraId="5DE28EC7">
      <w:pPr>
        <w:rPr>
          <w:rFonts w:ascii="Times New Roman" w:hAnsi="Times New Roman" w:cs="Times New Roman"/>
        </w:rPr>
      </w:pPr>
    </w:p>
    <w:p w14:paraId="34C0385F">
      <w:pPr>
        <w:rPr>
          <w:rFonts w:ascii="Times New Roman" w:hAnsi="Times New Roman" w:cs="Times New Roman"/>
        </w:rPr>
      </w:pPr>
    </w:p>
    <w:p w14:paraId="0E8997FE">
      <w:pPr>
        <w:rPr>
          <w:rFonts w:ascii="Times New Roman" w:hAnsi="Times New Roman" w:cs="Times New Roman"/>
        </w:rPr>
      </w:pPr>
    </w:p>
    <w:p w14:paraId="28B59D25">
      <w:pPr>
        <w:rPr>
          <w:rFonts w:ascii="Times New Roman" w:hAnsi="Times New Roman" w:cs="Times New Roman"/>
        </w:rPr>
      </w:pPr>
    </w:p>
    <w:p w14:paraId="5BF3FB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Dual Axis and Combo Charts:</w:t>
      </w:r>
    </w:p>
    <w:p w14:paraId="6C631C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(1). Create a Dual Axis with Month of the Order Date, Sum of the Tax Amount, and Sum of the Sales Amount;</w:t>
      </w:r>
    </w:p>
    <w:p w14:paraId="0D2883AB"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2820035" cy="4264025"/>
            <wp:effectExtent l="0" t="0" r="14605" b="3175"/>
            <wp:docPr id="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426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473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(2). Change the axis at the same unit of analysis;</w:t>
      </w:r>
    </w:p>
    <w:p w14:paraId="641C2D51"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4725670" cy="3181985"/>
            <wp:effectExtent l="0" t="0" r="13970" b="3175"/>
            <wp:docPr id="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567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6F413">
      <w:pPr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 Use different chart types in one view: combo chart:</w:t>
      </w:r>
    </w:p>
    <w:p w14:paraId="0ADFF4E8">
      <w:pPr>
        <w:numPr>
          <w:numId w:val="0"/>
        </w:num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3681730" cy="4498975"/>
            <wp:effectExtent l="0" t="0" r="6350" b="12065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1730" cy="449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99C8C">
      <w:pPr>
        <w:rPr>
          <w:rFonts w:ascii="Times New Roman" w:hAnsi="Times New Roman" w:cs="Times New Roman"/>
        </w:rPr>
      </w:pPr>
    </w:p>
    <w:p w14:paraId="3417332C">
      <w:pPr>
        <w:rPr>
          <w:rFonts w:ascii="Times New Roman" w:hAnsi="Times New Roman" w:cs="Times New Roman"/>
        </w:rPr>
      </w:pPr>
    </w:p>
    <w:p w14:paraId="42A97A47">
      <w:pPr>
        <w:rPr>
          <w:rFonts w:ascii="Times New Roman" w:hAnsi="Times New Roman" w:cs="Times New Roman"/>
        </w:rPr>
      </w:pPr>
    </w:p>
    <w:p w14:paraId="35318FC7">
      <w:pPr>
        <w:rPr>
          <w:rFonts w:ascii="Times New Roman" w:hAnsi="Times New Roman" w:cs="Times New Roman"/>
        </w:rPr>
      </w:pPr>
    </w:p>
    <w:p w14:paraId="05D17DF1">
      <w:pPr>
        <w:rPr>
          <w:rFonts w:ascii="Times New Roman" w:hAnsi="Times New Roman" w:cs="Times New Roman"/>
        </w:rPr>
      </w:pPr>
    </w:p>
    <w:p w14:paraId="047154A0">
      <w:pPr>
        <w:rPr>
          <w:rFonts w:ascii="Times New Roman" w:hAnsi="Times New Roman" w:cs="Times New Roman"/>
        </w:rPr>
      </w:pPr>
    </w:p>
    <w:p w14:paraId="10188D58">
      <w:pPr>
        <w:rPr>
          <w:rFonts w:ascii="Times New Roman" w:hAnsi="Times New Roman" w:cs="Times New Roman"/>
        </w:rPr>
      </w:pPr>
    </w:p>
    <w:p w14:paraId="3BE1B940">
      <w:pPr>
        <w:rPr>
          <w:rFonts w:ascii="Times New Roman" w:hAnsi="Times New Roman" w:cs="Times New Roman"/>
        </w:rPr>
      </w:pPr>
    </w:p>
    <w:p w14:paraId="17EF78C0">
      <w:pPr>
        <w:rPr>
          <w:rFonts w:ascii="Times New Roman" w:hAnsi="Times New Roman" w:cs="Times New Roman"/>
        </w:rPr>
      </w:pPr>
    </w:p>
    <w:p w14:paraId="14188A4E">
      <w:pPr>
        <w:rPr>
          <w:rFonts w:ascii="Times New Roman" w:hAnsi="Times New Roman" w:cs="Times New Roman"/>
        </w:rPr>
      </w:pPr>
    </w:p>
    <w:p w14:paraId="3059B6E8">
      <w:pPr>
        <w:rPr>
          <w:rFonts w:ascii="Times New Roman" w:hAnsi="Times New Roman" w:cs="Times New Roman"/>
        </w:rPr>
      </w:pPr>
    </w:p>
    <w:p w14:paraId="31FB04B6">
      <w:pPr>
        <w:rPr>
          <w:rFonts w:ascii="Times New Roman" w:hAnsi="Times New Roman" w:cs="Times New Roman"/>
        </w:rPr>
      </w:pPr>
    </w:p>
    <w:p w14:paraId="313EC025">
      <w:pPr>
        <w:rPr>
          <w:rFonts w:ascii="Times New Roman" w:hAnsi="Times New Roman" w:cs="Times New Roman"/>
        </w:rPr>
      </w:pPr>
    </w:p>
    <w:p w14:paraId="4E071F4E">
      <w:pPr>
        <w:rPr>
          <w:rFonts w:ascii="Times New Roman" w:hAnsi="Times New Roman" w:cs="Times New Roman"/>
        </w:rPr>
      </w:pPr>
    </w:p>
    <w:p w14:paraId="6362148A">
      <w:pPr>
        <w:rPr>
          <w:rFonts w:ascii="Times New Roman" w:hAnsi="Times New Roman" w:cs="Times New Roman"/>
        </w:rPr>
      </w:pPr>
    </w:p>
    <w:p w14:paraId="420FA93C">
      <w:pPr>
        <w:rPr>
          <w:rFonts w:ascii="Times New Roman" w:hAnsi="Times New Roman" w:cs="Times New Roman"/>
        </w:rPr>
      </w:pPr>
    </w:p>
    <w:p w14:paraId="5566BA95">
      <w:pPr>
        <w:rPr>
          <w:rFonts w:ascii="Times New Roman" w:hAnsi="Times New Roman" w:cs="Times New Roman"/>
        </w:rPr>
      </w:pPr>
    </w:p>
    <w:p w14:paraId="73E7253D">
      <w:pPr>
        <w:rPr>
          <w:rFonts w:ascii="Times New Roman" w:hAnsi="Times New Roman" w:cs="Times New Roman"/>
        </w:rPr>
      </w:pPr>
    </w:p>
    <w:p w14:paraId="1B1819A1">
      <w:pPr>
        <w:rPr>
          <w:rFonts w:ascii="Times New Roman" w:hAnsi="Times New Roman" w:cs="Times New Roman"/>
        </w:rPr>
      </w:pPr>
    </w:p>
    <w:p w14:paraId="5D958BBE">
      <w:pPr>
        <w:rPr>
          <w:rFonts w:ascii="Times New Roman" w:hAnsi="Times New Roman" w:cs="Times New Roman"/>
        </w:rPr>
      </w:pPr>
    </w:p>
    <w:p w14:paraId="3D5626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 Building a combined axis chart:</w:t>
      </w:r>
    </w:p>
    <w:p w14:paraId="2D07DD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(1). Add sum of the Tax Amount, sum of the Unit Price, sum of product standard cost in a combined axis chart, categorized by Product Line:</w:t>
      </w:r>
    </w:p>
    <w:p w14:paraId="63A5E0DE"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3408680" cy="4137025"/>
            <wp:effectExtent l="0" t="0" r="5080" b="8255"/>
            <wp:docPr id="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8680" cy="413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940B1">
      <w:pPr>
        <w:rPr>
          <w:rFonts w:ascii="Times New Roman" w:hAnsi="Times New Roman" w:cs="Times New Roman"/>
        </w:rPr>
      </w:pPr>
    </w:p>
    <w:p w14:paraId="71C098E2">
      <w:pPr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 Use Measure Names in the filter to add sum of product cost in the combined axis:</w:t>
      </w:r>
    </w:p>
    <w:p w14:paraId="18689711">
      <w:pPr>
        <w:numPr>
          <w:numId w:val="0"/>
        </w:num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4071620" cy="3432810"/>
            <wp:effectExtent l="0" t="0" r="12700" b="11430"/>
            <wp:docPr id="2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1620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5EED8">
      <w:pPr>
        <w:numPr>
          <w:ilvl w:val="0"/>
          <w:numId w:val="5"/>
        </w:numPr>
        <w:ind w:left="0" w:leftChars="0" w:firstLine="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. Use color marks for additional comparison; </w:t>
      </w:r>
    </w:p>
    <w:p w14:paraId="7288C37E">
      <w:pPr>
        <w:numPr>
          <w:numId w:val="0"/>
        </w:numPr>
        <w:ind w:leftChars="0"/>
      </w:pPr>
    </w:p>
    <w:p w14:paraId="4CC17489">
      <w:pPr>
        <w:numPr>
          <w:numId w:val="0"/>
        </w:numPr>
        <w:ind w:leftChars="0"/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35345" cy="4183380"/>
            <wp:effectExtent l="0" t="0" r="8255" b="7620"/>
            <wp:docPr id="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472AE">
      <w:pPr>
        <w:rPr>
          <w:rFonts w:ascii="Times New Roman" w:hAnsi="Times New Roman" w:cs="Times New Roman"/>
        </w:rPr>
      </w:pPr>
    </w:p>
    <w:p w14:paraId="7FA1D3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(4). Create a combined axis stacked chart;</w:t>
      </w:r>
    </w:p>
    <w:p w14:paraId="38DF07A7"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3749040" cy="5032375"/>
            <wp:effectExtent l="0" t="0" r="0" b="12065"/>
            <wp:docPr id="2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503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04E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 Create Scatter Plot:</w:t>
      </w:r>
    </w:p>
    <w:p w14:paraId="6D4630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(1). Create scatter plot with two measurements (cost and sales)(aggregated), but add dimensions for more detail;</w:t>
      </w:r>
    </w:p>
    <w:p w14:paraId="6B70E300"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3764280" cy="4400550"/>
            <wp:effectExtent l="0" t="0" r="0" b="3810"/>
            <wp:docPr id="2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2BC49">
      <w:pPr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 Create scatter plot with two measurements (non-aggregated);</w:t>
      </w:r>
    </w:p>
    <w:p w14:paraId="159CB0FF">
      <w:pPr>
        <w:numPr>
          <w:numId w:val="0"/>
        </w:num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37885" cy="6776720"/>
            <wp:effectExtent l="0" t="0" r="5715" b="5080"/>
            <wp:docPr id="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677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5E6F0">
      <w:pPr>
        <w:rPr>
          <w:rFonts w:ascii="Times New Roman" w:hAnsi="Times New Roman" w:cs="Times New Roman"/>
        </w:rPr>
      </w:pPr>
    </w:p>
    <w:p w14:paraId="405D88B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 Creating a symbol map:</w:t>
      </w:r>
    </w:p>
    <w:p w14:paraId="3498B3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(1). Create a map view to compare sum of the sales amount by country;</w:t>
      </w:r>
    </w:p>
    <w:p w14:paraId="428D0790"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3669665" cy="2190115"/>
            <wp:effectExtent l="0" t="0" r="3175" b="4445"/>
            <wp:docPr id="3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9665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677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(2). Create a map view to compare sum of the sales and sum of the total product cost using sizes and colors; Edit Map layers to change the map view. </w:t>
      </w:r>
    </w:p>
    <w:p w14:paraId="02B5CF6C"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42965" cy="3460750"/>
            <wp:effectExtent l="0" t="0" r="635" b="13970"/>
            <wp:docPr id="3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9EEEEE9"/>
    <w:multiLevelType w:val="singleLevel"/>
    <w:tmpl w:val="F9EEEEE9"/>
    <w:lvl w:ilvl="0" w:tentative="0">
      <w:start w:val="3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0116204C"/>
    <w:multiLevelType w:val="singleLevel"/>
    <w:tmpl w:val="0116204C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2309E4EE"/>
    <w:multiLevelType w:val="singleLevel"/>
    <w:tmpl w:val="2309E4EE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3">
    <w:nsid w:val="23A7733C"/>
    <w:multiLevelType w:val="singleLevel"/>
    <w:tmpl w:val="23A7733C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4">
    <w:nsid w:val="32959E7A"/>
    <w:multiLevelType w:val="singleLevel"/>
    <w:tmpl w:val="32959E7A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5">
    <w:nsid w:val="5322756B"/>
    <w:multiLevelType w:val="singleLevel"/>
    <w:tmpl w:val="5322756B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2EFA"/>
    <w:rsid w:val="000D227F"/>
    <w:rsid w:val="001C0351"/>
    <w:rsid w:val="00255AC6"/>
    <w:rsid w:val="00942EFA"/>
    <w:rsid w:val="00C779FA"/>
    <w:rsid w:val="17E14FEC"/>
    <w:rsid w:val="6A6B2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4"/>
      <w:szCs w:val="24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540</Words>
  <Characters>3083</Characters>
  <Lines>25</Lines>
  <Paragraphs>7</Paragraphs>
  <TotalTime>116</TotalTime>
  <ScaleCrop>false</ScaleCrop>
  <LinksUpToDate>false</LinksUpToDate>
  <CharactersWithSpaces>3616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2025-04-11T15:12:00Z</dcterms:created>
  <dc:creator>Microsoft Office User</dc:creator>
  <cp:lastModifiedBy>khush</cp:lastModifiedBy>
  <dcterms:modified xsi:type="dcterms:W3CDTF">2025-04-18T07:52:58Z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88D6DBEAF44847DD86ACE78E6AF0B536_12</vt:lpwstr>
  </property>
</Properties>
</file>